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0F33E" w14:textId="02FF9F9A" w:rsidR="00C86248" w:rsidRPr="00B47C82" w:rsidRDefault="00086A05" w:rsidP="007979D9">
      <w:pPr>
        <w:pStyle w:val="Title"/>
        <w:spacing w:line="240" w:lineRule="auto"/>
        <w:ind w:right="2835"/>
      </w:pPr>
      <w:r>
        <w:t>Update on Polyp surveillance guidelines</w:t>
      </w:r>
    </w:p>
    <w:p w14:paraId="014069B8" w14:textId="799C2B15" w:rsidR="00D27922" w:rsidRPr="00B47C82" w:rsidRDefault="00086A05" w:rsidP="00D27922">
      <w:pPr>
        <w:pStyle w:val="Subhead"/>
      </w:pPr>
      <w:r>
        <w:t>202</w:t>
      </w:r>
      <w:r w:rsidR="00013CA4">
        <w:t>4</w:t>
      </w:r>
    </w:p>
    <w:p w14:paraId="1F24634E" w14:textId="77777777" w:rsidR="00C05132" w:rsidRPr="00B47C82" w:rsidRDefault="00C05132" w:rsidP="00A06BE4"/>
    <w:p w14:paraId="5202684D" w14:textId="77777777" w:rsidR="00142954" w:rsidRPr="00B47C82" w:rsidRDefault="00142954" w:rsidP="00142954">
      <w:pPr>
        <w:sectPr w:rsidR="00142954" w:rsidRPr="00B47C82" w:rsidSect="00925892">
          <w:headerReference w:type="default" r:id="rId11"/>
          <w:footerReference w:type="default" r:id="rId12"/>
          <w:pgSz w:w="11907" w:h="16834" w:code="9"/>
          <w:pgMar w:top="5670" w:right="1134" w:bottom="1134" w:left="1134" w:header="567" w:footer="851" w:gutter="0"/>
          <w:pgNumType w:start="1"/>
          <w:cols w:space="720"/>
        </w:sectPr>
      </w:pPr>
    </w:p>
    <w:p w14:paraId="41682375" w14:textId="7A0CA32E" w:rsidR="00A80363" w:rsidRPr="00B47C82" w:rsidRDefault="00A80363" w:rsidP="00A63DFF">
      <w:pPr>
        <w:pStyle w:val="Imprint"/>
        <w:spacing w:before="1200"/>
        <w:rPr>
          <w:rFonts w:cs="Segoe UI"/>
        </w:rPr>
      </w:pPr>
      <w:r w:rsidRPr="00B47C82">
        <w:rPr>
          <w:rFonts w:cs="Segoe UI"/>
        </w:rPr>
        <w:lastRenderedPageBreak/>
        <w:t xml:space="preserve">Citation: </w:t>
      </w:r>
      <w:r w:rsidR="00086A05">
        <w:rPr>
          <w:rFonts w:cs="Segoe UI"/>
        </w:rPr>
        <w:t>Te Aho O Te Kahu</w:t>
      </w:r>
      <w:r w:rsidR="00442C1C" w:rsidRPr="00B47C82">
        <w:rPr>
          <w:rFonts w:cs="Segoe UI"/>
        </w:rPr>
        <w:t xml:space="preserve">. </w:t>
      </w:r>
      <w:r w:rsidR="00086A05">
        <w:rPr>
          <w:rFonts w:cs="Segoe UI"/>
        </w:rPr>
        <w:t>202</w:t>
      </w:r>
      <w:r w:rsidR="00013CA4">
        <w:rPr>
          <w:rFonts w:cs="Segoe UI"/>
        </w:rPr>
        <w:t>4</w:t>
      </w:r>
      <w:r w:rsidR="00442C1C" w:rsidRPr="00B47C82">
        <w:rPr>
          <w:rFonts w:cs="Segoe UI"/>
        </w:rPr>
        <w:t xml:space="preserve">. </w:t>
      </w:r>
      <w:r w:rsidR="00086A05">
        <w:rPr>
          <w:rFonts w:cs="Segoe UI"/>
          <w:i/>
        </w:rPr>
        <w:t>Update on Polyp Surveillance Guidelines</w:t>
      </w:r>
      <w:r w:rsidR="00442C1C" w:rsidRPr="00B47C82">
        <w:rPr>
          <w:rFonts w:cs="Segoe UI"/>
        </w:rPr>
        <w:t xml:space="preserve">. Wellington: </w:t>
      </w:r>
      <w:r w:rsidR="00086A05">
        <w:rPr>
          <w:rFonts w:cs="Segoe UI"/>
        </w:rPr>
        <w:t>Te Aho o Te Kahu</w:t>
      </w:r>
      <w:r w:rsidR="00442C1C" w:rsidRPr="00B47C82">
        <w:rPr>
          <w:rFonts w:cs="Segoe UI"/>
        </w:rPr>
        <w:t>.</w:t>
      </w:r>
    </w:p>
    <w:p w14:paraId="53251A9E" w14:textId="6A34E25C" w:rsidR="00C86248" w:rsidRPr="00B47C82" w:rsidRDefault="00C86248">
      <w:pPr>
        <w:pStyle w:val="Imprint"/>
      </w:pPr>
      <w:r w:rsidRPr="00B47C82">
        <w:t xml:space="preserve">Published in </w:t>
      </w:r>
      <w:r w:rsidR="00013CA4">
        <w:t>June</w:t>
      </w:r>
      <w:r w:rsidR="00086A05">
        <w:t xml:space="preserve"> </w:t>
      </w:r>
      <w:r w:rsidR="003235C6" w:rsidRPr="00B47C82">
        <w:t>20</w:t>
      </w:r>
      <w:r w:rsidR="00FB0A5B" w:rsidRPr="00B47C82">
        <w:t>2</w:t>
      </w:r>
      <w:r w:rsidR="00013CA4">
        <w:t>4</w:t>
      </w:r>
      <w:r w:rsidR="00A63DFF" w:rsidRPr="00B47C82">
        <w:t xml:space="preserve"> </w:t>
      </w:r>
      <w:r w:rsidRPr="00B47C82">
        <w:t xml:space="preserve">by </w:t>
      </w:r>
      <w:r w:rsidR="00086A05">
        <w:t xml:space="preserve">Te Aho o Te Kahu in partnership with the Ministry of Health, </w:t>
      </w:r>
      <w:r w:rsidRPr="00B47C82">
        <w:t>PO Box 5013, Wellington</w:t>
      </w:r>
      <w:r w:rsidR="00A80363" w:rsidRPr="00B47C82">
        <w:t xml:space="preserve"> 614</w:t>
      </w:r>
      <w:r w:rsidR="006041F0" w:rsidRPr="00B47C82">
        <w:t>0</w:t>
      </w:r>
      <w:r w:rsidRPr="00B47C82">
        <w:t xml:space="preserve">, </w:t>
      </w:r>
      <w:r w:rsidR="00571223" w:rsidRPr="00B47C82">
        <w:t>New Zealand</w:t>
      </w:r>
    </w:p>
    <w:p w14:paraId="517AF471" w14:textId="0F5F9A7C" w:rsidR="00082CD6" w:rsidRPr="00B47C82" w:rsidRDefault="00D863D0" w:rsidP="00082CD6">
      <w:pPr>
        <w:pStyle w:val="Imprint"/>
      </w:pPr>
      <w:r w:rsidRPr="00B47C82">
        <w:t>ISBN</w:t>
      </w:r>
      <w:r w:rsidR="00442C1C" w:rsidRPr="00B47C82">
        <w:t xml:space="preserve"> </w:t>
      </w:r>
      <w:r w:rsidR="005F076D" w:rsidRPr="005F076D">
        <w:t>978-1-99-002973-8</w:t>
      </w:r>
      <w:r w:rsidR="005F076D" w:rsidRPr="00B47C82">
        <w:t xml:space="preserve"> </w:t>
      </w:r>
      <w:r w:rsidRPr="00B47C82">
        <w:t>(</w:t>
      </w:r>
      <w:r w:rsidR="00442C1C" w:rsidRPr="00B47C82">
        <w:t>online</w:t>
      </w:r>
      <w:r w:rsidRPr="00B47C82">
        <w:t>)</w:t>
      </w:r>
      <w:r w:rsidR="00082CD6" w:rsidRPr="00B47C82">
        <w:br/>
        <w:t xml:space="preserve">HP </w:t>
      </w:r>
      <w:r w:rsidR="005F076D">
        <w:t>7539</w:t>
      </w:r>
    </w:p>
    <w:p w14:paraId="7500731B" w14:textId="77777777" w:rsidR="005718A6" w:rsidRPr="00B47C82" w:rsidRDefault="005718A6" w:rsidP="00D27922">
      <w:pPr>
        <w:spacing w:before="360"/>
      </w:pPr>
      <w:r w:rsidRPr="00B47C82">
        <w:rPr>
          <w:noProof/>
          <w:lang w:eastAsia="en-NZ"/>
        </w:rPr>
        <w:drawing>
          <wp:inline distT="0" distB="0" distL="0" distR="0" wp14:anchorId="1E77B2C1" wp14:editId="093B5737">
            <wp:extent cx="1396538" cy="650613"/>
            <wp:effectExtent l="0" t="0" r="0" b="0"/>
            <wp:docPr id="7" name="Picture 7"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3"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2D4CCDC4" w14:textId="77777777" w:rsidR="00A63DFF" w:rsidRPr="00B47C82" w:rsidRDefault="00A63DFF" w:rsidP="00A63DFF">
      <w:pPr>
        <w:pStyle w:val="Imprint"/>
        <w:spacing w:before="240" w:after="480"/>
      </w:pPr>
      <w:r w:rsidRPr="00B47C82">
        <w:t xml:space="preserve">This document is available at </w:t>
      </w:r>
      <w:hyperlink r:id="rId14" w:history="1">
        <w:r w:rsidR="00086A05" w:rsidRPr="00086A05">
          <w:rPr>
            <w:rStyle w:val="Hyperlink"/>
          </w:rPr>
          <w:t>teaho.govt.nz</w:t>
        </w:r>
      </w:hyperlink>
      <w:r w:rsidR="00086A05">
        <w:t xml:space="preserve"> and </w:t>
      </w:r>
      <w:hyperlink r:id="rId15" w:history="1">
        <w:r w:rsidR="00200906" w:rsidRPr="00414B6D">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B47C82" w14:paraId="54692E5B" w14:textId="77777777" w:rsidTr="00A63DFF">
        <w:trPr>
          <w:cantSplit/>
        </w:trPr>
        <w:tc>
          <w:tcPr>
            <w:tcW w:w="1526" w:type="dxa"/>
          </w:tcPr>
          <w:p w14:paraId="767EB4E3"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3EF07B26" wp14:editId="2AB13AA5">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5EE5CC0"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w:t>
            </w:r>
            <w:proofErr w:type="spellStart"/>
            <w:r w:rsidRPr="00B47C82">
              <w:rPr>
                <w:rFonts w:cs="Segoe UI"/>
                <w:sz w:val="15"/>
                <w:szCs w:val="15"/>
              </w:rPr>
              <w:t>ie</w:t>
            </w:r>
            <w:proofErr w:type="spellEnd"/>
            <w:r w:rsidRPr="00B47C82">
              <w:rPr>
                <w:rFonts w:cs="Segoe UI"/>
                <w:sz w:val="15"/>
                <w:szCs w:val="15"/>
              </w:rPr>
              <w:t xml:space="preserve">, copy and redistribute the material in any medium or format; adapt </w:t>
            </w:r>
            <w:proofErr w:type="spellStart"/>
            <w:r w:rsidRPr="00B47C82">
              <w:rPr>
                <w:rFonts w:cs="Segoe UI"/>
                <w:sz w:val="15"/>
                <w:szCs w:val="15"/>
              </w:rPr>
              <w:t>ie</w:t>
            </w:r>
            <w:proofErr w:type="spellEnd"/>
            <w:r w:rsidRPr="00B47C82">
              <w:rPr>
                <w:rFonts w:cs="Segoe UI"/>
                <w:sz w:val="15"/>
                <w:szCs w:val="15"/>
              </w:rPr>
              <w:t xml:space="preserve">, remix, transform and build upon the material. </w:t>
            </w:r>
            <w:r w:rsidRPr="00B47C82">
              <w:rPr>
                <w:rFonts w:cs="Segoe UI"/>
                <w:bCs/>
                <w:sz w:val="15"/>
                <w:szCs w:val="15"/>
              </w:rPr>
              <w:t xml:space="preserve">You must give appropriate credit, provide a link to the </w:t>
            </w:r>
            <w:proofErr w:type="gramStart"/>
            <w:r w:rsidRPr="00B47C82">
              <w:rPr>
                <w:rFonts w:cs="Segoe UI"/>
                <w:bCs/>
                <w:sz w:val="15"/>
                <w:szCs w:val="15"/>
              </w:rPr>
              <w:t>licence</w:t>
            </w:r>
            <w:proofErr w:type="gramEnd"/>
            <w:r w:rsidRPr="00B47C82">
              <w:rPr>
                <w:rFonts w:cs="Segoe UI"/>
                <w:bCs/>
                <w:sz w:val="15"/>
                <w:szCs w:val="15"/>
              </w:rPr>
              <w:t xml:space="preserve"> and indicate if changes were made.</w:t>
            </w:r>
          </w:p>
        </w:tc>
      </w:tr>
    </w:tbl>
    <w:p w14:paraId="62243598" w14:textId="77777777" w:rsidR="007E74F1" w:rsidRPr="00B47C82" w:rsidRDefault="007E74F1" w:rsidP="006E2886">
      <w:pPr>
        <w:pStyle w:val="Imprint"/>
      </w:pPr>
    </w:p>
    <w:p w14:paraId="2228EE93" w14:textId="77777777" w:rsidR="00C86248" w:rsidRPr="00B47C82" w:rsidRDefault="00C86248">
      <w:pPr>
        <w:jc w:val="center"/>
        <w:sectPr w:rsidR="00C86248" w:rsidRPr="00B47C82" w:rsidSect="003D59BB">
          <w:footerReference w:type="even" r:id="rId17"/>
          <w:footerReference w:type="default" r:id="rId18"/>
          <w:pgSz w:w="11907" w:h="16834" w:code="9"/>
          <w:pgMar w:top="1701" w:right="2268" w:bottom="1134" w:left="2268" w:header="425" w:footer="284" w:gutter="0"/>
          <w:cols w:space="720"/>
          <w:vAlign w:val="bottom"/>
        </w:sectPr>
      </w:pPr>
    </w:p>
    <w:p w14:paraId="17553587"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374B2263" w14:textId="3B9F6CD5" w:rsidR="00711105" w:rsidRDefault="00432FAA">
      <w:pPr>
        <w:pStyle w:val="TOC1"/>
        <w:rPr>
          <w:rFonts w:asciiTheme="minorHAnsi" w:eastAsiaTheme="minorEastAsia" w:hAnsiTheme="minorHAnsi" w:cstheme="minorBidi"/>
          <w:noProof/>
          <w:kern w:val="2"/>
          <w:szCs w:val="24"/>
          <w:lang w:eastAsia="en-NZ"/>
          <w14:ligatures w14:val="standardContextual"/>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169094606" w:history="1">
        <w:r w:rsidR="00711105" w:rsidRPr="00F92CF7">
          <w:rPr>
            <w:rStyle w:val="Hyperlink"/>
            <w:noProof/>
          </w:rPr>
          <w:t>Introduction</w:t>
        </w:r>
        <w:r w:rsidR="00711105">
          <w:rPr>
            <w:noProof/>
            <w:webHidden/>
          </w:rPr>
          <w:tab/>
        </w:r>
        <w:r w:rsidR="00711105">
          <w:rPr>
            <w:noProof/>
            <w:webHidden/>
          </w:rPr>
          <w:fldChar w:fldCharType="begin"/>
        </w:r>
        <w:r w:rsidR="00711105">
          <w:rPr>
            <w:noProof/>
            <w:webHidden/>
          </w:rPr>
          <w:instrText xml:space="preserve"> PAGEREF _Toc169094606 \h </w:instrText>
        </w:r>
        <w:r w:rsidR="00711105">
          <w:rPr>
            <w:noProof/>
            <w:webHidden/>
          </w:rPr>
        </w:r>
        <w:r w:rsidR="00711105">
          <w:rPr>
            <w:noProof/>
            <w:webHidden/>
          </w:rPr>
          <w:fldChar w:fldCharType="separate"/>
        </w:r>
        <w:r w:rsidR="00711105">
          <w:rPr>
            <w:noProof/>
            <w:webHidden/>
          </w:rPr>
          <w:t>1</w:t>
        </w:r>
        <w:r w:rsidR="00711105">
          <w:rPr>
            <w:noProof/>
            <w:webHidden/>
          </w:rPr>
          <w:fldChar w:fldCharType="end"/>
        </w:r>
      </w:hyperlink>
    </w:p>
    <w:p w14:paraId="5872F473" w14:textId="34E6DC2F"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07" w:history="1">
        <w:r w:rsidRPr="00F92CF7">
          <w:rPr>
            <w:rStyle w:val="Hyperlink"/>
            <w:noProof/>
          </w:rPr>
          <w:t>Purpose of this advice</w:t>
        </w:r>
        <w:r>
          <w:rPr>
            <w:noProof/>
            <w:webHidden/>
          </w:rPr>
          <w:tab/>
        </w:r>
        <w:r>
          <w:rPr>
            <w:noProof/>
            <w:webHidden/>
          </w:rPr>
          <w:fldChar w:fldCharType="begin"/>
        </w:r>
        <w:r>
          <w:rPr>
            <w:noProof/>
            <w:webHidden/>
          </w:rPr>
          <w:instrText xml:space="preserve"> PAGEREF _Toc169094607 \h </w:instrText>
        </w:r>
        <w:r>
          <w:rPr>
            <w:noProof/>
            <w:webHidden/>
          </w:rPr>
        </w:r>
        <w:r>
          <w:rPr>
            <w:noProof/>
            <w:webHidden/>
          </w:rPr>
          <w:fldChar w:fldCharType="separate"/>
        </w:r>
        <w:r>
          <w:rPr>
            <w:noProof/>
            <w:webHidden/>
          </w:rPr>
          <w:t>3</w:t>
        </w:r>
        <w:r>
          <w:rPr>
            <w:noProof/>
            <w:webHidden/>
          </w:rPr>
          <w:fldChar w:fldCharType="end"/>
        </w:r>
      </w:hyperlink>
    </w:p>
    <w:p w14:paraId="4D18BA5D" w14:textId="39DA0D47"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08" w:history="1">
        <w:r w:rsidRPr="00F92CF7">
          <w:rPr>
            <w:rStyle w:val="Hyperlink"/>
            <w:noProof/>
          </w:rPr>
          <w:t>Audience for these guidelines</w:t>
        </w:r>
        <w:r>
          <w:rPr>
            <w:noProof/>
            <w:webHidden/>
          </w:rPr>
          <w:tab/>
        </w:r>
        <w:r>
          <w:rPr>
            <w:noProof/>
            <w:webHidden/>
          </w:rPr>
          <w:fldChar w:fldCharType="begin"/>
        </w:r>
        <w:r>
          <w:rPr>
            <w:noProof/>
            <w:webHidden/>
          </w:rPr>
          <w:instrText xml:space="preserve"> PAGEREF _Toc169094608 \h </w:instrText>
        </w:r>
        <w:r>
          <w:rPr>
            <w:noProof/>
            <w:webHidden/>
          </w:rPr>
        </w:r>
        <w:r>
          <w:rPr>
            <w:noProof/>
            <w:webHidden/>
          </w:rPr>
          <w:fldChar w:fldCharType="separate"/>
        </w:r>
        <w:r>
          <w:rPr>
            <w:noProof/>
            <w:webHidden/>
          </w:rPr>
          <w:t>3</w:t>
        </w:r>
        <w:r>
          <w:rPr>
            <w:noProof/>
            <w:webHidden/>
          </w:rPr>
          <w:fldChar w:fldCharType="end"/>
        </w:r>
      </w:hyperlink>
    </w:p>
    <w:p w14:paraId="48B272C7" w14:textId="07FDB886"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09" w:history="1">
        <w:r w:rsidRPr="00F92CF7">
          <w:rPr>
            <w:rStyle w:val="Hyperlink"/>
            <w:noProof/>
          </w:rPr>
          <w:t>Associated documents</w:t>
        </w:r>
        <w:r>
          <w:rPr>
            <w:noProof/>
            <w:webHidden/>
          </w:rPr>
          <w:tab/>
        </w:r>
        <w:r>
          <w:rPr>
            <w:noProof/>
            <w:webHidden/>
          </w:rPr>
          <w:fldChar w:fldCharType="begin"/>
        </w:r>
        <w:r>
          <w:rPr>
            <w:noProof/>
            <w:webHidden/>
          </w:rPr>
          <w:instrText xml:space="preserve"> PAGEREF _Toc169094609 \h </w:instrText>
        </w:r>
        <w:r>
          <w:rPr>
            <w:noProof/>
            <w:webHidden/>
          </w:rPr>
        </w:r>
        <w:r>
          <w:rPr>
            <w:noProof/>
            <w:webHidden/>
          </w:rPr>
          <w:fldChar w:fldCharType="separate"/>
        </w:r>
        <w:r>
          <w:rPr>
            <w:noProof/>
            <w:webHidden/>
          </w:rPr>
          <w:t>4</w:t>
        </w:r>
        <w:r>
          <w:rPr>
            <w:noProof/>
            <w:webHidden/>
          </w:rPr>
          <w:fldChar w:fldCharType="end"/>
        </w:r>
      </w:hyperlink>
    </w:p>
    <w:p w14:paraId="00EA12D7" w14:textId="6C4F5C72"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10" w:history="1">
        <w:r w:rsidRPr="00F92CF7">
          <w:rPr>
            <w:rStyle w:val="Hyperlink"/>
            <w:noProof/>
          </w:rPr>
          <w:t>Equity</w:t>
        </w:r>
        <w:r>
          <w:rPr>
            <w:noProof/>
            <w:webHidden/>
          </w:rPr>
          <w:tab/>
        </w:r>
        <w:r>
          <w:rPr>
            <w:noProof/>
            <w:webHidden/>
          </w:rPr>
          <w:fldChar w:fldCharType="begin"/>
        </w:r>
        <w:r>
          <w:rPr>
            <w:noProof/>
            <w:webHidden/>
          </w:rPr>
          <w:instrText xml:space="preserve"> PAGEREF _Toc169094610 \h </w:instrText>
        </w:r>
        <w:r>
          <w:rPr>
            <w:noProof/>
            <w:webHidden/>
          </w:rPr>
        </w:r>
        <w:r>
          <w:rPr>
            <w:noProof/>
            <w:webHidden/>
          </w:rPr>
          <w:fldChar w:fldCharType="separate"/>
        </w:r>
        <w:r>
          <w:rPr>
            <w:noProof/>
            <w:webHidden/>
          </w:rPr>
          <w:t>4</w:t>
        </w:r>
        <w:r>
          <w:rPr>
            <w:noProof/>
            <w:webHidden/>
          </w:rPr>
          <w:fldChar w:fldCharType="end"/>
        </w:r>
      </w:hyperlink>
    </w:p>
    <w:p w14:paraId="2EE16DB7" w14:textId="79062B9B"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11" w:history="1">
        <w:r w:rsidRPr="00F92CF7">
          <w:rPr>
            <w:rStyle w:val="Hyperlink"/>
            <w:noProof/>
          </w:rPr>
          <w:t>Notes on clinical context</w:t>
        </w:r>
        <w:r>
          <w:rPr>
            <w:noProof/>
            <w:webHidden/>
          </w:rPr>
          <w:tab/>
        </w:r>
        <w:r>
          <w:rPr>
            <w:noProof/>
            <w:webHidden/>
          </w:rPr>
          <w:fldChar w:fldCharType="begin"/>
        </w:r>
        <w:r>
          <w:rPr>
            <w:noProof/>
            <w:webHidden/>
          </w:rPr>
          <w:instrText xml:space="preserve"> PAGEREF _Toc169094611 \h </w:instrText>
        </w:r>
        <w:r>
          <w:rPr>
            <w:noProof/>
            <w:webHidden/>
          </w:rPr>
        </w:r>
        <w:r>
          <w:rPr>
            <w:noProof/>
            <w:webHidden/>
          </w:rPr>
          <w:fldChar w:fldCharType="separate"/>
        </w:r>
        <w:r>
          <w:rPr>
            <w:noProof/>
            <w:webHidden/>
          </w:rPr>
          <w:t>5</w:t>
        </w:r>
        <w:r>
          <w:rPr>
            <w:noProof/>
            <w:webHidden/>
          </w:rPr>
          <w:fldChar w:fldCharType="end"/>
        </w:r>
      </w:hyperlink>
    </w:p>
    <w:p w14:paraId="193AD462" w14:textId="357979B3"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12" w:history="1">
        <w:r w:rsidRPr="00F92CF7">
          <w:rPr>
            <w:rStyle w:val="Hyperlink"/>
            <w:noProof/>
          </w:rPr>
          <w:t>Polyp risk categories</w:t>
        </w:r>
        <w:r>
          <w:rPr>
            <w:noProof/>
            <w:webHidden/>
          </w:rPr>
          <w:tab/>
        </w:r>
        <w:r>
          <w:rPr>
            <w:noProof/>
            <w:webHidden/>
          </w:rPr>
          <w:fldChar w:fldCharType="begin"/>
        </w:r>
        <w:r>
          <w:rPr>
            <w:noProof/>
            <w:webHidden/>
          </w:rPr>
          <w:instrText xml:space="preserve"> PAGEREF _Toc169094612 \h </w:instrText>
        </w:r>
        <w:r>
          <w:rPr>
            <w:noProof/>
            <w:webHidden/>
          </w:rPr>
        </w:r>
        <w:r>
          <w:rPr>
            <w:noProof/>
            <w:webHidden/>
          </w:rPr>
          <w:fldChar w:fldCharType="separate"/>
        </w:r>
        <w:r>
          <w:rPr>
            <w:noProof/>
            <w:webHidden/>
          </w:rPr>
          <w:t>5</w:t>
        </w:r>
        <w:r>
          <w:rPr>
            <w:noProof/>
            <w:webHidden/>
          </w:rPr>
          <w:fldChar w:fldCharType="end"/>
        </w:r>
      </w:hyperlink>
    </w:p>
    <w:p w14:paraId="00F27CD9" w14:textId="7593E502"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13" w:history="1">
        <w:r w:rsidRPr="00F92CF7">
          <w:rPr>
            <w:rStyle w:val="Hyperlink"/>
            <w:noProof/>
          </w:rPr>
          <w:t>Polyp Surveillance Guidance 2024</w:t>
        </w:r>
        <w:r>
          <w:rPr>
            <w:noProof/>
            <w:webHidden/>
          </w:rPr>
          <w:tab/>
        </w:r>
        <w:r>
          <w:rPr>
            <w:noProof/>
            <w:webHidden/>
          </w:rPr>
          <w:fldChar w:fldCharType="begin"/>
        </w:r>
        <w:r>
          <w:rPr>
            <w:noProof/>
            <w:webHidden/>
          </w:rPr>
          <w:instrText xml:space="preserve"> PAGEREF _Toc169094613 \h </w:instrText>
        </w:r>
        <w:r>
          <w:rPr>
            <w:noProof/>
            <w:webHidden/>
          </w:rPr>
        </w:r>
        <w:r>
          <w:rPr>
            <w:noProof/>
            <w:webHidden/>
          </w:rPr>
          <w:fldChar w:fldCharType="separate"/>
        </w:r>
        <w:r>
          <w:rPr>
            <w:noProof/>
            <w:webHidden/>
          </w:rPr>
          <w:t>6</w:t>
        </w:r>
        <w:r>
          <w:rPr>
            <w:noProof/>
            <w:webHidden/>
          </w:rPr>
          <w:fldChar w:fldCharType="end"/>
        </w:r>
      </w:hyperlink>
    </w:p>
    <w:p w14:paraId="71AC465E" w14:textId="087AE3A8"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14" w:history="1">
        <w:r w:rsidRPr="00F92CF7">
          <w:rPr>
            <w:rStyle w:val="Hyperlink"/>
            <w:noProof/>
          </w:rPr>
          <w:t>Definitions</w:t>
        </w:r>
        <w:r>
          <w:rPr>
            <w:noProof/>
            <w:webHidden/>
          </w:rPr>
          <w:tab/>
        </w:r>
        <w:r>
          <w:rPr>
            <w:noProof/>
            <w:webHidden/>
          </w:rPr>
          <w:fldChar w:fldCharType="begin"/>
        </w:r>
        <w:r>
          <w:rPr>
            <w:noProof/>
            <w:webHidden/>
          </w:rPr>
          <w:instrText xml:space="preserve"> PAGEREF _Toc169094614 \h </w:instrText>
        </w:r>
        <w:r>
          <w:rPr>
            <w:noProof/>
            <w:webHidden/>
          </w:rPr>
        </w:r>
        <w:r>
          <w:rPr>
            <w:noProof/>
            <w:webHidden/>
          </w:rPr>
          <w:fldChar w:fldCharType="separate"/>
        </w:r>
        <w:r>
          <w:rPr>
            <w:noProof/>
            <w:webHidden/>
          </w:rPr>
          <w:t>8</w:t>
        </w:r>
        <w:r>
          <w:rPr>
            <w:noProof/>
            <w:webHidden/>
          </w:rPr>
          <w:fldChar w:fldCharType="end"/>
        </w:r>
      </w:hyperlink>
    </w:p>
    <w:p w14:paraId="791468D0" w14:textId="5D1C6CCA" w:rsidR="00711105" w:rsidRDefault="00711105">
      <w:pPr>
        <w:pStyle w:val="TOC2"/>
        <w:rPr>
          <w:rFonts w:asciiTheme="minorHAnsi" w:eastAsiaTheme="minorEastAsia" w:hAnsiTheme="minorHAnsi" w:cstheme="minorBidi"/>
          <w:noProof/>
          <w:kern w:val="2"/>
          <w:sz w:val="24"/>
          <w:szCs w:val="24"/>
          <w:lang w:eastAsia="en-NZ"/>
          <w14:ligatures w14:val="standardContextual"/>
        </w:rPr>
      </w:pPr>
      <w:hyperlink w:anchor="_Toc169094615" w:history="1">
        <w:r w:rsidRPr="00F92CF7">
          <w:rPr>
            <w:rStyle w:val="Hyperlink"/>
            <w:noProof/>
          </w:rPr>
          <w:t>High-quality colonoscopy</w:t>
        </w:r>
        <w:r>
          <w:rPr>
            <w:noProof/>
            <w:webHidden/>
          </w:rPr>
          <w:tab/>
        </w:r>
        <w:r>
          <w:rPr>
            <w:noProof/>
            <w:webHidden/>
          </w:rPr>
          <w:fldChar w:fldCharType="begin"/>
        </w:r>
        <w:r>
          <w:rPr>
            <w:noProof/>
            <w:webHidden/>
          </w:rPr>
          <w:instrText xml:space="preserve"> PAGEREF _Toc169094615 \h </w:instrText>
        </w:r>
        <w:r>
          <w:rPr>
            <w:noProof/>
            <w:webHidden/>
          </w:rPr>
        </w:r>
        <w:r>
          <w:rPr>
            <w:noProof/>
            <w:webHidden/>
          </w:rPr>
          <w:fldChar w:fldCharType="separate"/>
        </w:r>
        <w:r>
          <w:rPr>
            <w:noProof/>
            <w:webHidden/>
          </w:rPr>
          <w:t>8</w:t>
        </w:r>
        <w:r>
          <w:rPr>
            <w:noProof/>
            <w:webHidden/>
          </w:rPr>
          <w:fldChar w:fldCharType="end"/>
        </w:r>
      </w:hyperlink>
    </w:p>
    <w:p w14:paraId="1F05ED79" w14:textId="5ED718D0" w:rsidR="00711105" w:rsidRDefault="00711105">
      <w:pPr>
        <w:pStyle w:val="TOC2"/>
        <w:rPr>
          <w:rFonts w:asciiTheme="minorHAnsi" w:eastAsiaTheme="minorEastAsia" w:hAnsiTheme="minorHAnsi" w:cstheme="minorBidi"/>
          <w:noProof/>
          <w:kern w:val="2"/>
          <w:sz w:val="24"/>
          <w:szCs w:val="24"/>
          <w:lang w:eastAsia="en-NZ"/>
          <w14:ligatures w14:val="standardContextual"/>
        </w:rPr>
      </w:pPr>
      <w:hyperlink w:anchor="_Toc169094616" w:history="1">
        <w:r w:rsidRPr="00F92CF7">
          <w:rPr>
            <w:rStyle w:val="Hyperlink"/>
            <w:noProof/>
          </w:rPr>
          <w:t>High-quality polypectomy</w:t>
        </w:r>
        <w:r>
          <w:rPr>
            <w:noProof/>
            <w:webHidden/>
          </w:rPr>
          <w:tab/>
        </w:r>
        <w:r>
          <w:rPr>
            <w:noProof/>
            <w:webHidden/>
          </w:rPr>
          <w:fldChar w:fldCharType="begin"/>
        </w:r>
        <w:r>
          <w:rPr>
            <w:noProof/>
            <w:webHidden/>
          </w:rPr>
          <w:instrText xml:space="preserve"> PAGEREF _Toc169094616 \h </w:instrText>
        </w:r>
        <w:r>
          <w:rPr>
            <w:noProof/>
            <w:webHidden/>
          </w:rPr>
        </w:r>
        <w:r>
          <w:rPr>
            <w:noProof/>
            <w:webHidden/>
          </w:rPr>
          <w:fldChar w:fldCharType="separate"/>
        </w:r>
        <w:r>
          <w:rPr>
            <w:noProof/>
            <w:webHidden/>
          </w:rPr>
          <w:t>8</w:t>
        </w:r>
        <w:r>
          <w:rPr>
            <w:noProof/>
            <w:webHidden/>
          </w:rPr>
          <w:fldChar w:fldCharType="end"/>
        </w:r>
      </w:hyperlink>
    </w:p>
    <w:p w14:paraId="417402D0" w14:textId="12490CB7" w:rsidR="00711105" w:rsidRDefault="00711105">
      <w:pPr>
        <w:pStyle w:val="TOC2"/>
        <w:rPr>
          <w:rFonts w:asciiTheme="minorHAnsi" w:eastAsiaTheme="minorEastAsia" w:hAnsiTheme="minorHAnsi" w:cstheme="minorBidi"/>
          <w:noProof/>
          <w:kern w:val="2"/>
          <w:sz w:val="24"/>
          <w:szCs w:val="24"/>
          <w:lang w:eastAsia="en-NZ"/>
          <w14:ligatures w14:val="standardContextual"/>
        </w:rPr>
      </w:pPr>
      <w:hyperlink w:anchor="_Toc169094617" w:history="1">
        <w:r w:rsidRPr="00F92CF7">
          <w:rPr>
            <w:rStyle w:val="Hyperlink"/>
            <w:noProof/>
          </w:rPr>
          <w:t>Boston Bowel Preparation Scale</w:t>
        </w:r>
        <w:r>
          <w:rPr>
            <w:noProof/>
            <w:webHidden/>
          </w:rPr>
          <w:tab/>
        </w:r>
        <w:r>
          <w:rPr>
            <w:noProof/>
            <w:webHidden/>
          </w:rPr>
          <w:fldChar w:fldCharType="begin"/>
        </w:r>
        <w:r>
          <w:rPr>
            <w:noProof/>
            <w:webHidden/>
          </w:rPr>
          <w:instrText xml:space="preserve"> PAGEREF _Toc169094617 \h </w:instrText>
        </w:r>
        <w:r>
          <w:rPr>
            <w:noProof/>
            <w:webHidden/>
          </w:rPr>
        </w:r>
        <w:r>
          <w:rPr>
            <w:noProof/>
            <w:webHidden/>
          </w:rPr>
          <w:fldChar w:fldCharType="separate"/>
        </w:r>
        <w:r>
          <w:rPr>
            <w:noProof/>
            <w:webHidden/>
          </w:rPr>
          <w:t>9</w:t>
        </w:r>
        <w:r>
          <w:rPr>
            <w:noProof/>
            <w:webHidden/>
          </w:rPr>
          <w:fldChar w:fldCharType="end"/>
        </w:r>
      </w:hyperlink>
    </w:p>
    <w:p w14:paraId="1A9CC6D2" w14:textId="72BE85E7" w:rsidR="00711105" w:rsidRDefault="00711105">
      <w:pPr>
        <w:pStyle w:val="TOC2"/>
        <w:rPr>
          <w:rFonts w:asciiTheme="minorHAnsi" w:eastAsiaTheme="minorEastAsia" w:hAnsiTheme="minorHAnsi" w:cstheme="minorBidi"/>
          <w:noProof/>
          <w:kern w:val="2"/>
          <w:sz w:val="24"/>
          <w:szCs w:val="24"/>
          <w:lang w:eastAsia="en-NZ"/>
          <w14:ligatures w14:val="standardContextual"/>
        </w:rPr>
      </w:pPr>
      <w:hyperlink w:anchor="_Toc169094618" w:history="1">
        <w:r w:rsidRPr="00F92CF7">
          <w:rPr>
            <w:rStyle w:val="Hyperlink"/>
            <w:noProof/>
          </w:rPr>
          <w:t>Serrated Polyposis Syndrome</w:t>
        </w:r>
        <w:r>
          <w:rPr>
            <w:noProof/>
            <w:webHidden/>
          </w:rPr>
          <w:tab/>
        </w:r>
        <w:r>
          <w:rPr>
            <w:noProof/>
            <w:webHidden/>
          </w:rPr>
          <w:fldChar w:fldCharType="begin"/>
        </w:r>
        <w:r>
          <w:rPr>
            <w:noProof/>
            <w:webHidden/>
          </w:rPr>
          <w:instrText xml:space="preserve"> PAGEREF _Toc169094618 \h </w:instrText>
        </w:r>
        <w:r>
          <w:rPr>
            <w:noProof/>
            <w:webHidden/>
          </w:rPr>
        </w:r>
        <w:r>
          <w:rPr>
            <w:noProof/>
            <w:webHidden/>
          </w:rPr>
          <w:fldChar w:fldCharType="separate"/>
        </w:r>
        <w:r>
          <w:rPr>
            <w:noProof/>
            <w:webHidden/>
          </w:rPr>
          <w:t>9</w:t>
        </w:r>
        <w:r>
          <w:rPr>
            <w:noProof/>
            <w:webHidden/>
          </w:rPr>
          <w:fldChar w:fldCharType="end"/>
        </w:r>
      </w:hyperlink>
    </w:p>
    <w:p w14:paraId="0B84374A" w14:textId="05069167"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19" w:history="1">
        <w:r w:rsidRPr="00F92CF7">
          <w:rPr>
            <w:rStyle w:val="Hyperlink"/>
            <w:noProof/>
          </w:rPr>
          <w:t>Referral criteria to the New Zealand Familial Gastrointestinal Cancer Service</w:t>
        </w:r>
        <w:r>
          <w:rPr>
            <w:noProof/>
            <w:webHidden/>
          </w:rPr>
          <w:tab/>
        </w:r>
        <w:r>
          <w:rPr>
            <w:noProof/>
            <w:webHidden/>
          </w:rPr>
          <w:fldChar w:fldCharType="begin"/>
        </w:r>
        <w:r>
          <w:rPr>
            <w:noProof/>
            <w:webHidden/>
          </w:rPr>
          <w:instrText xml:space="preserve"> PAGEREF _Toc169094619 \h </w:instrText>
        </w:r>
        <w:r>
          <w:rPr>
            <w:noProof/>
            <w:webHidden/>
          </w:rPr>
        </w:r>
        <w:r>
          <w:rPr>
            <w:noProof/>
            <w:webHidden/>
          </w:rPr>
          <w:fldChar w:fldCharType="separate"/>
        </w:r>
        <w:r>
          <w:rPr>
            <w:noProof/>
            <w:webHidden/>
          </w:rPr>
          <w:t>10</w:t>
        </w:r>
        <w:r>
          <w:rPr>
            <w:noProof/>
            <w:webHidden/>
          </w:rPr>
          <w:fldChar w:fldCharType="end"/>
        </w:r>
      </w:hyperlink>
    </w:p>
    <w:p w14:paraId="6A49D2EB" w14:textId="2DB38736" w:rsidR="00711105" w:rsidRDefault="00711105">
      <w:pPr>
        <w:pStyle w:val="TOC2"/>
        <w:rPr>
          <w:rFonts w:asciiTheme="minorHAnsi" w:eastAsiaTheme="minorEastAsia" w:hAnsiTheme="minorHAnsi" w:cstheme="minorBidi"/>
          <w:noProof/>
          <w:kern w:val="2"/>
          <w:sz w:val="24"/>
          <w:szCs w:val="24"/>
          <w:lang w:eastAsia="en-NZ"/>
          <w14:ligatures w14:val="standardContextual"/>
        </w:rPr>
      </w:pPr>
      <w:hyperlink w:anchor="_Toc169094620" w:history="1">
        <w:r w:rsidRPr="00F92CF7">
          <w:rPr>
            <w:rStyle w:val="Hyperlink"/>
            <w:noProof/>
          </w:rPr>
          <w:t>Serrated Polyposis Syndrome</w:t>
        </w:r>
        <w:r>
          <w:rPr>
            <w:noProof/>
            <w:webHidden/>
          </w:rPr>
          <w:tab/>
        </w:r>
        <w:r>
          <w:rPr>
            <w:noProof/>
            <w:webHidden/>
          </w:rPr>
          <w:fldChar w:fldCharType="begin"/>
        </w:r>
        <w:r>
          <w:rPr>
            <w:noProof/>
            <w:webHidden/>
          </w:rPr>
          <w:instrText xml:space="preserve"> PAGEREF _Toc169094620 \h </w:instrText>
        </w:r>
        <w:r>
          <w:rPr>
            <w:noProof/>
            <w:webHidden/>
          </w:rPr>
        </w:r>
        <w:r>
          <w:rPr>
            <w:noProof/>
            <w:webHidden/>
          </w:rPr>
          <w:fldChar w:fldCharType="separate"/>
        </w:r>
        <w:r>
          <w:rPr>
            <w:noProof/>
            <w:webHidden/>
          </w:rPr>
          <w:t>10</w:t>
        </w:r>
        <w:r>
          <w:rPr>
            <w:noProof/>
            <w:webHidden/>
          </w:rPr>
          <w:fldChar w:fldCharType="end"/>
        </w:r>
      </w:hyperlink>
    </w:p>
    <w:p w14:paraId="2D2D74B0" w14:textId="491BA955" w:rsidR="00711105" w:rsidRDefault="00711105">
      <w:pPr>
        <w:pStyle w:val="TOC2"/>
        <w:rPr>
          <w:rFonts w:asciiTheme="minorHAnsi" w:eastAsiaTheme="minorEastAsia" w:hAnsiTheme="minorHAnsi" w:cstheme="minorBidi"/>
          <w:noProof/>
          <w:kern w:val="2"/>
          <w:sz w:val="24"/>
          <w:szCs w:val="24"/>
          <w:lang w:eastAsia="en-NZ"/>
          <w14:ligatures w14:val="standardContextual"/>
        </w:rPr>
      </w:pPr>
      <w:hyperlink w:anchor="_Toc169094621" w:history="1">
        <w:r w:rsidRPr="00F92CF7">
          <w:rPr>
            <w:rStyle w:val="Hyperlink"/>
            <w:noProof/>
          </w:rPr>
          <w:t>Multiple adenoma</w:t>
        </w:r>
        <w:r>
          <w:rPr>
            <w:noProof/>
            <w:webHidden/>
          </w:rPr>
          <w:tab/>
        </w:r>
        <w:r>
          <w:rPr>
            <w:noProof/>
            <w:webHidden/>
          </w:rPr>
          <w:fldChar w:fldCharType="begin"/>
        </w:r>
        <w:r>
          <w:rPr>
            <w:noProof/>
            <w:webHidden/>
          </w:rPr>
          <w:instrText xml:space="preserve"> PAGEREF _Toc169094621 \h </w:instrText>
        </w:r>
        <w:r>
          <w:rPr>
            <w:noProof/>
            <w:webHidden/>
          </w:rPr>
        </w:r>
        <w:r>
          <w:rPr>
            <w:noProof/>
            <w:webHidden/>
          </w:rPr>
          <w:fldChar w:fldCharType="separate"/>
        </w:r>
        <w:r>
          <w:rPr>
            <w:noProof/>
            <w:webHidden/>
          </w:rPr>
          <w:t>10</w:t>
        </w:r>
        <w:r>
          <w:rPr>
            <w:noProof/>
            <w:webHidden/>
          </w:rPr>
          <w:fldChar w:fldCharType="end"/>
        </w:r>
      </w:hyperlink>
    </w:p>
    <w:p w14:paraId="43E24C51" w14:textId="2C3C9D56" w:rsidR="00711105" w:rsidRDefault="00711105">
      <w:pPr>
        <w:pStyle w:val="TOC1"/>
        <w:rPr>
          <w:rFonts w:asciiTheme="minorHAnsi" w:eastAsiaTheme="minorEastAsia" w:hAnsiTheme="minorHAnsi" w:cstheme="minorBidi"/>
          <w:noProof/>
          <w:kern w:val="2"/>
          <w:szCs w:val="24"/>
          <w:lang w:eastAsia="en-NZ"/>
          <w14:ligatures w14:val="standardContextual"/>
        </w:rPr>
      </w:pPr>
      <w:hyperlink w:anchor="_Toc169094622" w:history="1">
        <w:r w:rsidRPr="00F92CF7">
          <w:rPr>
            <w:rStyle w:val="Hyperlink"/>
            <w:noProof/>
          </w:rPr>
          <w:t>References</w:t>
        </w:r>
        <w:r>
          <w:rPr>
            <w:noProof/>
            <w:webHidden/>
          </w:rPr>
          <w:tab/>
        </w:r>
        <w:r>
          <w:rPr>
            <w:noProof/>
            <w:webHidden/>
          </w:rPr>
          <w:fldChar w:fldCharType="begin"/>
        </w:r>
        <w:r>
          <w:rPr>
            <w:noProof/>
            <w:webHidden/>
          </w:rPr>
          <w:instrText xml:space="preserve"> PAGEREF _Toc169094622 \h </w:instrText>
        </w:r>
        <w:r>
          <w:rPr>
            <w:noProof/>
            <w:webHidden/>
          </w:rPr>
        </w:r>
        <w:r>
          <w:rPr>
            <w:noProof/>
            <w:webHidden/>
          </w:rPr>
          <w:fldChar w:fldCharType="separate"/>
        </w:r>
        <w:r>
          <w:rPr>
            <w:noProof/>
            <w:webHidden/>
          </w:rPr>
          <w:t>12</w:t>
        </w:r>
        <w:r>
          <w:rPr>
            <w:noProof/>
            <w:webHidden/>
          </w:rPr>
          <w:fldChar w:fldCharType="end"/>
        </w:r>
      </w:hyperlink>
    </w:p>
    <w:p w14:paraId="09788E0D" w14:textId="5B96AB19" w:rsidR="00C86248" w:rsidRPr="00B47C82" w:rsidRDefault="00432FAA">
      <w:r>
        <w:rPr>
          <w:rFonts w:ascii="Segoe UI Semibold" w:hAnsi="Segoe UI Semibold"/>
          <w:b/>
          <w:sz w:val="24"/>
        </w:rPr>
        <w:fldChar w:fldCharType="end"/>
      </w:r>
    </w:p>
    <w:p w14:paraId="70EE3993" w14:textId="77777777" w:rsidR="002B76A7" w:rsidRPr="00B47C82" w:rsidRDefault="002B76A7" w:rsidP="002B76A7">
      <w:pPr>
        <w:pStyle w:val="TOC1"/>
        <w:keepNext/>
      </w:pPr>
      <w:r w:rsidRPr="00B47C82">
        <w:t>List of Tables</w:t>
      </w:r>
    </w:p>
    <w:p w14:paraId="183B21B8" w14:textId="3238A21B" w:rsidR="00432FAA" w:rsidRDefault="00432FAA">
      <w:pPr>
        <w:pStyle w:val="TOC3"/>
        <w:rPr>
          <w:rFonts w:asciiTheme="minorHAnsi" w:eastAsiaTheme="minorEastAsia" w:hAnsiTheme="minorHAnsi" w:cstheme="minorBidi"/>
          <w:noProof/>
          <w:sz w:val="22"/>
          <w:szCs w:val="22"/>
          <w:lang w:eastAsia="en-NZ"/>
        </w:rPr>
      </w:pPr>
      <w:r>
        <w:fldChar w:fldCharType="begin"/>
      </w:r>
      <w:r>
        <w:instrText xml:space="preserve"> TOC \h \z \t "Table,3" </w:instrText>
      </w:r>
      <w:r>
        <w:fldChar w:fldCharType="separate"/>
      </w:r>
      <w:hyperlink w:anchor="_Toc58238246" w:history="1">
        <w:r w:rsidRPr="003E0A49">
          <w:rPr>
            <w:rStyle w:val="Hyperlink"/>
            <w:noProof/>
          </w:rPr>
          <w:t>Table 1: Associated documents</w:t>
        </w:r>
        <w:r>
          <w:rPr>
            <w:noProof/>
            <w:webHidden/>
          </w:rPr>
          <w:tab/>
        </w:r>
        <w:r>
          <w:rPr>
            <w:noProof/>
            <w:webHidden/>
          </w:rPr>
          <w:fldChar w:fldCharType="begin"/>
        </w:r>
        <w:r>
          <w:rPr>
            <w:noProof/>
            <w:webHidden/>
          </w:rPr>
          <w:instrText xml:space="preserve"> PAGEREF _Toc58238246 \h </w:instrText>
        </w:r>
        <w:r>
          <w:rPr>
            <w:noProof/>
            <w:webHidden/>
          </w:rPr>
        </w:r>
        <w:r>
          <w:rPr>
            <w:noProof/>
            <w:webHidden/>
          </w:rPr>
          <w:fldChar w:fldCharType="separate"/>
        </w:r>
        <w:r w:rsidR="00B606DD">
          <w:rPr>
            <w:noProof/>
            <w:webHidden/>
          </w:rPr>
          <w:t>4</w:t>
        </w:r>
        <w:r>
          <w:rPr>
            <w:noProof/>
            <w:webHidden/>
          </w:rPr>
          <w:fldChar w:fldCharType="end"/>
        </w:r>
      </w:hyperlink>
    </w:p>
    <w:p w14:paraId="2F894DD0" w14:textId="0BDA08B2" w:rsidR="00432FAA" w:rsidRDefault="00711105">
      <w:pPr>
        <w:pStyle w:val="TOC3"/>
        <w:rPr>
          <w:rFonts w:asciiTheme="minorHAnsi" w:eastAsiaTheme="minorEastAsia" w:hAnsiTheme="minorHAnsi" w:cstheme="minorBidi"/>
          <w:noProof/>
          <w:sz w:val="22"/>
          <w:szCs w:val="22"/>
          <w:lang w:eastAsia="en-NZ"/>
        </w:rPr>
      </w:pPr>
      <w:hyperlink w:anchor="_Toc58238247" w:history="1">
        <w:r w:rsidR="00432FAA" w:rsidRPr="003E0A49">
          <w:rPr>
            <w:rStyle w:val="Hyperlink"/>
            <w:noProof/>
          </w:rPr>
          <w:t>Table 2: Polyp risk categories</w:t>
        </w:r>
        <w:r w:rsidR="00432FAA">
          <w:rPr>
            <w:noProof/>
            <w:webHidden/>
          </w:rPr>
          <w:tab/>
        </w:r>
        <w:r w:rsidR="00432FAA">
          <w:rPr>
            <w:noProof/>
            <w:webHidden/>
          </w:rPr>
          <w:fldChar w:fldCharType="begin"/>
        </w:r>
        <w:r w:rsidR="00432FAA">
          <w:rPr>
            <w:noProof/>
            <w:webHidden/>
          </w:rPr>
          <w:instrText xml:space="preserve"> PAGEREF _Toc58238247 \h </w:instrText>
        </w:r>
        <w:r w:rsidR="00432FAA">
          <w:rPr>
            <w:noProof/>
            <w:webHidden/>
          </w:rPr>
        </w:r>
        <w:r w:rsidR="00432FAA">
          <w:rPr>
            <w:noProof/>
            <w:webHidden/>
          </w:rPr>
          <w:fldChar w:fldCharType="separate"/>
        </w:r>
        <w:r w:rsidR="00B606DD">
          <w:rPr>
            <w:noProof/>
            <w:webHidden/>
          </w:rPr>
          <w:t>5</w:t>
        </w:r>
        <w:r w:rsidR="00432FAA">
          <w:rPr>
            <w:noProof/>
            <w:webHidden/>
          </w:rPr>
          <w:fldChar w:fldCharType="end"/>
        </w:r>
      </w:hyperlink>
    </w:p>
    <w:p w14:paraId="38792972" w14:textId="417AE05B" w:rsidR="002B76A7" w:rsidRPr="00B47C82" w:rsidRDefault="00432FAA" w:rsidP="003A5FEA">
      <w:r>
        <w:fldChar w:fldCharType="end"/>
      </w:r>
    </w:p>
    <w:p w14:paraId="1B37D12F" w14:textId="77777777" w:rsidR="0033448B" w:rsidRPr="00B47C82" w:rsidRDefault="0033448B" w:rsidP="0033448B">
      <w:pPr>
        <w:pStyle w:val="TOC1"/>
        <w:keepNext/>
      </w:pPr>
      <w:r w:rsidRPr="00B47C82">
        <w:t>List of Figures</w:t>
      </w:r>
    </w:p>
    <w:p w14:paraId="2A39CC84" w14:textId="0C6B1944" w:rsidR="00432FAA" w:rsidRDefault="00432FAA">
      <w:pPr>
        <w:pStyle w:val="TOC3"/>
        <w:rPr>
          <w:rFonts w:asciiTheme="minorHAnsi" w:eastAsiaTheme="minorEastAsia" w:hAnsiTheme="minorHAnsi" w:cstheme="minorBidi"/>
          <w:noProof/>
          <w:sz w:val="22"/>
          <w:szCs w:val="22"/>
          <w:lang w:eastAsia="en-NZ"/>
        </w:rPr>
      </w:pPr>
      <w:r>
        <w:fldChar w:fldCharType="begin"/>
      </w:r>
      <w:r>
        <w:instrText xml:space="preserve"> TOC \h \z \t "Figure,3" </w:instrText>
      </w:r>
      <w:r>
        <w:fldChar w:fldCharType="separate"/>
      </w:r>
      <w:hyperlink w:anchor="_Toc58238250" w:history="1">
        <w:r w:rsidRPr="00813122">
          <w:rPr>
            <w:rStyle w:val="Hyperlink"/>
            <w:noProof/>
          </w:rPr>
          <w:t>Figure 1: Surveillance intervals based on findings at high-quality colonoscopy</w:t>
        </w:r>
        <w:r>
          <w:rPr>
            <w:noProof/>
            <w:webHidden/>
          </w:rPr>
          <w:tab/>
        </w:r>
        <w:r>
          <w:rPr>
            <w:noProof/>
            <w:webHidden/>
          </w:rPr>
          <w:fldChar w:fldCharType="begin"/>
        </w:r>
        <w:r>
          <w:rPr>
            <w:noProof/>
            <w:webHidden/>
          </w:rPr>
          <w:instrText xml:space="preserve"> PAGEREF _Toc58238250 \h </w:instrText>
        </w:r>
        <w:r>
          <w:rPr>
            <w:noProof/>
            <w:webHidden/>
          </w:rPr>
        </w:r>
        <w:r>
          <w:rPr>
            <w:noProof/>
            <w:webHidden/>
          </w:rPr>
          <w:fldChar w:fldCharType="separate"/>
        </w:r>
        <w:r w:rsidR="00B606DD">
          <w:rPr>
            <w:noProof/>
            <w:webHidden/>
          </w:rPr>
          <w:t>6</w:t>
        </w:r>
        <w:r>
          <w:rPr>
            <w:noProof/>
            <w:webHidden/>
          </w:rPr>
          <w:fldChar w:fldCharType="end"/>
        </w:r>
      </w:hyperlink>
    </w:p>
    <w:p w14:paraId="64963B64" w14:textId="0667BB40" w:rsidR="0033448B" w:rsidRPr="00B47C82" w:rsidRDefault="00432FAA" w:rsidP="0033448B">
      <w:r>
        <w:fldChar w:fldCharType="end"/>
      </w:r>
    </w:p>
    <w:p w14:paraId="7271508E" w14:textId="77777777" w:rsidR="00852C5D" w:rsidRPr="00B47C82" w:rsidRDefault="00852C5D" w:rsidP="003A5FEA"/>
    <w:p w14:paraId="002C40A4" w14:textId="77777777" w:rsidR="001D3E4E" w:rsidRPr="00B47C82" w:rsidRDefault="001D3E4E" w:rsidP="003A5FEA">
      <w:pPr>
        <w:sectPr w:rsidR="001D3E4E" w:rsidRPr="00B47C82" w:rsidSect="00925892">
          <w:headerReference w:type="even" r:id="rId19"/>
          <w:headerReference w:type="default" r:id="rId20"/>
          <w:footerReference w:type="even" r:id="rId21"/>
          <w:footerReference w:type="default" r:id="rId22"/>
          <w:pgSz w:w="11907" w:h="16840" w:code="9"/>
          <w:pgMar w:top="1418" w:right="1701" w:bottom="1134" w:left="1843" w:header="284" w:footer="425" w:gutter="284"/>
          <w:pgNumType w:fmt="lowerRoman"/>
          <w:cols w:space="720"/>
        </w:sectPr>
      </w:pPr>
    </w:p>
    <w:p w14:paraId="3CB87A2B" w14:textId="77777777" w:rsidR="008C2973" w:rsidRPr="00B47C82" w:rsidRDefault="00C45647" w:rsidP="00F54E74">
      <w:pPr>
        <w:pStyle w:val="Heading1"/>
      </w:pPr>
      <w:bookmarkStart w:id="2" w:name="_Toc169094606"/>
      <w:r>
        <w:lastRenderedPageBreak/>
        <w:t>Introduction</w:t>
      </w:r>
      <w:bookmarkEnd w:id="2"/>
    </w:p>
    <w:p w14:paraId="0C338C02" w14:textId="77777777" w:rsidR="00C45647" w:rsidRPr="000B3E9E" w:rsidRDefault="00C45647" w:rsidP="00F0254D">
      <w:r w:rsidRPr="000B3E9E">
        <w:t>Te Aho o Te Kahu</w:t>
      </w:r>
      <w:r>
        <w:t xml:space="preserve">, </w:t>
      </w:r>
      <w:r w:rsidRPr="000B3E9E">
        <w:t>the Cancer Control Agency</w:t>
      </w:r>
      <w:r>
        <w:t xml:space="preserve"> (</w:t>
      </w:r>
      <w:proofErr w:type="spellStart"/>
      <w:r>
        <w:t>TAoTK</w:t>
      </w:r>
      <w:proofErr w:type="spellEnd"/>
      <w:r>
        <w:t>)</w:t>
      </w:r>
      <w:r w:rsidRPr="000B3E9E">
        <w:t xml:space="preserve"> in partnership with the National Screening Unit, Ministry of Health</w:t>
      </w:r>
      <w:r>
        <w:t xml:space="preserve"> (the Ministry)</w:t>
      </w:r>
      <w:r w:rsidRPr="000B3E9E">
        <w:t xml:space="preserve"> endorses this advice on surveillance colonoscopy for follow-up after removal of polyps. This advice sets out appropriate practice for clinicians to follow subject to their own judgement. It has been developed to help them make decisions in this area.</w:t>
      </w:r>
    </w:p>
    <w:p w14:paraId="308ED60F" w14:textId="77777777" w:rsidR="00F0254D" w:rsidRDefault="00F0254D" w:rsidP="00F0254D"/>
    <w:p w14:paraId="72B6D32A" w14:textId="77777777" w:rsidR="00C45647" w:rsidRPr="000B3E9E" w:rsidRDefault="00C45647" w:rsidP="00F0254D">
      <w:r w:rsidRPr="000B3E9E">
        <w:t>The advice was developed to align with recent publications from the United Kingdom, the United States, Australia and Europe</w:t>
      </w:r>
      <w:r w:rsidRPr="00D514C5">
        <w:t xml:space="preserve"> </w:t>
      </w:r>
      <w:r>
        <w:fldChar w:fldCharType="begin">
          <w:fldData xml:space="preserve">PEVuZE5vdGU+PENpdGU+PEF1dGhvcj5DYW5jZXIgQ291bmNpbCBBdXN0cmFsaWEgU3VydmVpbGxh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</w:fldData>
        </w:fldChar>
      </w:r>
      <w:r>
        <w:instrText xml:space="preserve"> ADDIN EN.CITE </w:instrText>
      </w:r>
      <w:r>
        <w:fldChar w:fldCharType="begin">
          <w:fldData xml:space="preserve">PEVuZE5vdGU+PENpdGU+PEF1dGhvcj5DYW5jZXIgQ291bmNpbCBBdXN0cmFsaWEgU3VydmVpbGxh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</w:fldData>
        </w:fldChar>
      </w:r>
      <w:r>
        <w:instrText xml:space="preserve"> ADDIN EN.CITE.DATA </w:instrText>
      </w:r>
      <w:r>
        <w:fldChar w:fldCharType="end"/>
      </w:r>
      <w:r>
        <w:fldChar w:fldCharType="separate"/>
      </w:r>
      <w:r>
        <w:rPr>
          <w:noProof/>
        </w:rPr>
        <w:t>(</w:t>
      </w:r>
      <w:hyperlink w:anchor="_ENREF_1" w:tooltip="Cancer Council Australia Surveillance Colonoscopy Guidelines Working Party, 2019 #3" w:history="1">
        <w:r>
          <w:rPr>
            <w:noProof/>
          </w:rPr>
          <w:t>Cancer Council Australia Surveillance Colonoscopy Guidelines Working Party 2019</w:t>
        </w:r>
      </w:hyperlink>
      <w:r w:rsidR="00F0254D">
        <w:rPr>
          <w:noProof/>
        </w:rPr>
        <w:t>;</w:t>
      </w:r>
      <w:r>
        <w:rPr>
          <w:noProof/>
        </w:rPr>
        <w:t xml:space="preserve"> </w:t>
      </w:r>
      <w:hyperlink w:anchor="_ENREF_6" w:tooltip="Gupta, 2020 #2" w:history="1">
        <w:r>
          <w:rPr>
            <w:noProof/>
          </w:rPr>
          <w:t>Gupta, Lieberman et al 2020</w:t>
        </w:r>
      </w:hyperlink>
      <w:r w:rsidR="00F0254D">
        <w:rPr>
          <w:noProof/>
        </w:rPr>
        <w:t>;</w:t>
      </w:r>
      <w:r>
        <w:rPr>
          <w:noProof/>
        </w:rPr>
        <w:t xml:space="preserve"> </w:t>
      </w:r>
      <w:hyperlink w:anchor="_ENREF_7" w:tooltip="Hassan, 2020 #4" w:history="1">
        <w:r>
          <w:rPr>
            <w:noProof/>
          </w:rPr>
          <w:t>Hassan, Antonelli et al 2020</w:t>
        </w:r>
      </w:hyperlink>
      <w:r w:rsidR="00F0254D">
        <w:rPr>
          <w:noProof/>
        </w:rPr>
        <w:t>;</w:t>
      </w:r>
      <w:r>
        <w:rPr>
          <w:noProof/>
        </w:rPr>
        <w:t xml:space="preserve"> </w:t>
      </w:r>
      <w:hyperlink w:anchor="_ENREF_12" w:tooltip="Rutter, 2020 #1" w:history="1">
        <w:r>
          <w:rPr>
            <w:noProof/>
          </w:rPr>
          <w:t>Rutter, East et al 2020</w:t>
        </w:r>
      </w:hyperlink>
      <w:r>
        <w:rPr>
          <w:noProof/>
        </w:rPr>
        <w:t>)</w:t>
      </w:r>
      <w:r>
        <w:fldChar w:fldCharType="end"/>
      </w:r>
      <w:r w:rsidRPr="000B3E9E">
        <w:t>.</w:t>
      </w:r>
      <w:r w:rsidR="00F0254D">
        <w:t xml:space="preserve"> </w:t>
      </w:r>
      <w:r w:rsidRPr="000B3E9E">
        <w:t>These publications, based on updated available evidence up to June 2019, indicated that previous guidelines would now recommend over surveillance for some groups.</w:t>
      </w:r>
    </w:p>
    <w:p w14:paraId="6ACFEAAA" w14:textId="77777777" w:rsidR="00F0254D" w:rsidRDefault="00F0254D" w:rsidP="00F0254D"/>
    <w:p w14:paraId="456A7810" w14:textId="77777777" w:rsidR="00C45647" w:rsidRPr="000B3E9E" w:rsidRDefault="00C45647" w:rsidP="00F0254D">
      <w:r w:rsidRPr="000B3E9E">
        <w:t>A technical advisory group with the required expertise was established and has undertaken a systematic review of recent literature. Members of the group included a range of clinicians and some members of the National Bowel Cancer Working Group (NBCWG). Their role was to review the evidence and consider implementation of a similar polyp follow-up approach in New Zealand.</w:t>
      </w:r>
    </w:p>
    <w:p w14:paraId="208CE4D7" w14:textId="77777777" w:rsidR="00F0254D" w:rsidRDefault="00F0254D" w:rsidP="00F0254D"/>
    <w:p w14:paraId="5833DC94" w14:textId="77777777" w:rsidR="00C45647" w:rsidRDefault="00C45647" w:rsidP="00F0254D">
      <w:r w:rsidRPr="000B3E9E">
        <w:t>The New Zealand specialists in the technical advisory group are routinely involved in the diagnosis, management and surveillance of patients identified to have bowel polyps.</w:t>
      </w:r>
    </w:p>
    <w:p w14:paraId="58A1F6C0" w14:textId="77777777" w:rsidR="00F0254D" w:rsidRDefault="00F0254D" w:rsidP="00F0254D"/>
    <w:p w14:paraId="58840D8C" w14:textId="77777777" w:rsidR="00C45647" w:rsidRDefault="00C45647" w:rsidP="00F0254D">
      <w:r w:rsidRPr="000B3E9E">
        <w:t>Acknowledgements go to:</w:t>
      </w:r>
    </w:p>
    <w:p w14:paraId="5D089FFB" w14:textId="77777777" w:rsidR="00C45647" w:rsidRDefault="00C45647" w:rsidP="00F0254D">
      <w:pPr>
        <w:pStyle w:val="Bullet"/>
      </w:pPr>
      <w:r>
        <w:t>Ian Bissett, Chair of NBCWG, Colorectal surgeon, Department of Surgery, University of Auckland</w:t>
      </w:r>
    </w:p>
    <w:p w14:paraId="2EEE3E25" w14:textId="77777777" w:rsidR="00C45647" w:rsidRDefault="00C45647" w:rsidP="00F0254D">
      <w:pPr>
        <w:pStyle w:val="Bullet"/>
      </w:pPr>
      <w:r>
        <w:t>Susan Parry, Gastroenterologist, Clinical Lead of National Bowel Screening Programme, Ministry of Health</w:t>
      </w:r>
    </w:p>
    <w:p w14:paraId="04D2E2BE" w14:textId="77777777" w:rsidR="00C45647" w:rsidRDefault="00C45647" w:rsidP="00F0254D">
      <w:pPr>
        <w:pStyle w:val="Bullet"/>
      </w:pPr>
      <w:r>
        <w:t>Campbell White, Physician, Taranaki Base Hospital</w:t>
      </w:r>
    </w:p>
    <w:p w14:paraId="29514993" w14:textId="77777777" w:rsidR="00C45647" w:rsidRDefault="00C45647" w:rsidP="00F0254D">
      <w:pPr>
        <w:pStyle w:val="Bullet"/>
      </w:pPr>
      <w:r>
        <w:t>Chris Hemmings, Pathologist, Clinical Director of Anatomic Pathology, Canterbury Health Laboratories; University of Otago</w:t>
      </w:r>
    </w:p>
    <w:p w14:paraId="2E8048DF" w14:textId="77777777" w:rsidR="00C45647" w:rsidRDefault="00C45647" w:rsidP="00F0254D">
      <w:pPr>
        <w:pStyle w:val="Bullet"/>
      </w:pPr>
      <w:r>
        <w:t>David Vernon, General surgeon, Lakes District Health Board (DHB)</w:t>
      </w:r>
    </w:p>
    <w:p w14:paraId="0A785CE5" w14:textId="77777777" w:rsidR="00C45647" w:rsidRDefault="00C45647" w:rsidP="00F0254D">
      <w:pPr>
        <w:pStyle w:val="Bullet"/>
      </w:pPr>
      <w:r>
        <w:t>Marianne Lill, General surgeon, Whanganui DHB</w:t>
      </w:r>
    </w:p>
    <w:p w14:paraId="4690746A" w14:textId="77777777" w:rsidR="00C45647" w:rsidRDefault="00C45647" w:rsidP="00F0254D">
      <w:pPr>
        <w:pStyle w:val="Bullet"/>
      </w:pPr>
      <w:r>
        <w:t xml:space="preserve">Masato </w:t>
      </w:r>
      <w:proofErr w:type="spellStart"/>
      <w:r>
        <w:t>Yozu</w:t>
      </w:r>
      <w:proofErr w:type="spellEnd"/>
      <w:r>
        <w:t>, Pathologist, Counties Manukau DHB</w:t>
      </w:r>
    </w:p>
    <w:p w14:paraId="2ECEDB54" w14:textId="77777777" w:rsidR="00C45647" w:rsidRDefault="00C45647" w:rsidP="00F0254D">
      <w:pPr>
        <w:pStyle w:val="Bullet"/>
      </w:pPr>
      <w:r>
        <w:t xml:space="preserve">Russell Walmsley, Gastroenterologist, </w:t>
      </w:r>
      <w:proofErr w:type="spellStart"/>
      <w:r>
        <w:t>Waitematā</w:t>
      </w:r>
      <w:proofErr w:type="spellEnd"/>
      <w:r>
        <w:t xml:space="preserve"> DHB, University of Auckland</w:t>
      </w:r>
    </w:p>
    <w:p w14:paraId="50C0F0AB" w14:textId="77777777" w:rsidR="00C45647" w:rsidRDefault="00C45647" w:rsidP="00F0254D">
      <w:pPr>
        <w:pStyle w:val="Bullet"/>
      </w:pPr>
      <w:r>
        <w:t xml:space="preserve">Siraj Rajaratnam, Colorectal surgeon, </w:t>
      </w:r>
      <w:proofErr w:type="spellStart"/>
      <w:r>
        <w:t>Waitematā</w:t>
      </w:r>
      <w:proofErr w:type="spellEnd"/>
      <w:r>
        <w:t xml:space="preserve"> DHB</w:t>
      </w:r>
    </w:p>
    <w:p w14:paraId="14DDB115" w14:textId="77777777" w:rsidR="00C45647" w:rsidRDefault="00C45647" w:rsidP="00F0254D">
      <w:pPr>
        <w:pStyle w:val="Bullet"/>
      </w:pPr>
      <w:r>
        <w:t>Teresa Chalmers-Watson, Gastroenterologist, Canterbury DHB, University of Otago.</w:t>
      </w:r>
    </w:p>
    <w:p w14:paraId="17DF27C1" w14:textId="77777777" w:rsidR="00F0254D" w:rsidRDefault="00F0254D" w:rsidP="00F0254D"/>
    <w:p w14:paraId="6704E8A2" w14:textId="77777777" w:rsidR="00C45647" w:rsidRDefault="00C45647" w:rsidP="00F0254D">
      <w:r>
        <w:t xml:space="preserve">For New Zealand’s previous </w:t>
      </w:r>
      <w:r w:rsidRPr="008F67BB">
        <w:rPr>
          <w:i/>
        </w:rPr>
        <w:t>Guidance on Surveillance for People at Increased Risk of Colorectal Cancer</w:t>
      </w:r>
      <w:r>
        <w:t xml:space="preserve">, published in February 2012, go to </w:t>
      </w:r>
      <w:hyperlink r:id="rId23" w:history="1">
        <w:r w:rsidRPr="00DC3225">
          <w:rPr>
            <w:rStyle w:val="Hyperlink"/>
          </w:rPr>
          <w:t>www.health.govt.nz/publications</w:t>
        </w:r>
      </w:hyperlink>
      <w:r w:rsidR="00F0254D">
        <w:t>.</w:t>
      </w:r>
    </w:p>
    <w:p w14:paraId="425D80AB" w14:textId="77777777" w:rsidR="00F0254D" w:rsidRDefault="00F0254D" w:rsidP="00F0254D"/>
    <w:p w14:paraId="181DF697" w14:textId="77777777" w:rsidR="00C45647" w:rsidRDefault="00C45647" w:rsidP="00F0254D">
      <w:pPr>
        <w:keepLines/>
      </w:pPr>
      <w:r>
        <w:lastRenderedPageBreak/>
        <w:t xml:space="preserve">Ensuring an equity focus is a priority for </w:t>
      </w:r>
      <w:proofErr w:type="spellStart"/>
      <w:r>
        <w:t>TAoTK</w:t>
      </w:r>
      <w:proofErr w:type="spellEnd"/>
      <w:r>
        <w:t xml:space="preserve"> and the Ministry. Evidence indicates that Māori are less likely to have access to early diagnosis for some cancers, including colorectal cancers, than non-Māori. Breaking down barriers for Māori to access surveillance colonoscopy will allow a greater proportion of cancers to be detected early and managed well, leading to more curative treatment and subsequent improvements in survival for Māori patients.</w:t>
      </w:r>
    </w:p>
    <w:p w14:paraId="5089C9DC" w14:textId="77777777" w:rsidR="00C45647" w:rsidRDefault="00C45647" w:rsidP="00F0254D"/>
    <w:p w14:paraId="5111CFF1" w14:textId="77777777" w:rsidR="00C45647" w:rsidRDefault="00C45647" w:rsidP="00F0254D">
      <w:r w:rsidRPr="005B0B4A">
        <w:rPr>
          <w:b/>
        </w:rPr>
        <w:t>Note:</w:t>
      </w:r>
      <w:r>
        <w:t xml:space="preserve"> This document is updating only the polyp surveillance section of the previous guidelines. An update on other aspects will also be developed. New Zealand colonoscopy capacity is constrained, and we anticipate that these guidelines will reduce demand.</w:t>
      </w:r>
    </w:p>
    <w:p w14:paraId="33633448" w14:textId="77777777" w:rsidR="00C45647" w:rsidRDefault="00C45647" w:rsidP="00F0254D"/>
    <w:p w14:paraId="7FD97EED" w14:textId="77777777" w:rsidR="00C45647" w:rsidRDefault="00C45647" w:rsidP="00C45647">
      <w:r>
        <w:t>Professor Diana Sarfati</w:t>
      </w:r>
    </w:p>
    <w:p w14:paraId="55E742F5" w14:textId="77777777" w:rsidR="00C45647" w:rsidRDefault="00C45647" w:rsidP="00C45647">
      <w:r>
        <w:t>Chief Executive</w:t>
      </w:r>
    </w:p>
    <w:p w14:paraId="24008A65" w14:textId="601AAA3E" w:rsidR="00C45647" w:rsidRDefault="00C45647" w:rsidP="00F0254D">
      <w:pPr>
        <w:tabs>
          <w:tab w:val="left" w:pos="4253"/>
          <w:tab w:val="right" w:leader="underscore" w:pos="8079"/>
        </w:tabs>
      </w:pPr>
      <w:r>
        <w:t>Te Aho o Te Kahu</w:t>
      </w:r>
    </w:p>
    <w:p w14:paraId="43CA12EB" w14:textId="77777777" w:rsidR="00F0254D" w:rsidRDefault="00F0254D" w:rsidP="00F0254D"/>
    <w:p w14:paraId="3A448D20" w14:textId="77777777" w:rsidR="00C45647" w:rsidRDefault="00C45647" w:rsidP="00F0254D">
      <w:r>
        <w:t>Professor Ian Bissett</w:t>
      </w:r>
    </w:p>
    <w:p w14:paraId="72E6D099" w14:textId="77777777" w:rsidR="00C45647" w:rsidRDefault="00C45647" w:rsidP="00C45647">
      <w:r>
        <w:t>Chair</w:t>
      </w:r>
    </w:p>
    <w:p w14:paraId="1BDD84D5" w14:textId="5D4FE44A" w:rsidR="00C45647" w:rsidRDefault="00C45647" w:rsidP="00F0254D">
      <w:pPr>
        <w:tabs>
          <w:tab w:val="left" w:pos="4253"/>
          <w:tab w:val="right" w:leader="underscore" w:pos="8079"/>
        </w:tabs>
      </w:pPr>
      <w:r>
        <w:t>National Bowel Cancer Working Group</w:t>
      </w:r>
    </w:p>
    <w:p w14:paraId="1C3D8D9D" w14:textId="77777777" w:rsidR="00C45647" w:rsidRDefault="00C45647" w:rsidP="00C45647"/>
    <w:p w14:paraId="006E764A" w14:textId="77777777" w:rsidR="00C45647" w:rsidRDefault="00C45647" w:rsidP="00C45647">
      <w:r>
        <w:t>Dr Susan Parry</w:t>
      </w:r>
    </w:p>
    <w:p w14:paraId="28BC957A" w14:textId="77777777" w:rsidR="00C45647" w:rsidRDefault="00C45647" w:rsidP="00C45647">
      <w:r>
        <w:t>Clinical Lead</w:t>
      </w:r>
    </w:p>
    <w:p w14:paraId="65BF43AF" w14:textId="0F3296AB" w:rsidR="00C45647" w:rsidRDefault="00C45647" w:rsidP="00F0254D">
      <w:pPr>
        <w:tabs>
          <w:tab w:val="left" w:pos="4253"/>
          <w:tab w:val="right" w:leader="underscore" w:pos="8079"/>
        </w:tabs>
      </w:pPr>
      <w:r>
        <w:t>National Bowel Cancer Screening Programme</w:t>
      </w:r>
    </w:p>
    <w:p w14:paraId="75947829" w14:textId="77777777" w:rsidR="00F0254D" w:rsidRDefault="00F0254D" w:rsidP="00F0254D"/>
    <w:p w14:paraId="5BD2AE7C" w14:textId="77777777" w:rsidR="00C45647" w:rsidRPr="003F617D" w:rsidRDefault="00C45647" w:rsidP="007A119E">
      <w:pPr>
        <w:pStyle w:val="Heading1"/>
      </w:pPr>
      <w:bookmarkStart w:id="3" w:name="_Toc57902164"/>
      <w:bookmarkStart w:id="4" w:name="_Toc169094607"/>
      <w:r>
        <w:lastRenderedPageBreak/>
        <w:t>Purpose of this advice</w:t>
      </w:r>
      <w:bookmarkEnd w:id="3"/>
      <w:bookmarkEnd w:id="4"/>
    </w:p>
    <w:p w14:paraId="3C7CB2F9" w14:textId="77777777" w:rsidR="00C45647" w:rsidRDefault="00C45647" w:rsidP="007A119E">
      <w:r>
        <w:t xml:space="preserve">The main purpose of this document is to provide recommendations for surveillance after colonoscopy and complete removal of adenomas and serrated polyps. The recommendations are the same for initial and subsequent procedures and may, if </w:t>
      </w:r>
      <w:r w:rsidRPr="00E70777">
        <w:rPr>
          <w:b/>
        </w:rPr>
        <w:t>appropriate</w:t>
      </w:r>
      <w:r>
        <w:t>, be applied to colonoscopy procedures that have been completed before we released this guidance.</w:t>
      </w:r>
    </w:p>
    <w:p w14:paraId="16EAD1D4" w14:textId="77777777" w:rsidR="007A119E" w:rsidRDefault="007A119E" w:rsidP="007A119E"/>
    <w:p w14:paraId="49805D8C" w14:textId="77777777" w:rsidR="00C45647" w:rsidRDefault="00C45647" w:rsidP="007A119E">
      <w:r>
        <w:t>Patients outside the scope of this advice are those with hereditary colorectal cancer syndromes (for example, Lynch syndrome or Familial Adenomatous Polyposis), inflammatory bowel disease, personal history of colorectal cancer, and family history that warrants investigation for hereditary colorectal cancer syndromes</w:t>
      </w:r>
      <w:r w:rsidRPr="000E4485">
        <w:t xml:space="preserve"> </w:t>
      </w:r>
      <w:r>
        <w:fldChar w:fldCharType="begin"/>
      </w:r>
      <w:r>
        <w:instrText xml:space="preserve"> ADDIN EN.CITE &lt;EndNote&gt;&lt;Cite&gt;&lt;Author&gt;Ministry of Health&lt;/Author&gt;&lt;Year&gt;2012&lt;/Year&gt;&lt;RecNum&gt;5&lt;/RecNum&gt;&lt;DisplayText&gt;(Ministry of Health 2012)&lt;/DisplayText&gt;&lt;record&gt;&lt;rec-number&gt;5&lt;/rec-number&gt;&lt;foreign-keys&gt;&lt;key app="EN" db-id="rz02vvx9eafpazev0tiptsz8evx0fwt2pp0t"&gt;5&lt;/key&gt;&lt;/foreign-keys&gt;&lt;ref-type name="Web Page"&gt;12&lt;/ref-type&gt;&lt;contributors&gt;&lt;authors&gt;&lt;author&gt;Ministry of Health,&lt;/author&gt;&lt;/authors&gt;&lt;/contributors&gt;&lt;titles&gt;&lt;title&gt;Guidance on Surveillance for People at Increased Risk of Colorectal Cancer&lt;/title&gt;&lt;/titles&gt;&lt;number&gt;13 August 2020&lt;/number&gt;&lt;dates&gt;&lt;year&gt;2012&lt;/year&gt;&lt;/dates&gt;&lt;pub-location&gt;Wellington&lt;/pub-location&gt;&lt;publisher&gt;Ministry of Health&lt;/publisher&gt;&lt;urls&gt;&lt;related-urls&gt;&lt;url&gt;https://www.health.govt.nz/system/files/documents/publications/colorectal-cancer-surveillance-guidance.pdf&lt;/url&gt;&lt;/related-urls&gt;&lt;/urls&gt;&lt;/record&gt;&lt;/Cite&gt;&lt;/EndNote&gt;</w:instrText>
      </w:r>
      <w:r>
        <w:fldChar w:fldCharType="separate"/>
      </w:r>
      <w:r>
        <w:rPr>
          <w:noProof/>
        </w:rPr>
        <w:t>(</w:t>
      </w:r>
      <w:hyperlink w:anchor="_ENREF_10" w:tooltip="Ministry of Health, 2012 #5" w:history="1">
        <w:r>
          <w:rPr>
            <w:noProof/>
          </w:rPr>
          <w:t>Ministry of Health 2012</w:t>
        </w:r>
      </w:hyperlink>
      <w:r>
        <w:rPr>
          <w:noProof/>
        </w:rPr>
        <w:t>)</w:t>
      </w:r>
      <w:r>
        <w:fldChar w:fldCharType="end"/>
      </w:r>
      <w:r w:rsidR="007A119E">
        <w:t>.</w:t>
      </w:r>
    </w:p>
    <w:p w14:paraId="5C91B227" w14:textId="77777777" w:rsidR="007A119E" w:rsidRDefault="007A119E" w:rsidP="007A119E"/>
    <w:p w14:paraId="5C6C6A64" w14:textId="77777777" w:rsidR="00C45647" w:rsidRPr="003F617D" w:rsidRDefault="00C45647" w:rsidP="00FA4448">
      <w:pPr>
        <w:pStyle w:val="Heading1"/>
        <w:pageBreakBefore w:val="0"/>
        <w:spacing w:before="1440"/>
      </w:pPr>
      <w:bookmarkStart w:id="5" w:name="_Toc57902165"/>
      <w:bookmarkStart w:id="6" w:name="_Toc169094608"/>
      <w:r>
        <w:t>Audience for these guidelines</w:t>
      </w:r>
      <w:bookmarkEnd w:id="5"/>
      <w:bookmarkEnd w:id="6"/>
    </w:p>
    <w:p w14:paraId="463A7191" w14:textId="77777777" w:rsidR="00C45647" w:rsidRDefault="00C45647" w:rsidP="007A119E">
      <w:r w:rsidRPr="007C7C43">
        <w:t xml:space="preserve">This advice is </w:t>
      </w:r>
      <w:r>
        <w:t>relevant to</w:t>
      </w:r>
      <w:r w:rsidRPr="007C7C43">
        <w:t xml:space="preserve"> clinicians providing colorectal polyp surveillance. All </w:t>
      </w:r>
      <w:r>
        <w:t xml:space="preserve">district health boards, </w:t>
      </w:r>
      <w:proofErr w:type="gramStart"/>
      <w:r>
        <w:t>whether or not</w:t>
      </w:r>
      <w:proofErr w:type="gramEnd"/>
      <w:r>
        <w:t xml:space="preserve"> they have begun to participate in the</w:t>
      </w:r>
      <w:r w:rsidRPr="007C7C43">
        <w:t xml:space="preserve"> National Bowel Screening Programme</w:t>
      </w:r>
      <w:r>
        <w:t xml:space="preserve">, </w:t>
      </w:r>
      <w:r w:rsidRPr="007C7C43">
        <w:t xml:space="preserve">are expected to offer </w:t>
      </w:r>
      <w:proofErr w:type="spellStart"/>
      <w:r w:rsidRPr="007C7C43">
        <w:t>colonoscopic</w:t>
      </w:r>
      <w:proofErr w:type="spellEnd"/>
      <w:r w:rsidRPr="007C7C43">
        <w:t xml:space="preserve"> polyp surveillance in line with this advice.</w:t>
      </w:r>
    </w:p>
    <w:p w14:paraId="4B23AF73" w14:textId="77777777" w:rsidR="007A119E" w:rsidRDefault="007A119E" w:rsidP="007A119E"/>
    <w:p w14:paraId="330EBE92" w14:textId="77777777" w:rsidR="00C45647" w:rsidRDefault="00C45647" w:rsidP="007A119E">
      <w:pPr>
        <w:pStyle w:val="Heading1"/>
      </w:pPr>
      <w:bookmarkStart w:id="7" w:name="_Toc57902166"/>
      <w:bookmarkStart w:id="8" w:name="_Toc169094609"/>
      <w:r>
        <w:lastRenderedPageBreak/>
        <w:t>Associated documents</w:t>
      </w:r>
      <w:bookmarkEnd w:id="7"/>
      <w:bookmarkEnd w:id="8"/>
    </w:p>
    <w:p w14:paraId="57B1C12D" w14:textId="77777777" w:rsidR="00C45647" w:rsidRDefault="00C45647" w:rsidP="007A119E">
      <w:pPr>
        <w:pStyle w:val="Table"/>
      </w:pPr>
      <w:bookmarkStart w:id="9" w:name="_Toc58238246"/>
      <w:r>
        <w:t>Table 1: Associated documents</w:t>
      </w:r>
      <w:bookmarkEnd w:id="9"/>
    </w:p>
    <w:tbl>
      <w:tblPr>
        <w:tblStyle w:val="TableGrid"/>
        <w:tblW w:w="8080" w:type="dxa"/>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8080"/>
      </w:tblGrid>
      <w:tr w:rsidR="00C33A5E" w14:paraId="71C3C218" w14:textId="77777777" w:rsidTr="00C33A5E">
        <w:trPr>
          <w:cantSplit/>
        </w:trPr>
        <w:tc>
          <w:tcPr>
            <w:tcW w:w="8080" w:type="dxa"/>
            <w:tcBorders>
              <w:top w:val="single" w:sz="4" w:space="0" w:color="C2D9BA"/>
              <w:bottom w:val="single" w:sz="4" w:space="0" w:color="C2D9BA"/>
            </w:tcBorders>
          </w:tcPr>
          <w:p w14:paraId="594CC8E4" w14:textId="77777777" w:rsidR="00C33A5E" w:rsidRPr="006F4D0D" w:rsidRDefault="00C33A5E" w:rsidP="00791F2E">
            <w:pPr>
              <w:pStyle w:val="TableText"/>
              <w:rPr>
                <w:rFonts w:eastAsiaTheme="minorHAnsi"/>
                <w:lang w:eastAsia="en-US"/>
              </w:rPr>
            </w:pPr>
            <w:r w:rsidRPr="006F4D0D">
              <w:rPr>
                <w:rFonts w:eastAsiaTheme="minorHAnsi"/>
                <w:lang w:eastAsia="en-US"/>
              </w:rPr>
              <w:t>Ministry of Health</w:t>
            </w:r>
            <w:r>
              <w:rPr>
                <w:rFonts w:eastAsiaTheme="minorHAnsi"/>
                <w:lang w:eastAsia="en-US"/>
              </w:rPr>
              <w:t>.</w:t>
            </w:r>
            <w:r w:rsidRPr="006F4D0D">
              <w:rPr>
                <w:rFonts w:eastAsiaTheme="minorHAnsi"/>
                <w:lang w:eastAsia="en-US"/>
              </w:rPr>
              <w:t xml:space="preserve"> 2012. </w:t>
            </w:r>
            <w:r w:rsidRPr="00791F2E">
              <w:rPr>
                <w:rFonts w:eastAsiaTheme="minorHAnsi"/>
                <w:i/>
                <w:lang w:eastAsia="en-US"/>
              </w:rPr>
              <w:t>Guidance on Surveillance for People at Increased Risk of Colorectal Cancer</w:t>
            </w:r>
            <w:r w:rsidRPr="006F4D0D">
              <w:rPr>
                <w:rFonts w:eastAsiaTheme="minorHAnsi"/>
                <w:lang w:eastAsia="en-US"/>
              </w:rPr>
              <w:t xml:space="preserve">. Retrieved 13 August 2020, from </w:t>
            </w:r>
            <w:hyperlink r:id="rId24" w:history="1">
              <w:r w:rsidRPr="00791F2E">
                <w:rPr>
                  <w:rStyle w:val="Hyperlink"/>
                  <w:rFonts w:eastAsiaTheme="minorHAnsi"/>
                  <w:lang w:eastAsia="en-US"/>
                </w:rPr>
                <w:t>https://www.health.govt.nz/system/files/documents/publications/colorectal-cancer-surveillance-guidance.pdf</w:t>
              </w:r>
            </w:hyperlink>
          </w:p>
        </w:tc>
      </w:tr>
      <w:tr w:rsidR="00C33A5E" w14:paraId="7C30AADD" w14:textId="77777777" w:rsidTr="00C33A5E">
        <w:trPr>
          <w:cantSplit/>
        </w:trPr>
        <w:tc>
          <w:tcPr>
            <w:tcW w:w="8080" w:type="dxa"/>
            <w:tcBorders>
              <w:top w:val="single" w:sz="4" w:space="0" w:color="C2D9BA"/>
              <w:bottom w:val="single" w:sz="4" w:space="0" w:color="C2D9BA"/>
            </w:tcBorders>
          </w:tcPr>
          <w:p w14:paraId="7DFA08CD" w14:textId="77777777" w:rsidR="00C33A5E" w:rsidRPr="006F4D0D" w:rsidRDefault="00C33A5E" w:rsidP="00791F2E">
            <w:pPr>
              <w:pStyle w:val="TableText"/>
              <w:rPr>
                <w:rFonts w:eastAsiaTheme="minorHAnsi"/>
                <w:lang w:eastAsia="en-US"/>
              </w:rPr>
            </w:pPr>
            <w:r w:rsidRPr="006F4D0D">
              <w:rPr>
                <w:rFonts w:eastAsiaTheme="minorHAnsi"/>
                <w:lang w:eastAsia="en-US"/>
              </w:rPr>
              <w:t xml:space="preserve">Rutter MD, et al. 2020. British Society of Gastroenterology/Association of Coloproctology of Great Britain and Ireland/Public Health England post-polypectomy and post-colorectal cancer resection surveillance guidelines. </w:t>
            </w:r>
            <w:r w:rsidRPr="00791F2E">
              <w:rPr>
                <w:rFonts w:eastAsiaTheme="minorHAnsi"/>
                <w:i/>
                <w:lang w:eastAsia="en-US"/>
              </w:rPr>
              <w:t>Gut</w:t>
            </w:r>
            <w:r w:rsidRPr="006F4D0D">
              <w:rPr>
                <w:rFonts w:eastAsiaTheme="minorHAnsi"/>
                <w:lang w:eastAsia="en-US"/>
              </w:rPr>
              <w:t xml:space="preserve"> 69(2): 201</w:t>
            </w:r>
            <w:r>
              <w:rPr>
                <w:rFonts w:eastAsiaTheme="minorHAnsi"/>
                <w:lang w:eastAsia="en-US"/>
              </w:rPr>
              <w:t>–</w:t>
            </w:r>
            <w:r w:rsidRPr="006F4D0D">
              <w:rPr>
                <w:rFonts w:eastAsiaTheme="minorHAnsi"/>
                <w:lang w:eastAsia="en-US"/>
              </w:rPr>
              <w:t>23.</w:t>
            </w:r>
          </w:p>
        </w:tc>
      </w:tr>
      <w:tr w:rsidR="00C33A5E" w14:paraId="16208EC9" w14:textId="77777777" w:rsidTr="00C33A5E">
        <w:trPr>
          <w:cantSplit/>
        </w:trPr>
        <w:tc>
          <w:tcPr>
            <w:tcW w:w="8080" w:type="dxa"/>
            <w:tcBorders>
              <w:top w:val="single" w:sz="4" w:space="0" w:color="C2D9BA"/>
              <w:bottom w:val="single" w:sz="4" w:space="0" w:color="C2D9BA"/>
            </w:tcBorders>
          </w:tcPr>
          <w:p w14:paraId="7217CD01" w14:textId="77777777" w:rsidR="00C33A5E" w:rsidRPr="006F4D0D" w:rsidRDefault="00C33A5E" w:rsidP="00791F2E">
            <w:pPr>
              <w:pStyle w:val="TableText"/>
              <w:rPr>
                <w:rFonts w:eastAsiaTheme="minorHAnsi"/>
                <w:lang w:eastAsia="en-US"/>
              </w:rPr>
            </w:pPr>
            <w:r w:rsidRPr="006F4D0D">
              <w:rPr>
                <w:rFonts w:eastAsiaTheme="minorHAnsi"/>
                <w:lang w:eastAsia="en-US"/>
              </w:rPr>
              <w:t xml:space="preserve">Gupta S, et al. 2020. Recommendations for follow-up after colonoscopy and polypectomy: a consensus update by the US Multi-Society Task Force on Colorectal Cancer. </w:t>
            </w:r>
            <w:r w:rsidRPr="00791F2E">
              <w:rPr>
                <w:rFonts w:eastAsiaTheme="minorHAnsi"/>
                <w:i/>
                <w:lang w:eastAsia="en-US"/>
              </w:rPr>
              <w:t xml:space="preserve">Gastrointestinal </w:t>
            </w:r>
            <w:r>
              <w:rPr>
                <w:rFonts w:eastAsiaTheme="minorHAnsi"/>
                <w:i/>
                <w:lang w:eastAsia="en-US"/>
              </w:rPr>
              <w:t>E</w:t>
            </w:r>
            <w:r w:rsidRPr="00791F2E">
              <w:rPr>
                <w:rFonts w:eastAsiaTheme="minorHAnsi"/>
                <w:i/>
                <w:lang w:eastAsia="en-US"/>
              </w:rPr>
              <w:t>ndoscopy</w:t>
            </w:r>
            <w:r w:rsidRPr="006F4D0D">
              <w:rPr>
                <w:rFonts w:eastAsiaTheme="minorHAnsi"/>
                <w:lang w:eastAsia="en-US"/>
              </w:rPr>
              <w:t xml:space="preserve"> 91(3): 463</w:t>
            </w:r>
            <w:r>
              <w:rPr>
                <w:rFonts w:eastAsiaTheme="minorHAnsi"/>
                <w:lang w:eastAsia="en-US"/>
              </w:rPr>
              <w:t>–</w:t>
            </w:r>
            <w:r w:rsidRPr="006F4D0D">
              <w:rPr>
                <w:rFonts w:eastAsiaTheme="minorHAnsi"/>
                <w:lang w:eastAsia="en-US"/>
              </w:rPr>
              <w:t>85. e465.</w:t>
            </w:r>
          </w:p>
        </w:tc>
      </w:tr>
    </w:tbl>
    <w:p w14:paraId="7A126C63" w14:textId="77777777" w:rsidR="007A119E" w:rsidRDefault="007A119E" w:rsidP="00C33A5E"/>
    <w:p w14:paraId="2FD51B16" w14:textId="77777777" w:rsidR="00C45647" w:rsidRPr="003F617D" w:rsidRDefault="00C45647" w:rsidP="00FA4448">
      <w:pPr>
        <w:pStyle w:val="Heading1"/>
        <w:pageBreakBefore w:val="0"/>
        <w:spacing w:before="1440"/>
      </w:pPr>
      <w:bookmarkStart w:id="10" w:name="_Toc57902167"/>
      <w:bookmarkStart w:id="11" w:name="_Toc169094610"/>
      <w:r>
        <w:t>Equity</w:t>
      </w:r>
      <w:bookmarkEnd w:id="10"/>
      <w:bookmarkEnd w:id="11"/>
    </w:p>
    <w:p w14:paraId="1D7CDE0E" w14:textId="77777777" w:rsidR="00C45647" w:rsidRDefault="00C45647" w:rsidP="00C1741B">
      <w:pPr>
        <w:rPr>
          <w:bCs/>
        </w:rPr>
      </w:pPr>
      <w:r>
        <w:t>Survival outcomes for colorectal cancer are significantly poorer for Māori than for non-Māori</w:t>
      </w:r>
      <w:r w:rsidRPr="00DB429D">
        <w:t xml:space="preserve">. Comorbidity and </w:t>
      </w:r>
      <w:r>
        <w:t xml:space="preserve">difficulties with </w:t>
      </w:r>
      <w:r w:rsidRPr="00DB429D">
        <w:t>access</w:t>
      </w:r>
      <w:r>
        <w:t>ing</w:t>
      </w:r>
      <w:r w:rsidRPr="00DB429D">
        <w:t xml:space="preserve"> health services for colon cancer account for </w:t>
      </w:r>
      <w:r>
        <w:t>about</w:t>
      </w:r>
      <w:r w:rsidRPr="00DB429D">
        <w:t xml:space="preserve"> 30</w:t>
      </w:r>
      <w:r>
        <w:t xml:space="preserve"> percent</w:t>
      </w:r>
      <w:r w:rsidRPr="00DB429D">
        <w:t xml:space="preserve"> of excess mortality among Māori</w:t>
      </w:r>
      <w:r w:rsidRPr="003E4302">
        <w:t xml:space="preserve"> </w:t>
      </w:r>
      <w:r>
        <w:fldChar w:fldCharType="begin"/>
      </w:r>
      <w:r>
        <w:instrText xml:space="preserve"> ADDIN EN.CITE &lt;EndNote&gt;&lt;Cite&gt;&lt;Author&gt;Hill&lt;/Author&gt;&lt;Year&gt;2010&lt;/Year&gt;&lt;RecNum&gt;6&lt;/RecNum&gt;&lt;DisplayText&gt;(Hill, Sarfati et al. 2010)&lt;/DisplayText&gt;&lt;record&gt;&lt;rec-number&gt;6&lt;/rec-number&gt;&lt;foreign-keys&gt;&lt;key app="EN" db-id="rz02vvx9eafpazev0tiptsz8evx0fwt2pp0t"&gt;6&lt;/key&gt;&lt;/foreign-keys&gt;&lt;ref-type name="Journal Article"&gt;17&lt;/ref-type&gt;&lt;contributors&gt;&lt;authors&gt;&lt;author&gt;Hill, Sarah&lt;/author&gt;&lt;author&gt;Sarfati, Diana&lt;/author&gt;&lt;author&gt;Blakely, Tony&lt;/author&gt;&lt;author&gt;Robson, Bridget&lt;/author&gt;&lt;author&gt;Purdie, Gordon&lt;/author&gt;&lt;author&gt;Chen, Jarvis&lt;/author&gt;&lt;author&gt;Dennett, Elizabeth&lt;/author&gt;&lt;author&gt;Cormack, Donna&lt;/author&gt;&lt;author&gt;Cunningham, Ruth&lt;/author&gt;&lt;author&gt;Dew, Kevin&lt;/author&gt;&lt;/authors&gt;&lt;/contributors&gt;&lt;titles&gt;&lt;title&gt;Survival disparities in Indigenous and non-Indigenous New Zealanders with colon cancer: the role of patient comorbidity, treatment and health service factors&lt;/title&gt;&lt;secondary-title&gt;Journal of Epidemiology &amp;amp; Community Health&lt;/secondary-title&gt;&lt;/titles&gt;&lt;periodical&gt;&lt;full-title&gt;Journal of Epidemiology &amp;amp; Community Health&lt;/full-title&gt;&lt;/periodical&gt;&lt;pages&gt;117-123&lt;/pages&gt;&lt;volume&gt;64&lt;/volume&gt;&lt;number&gt;2&lt;/number&gt;&lt;dates&gt;&lt;year&gt;2010&lt;/year&gt;&lt;/dates&gt;&lt;isbn&gt;0143-005X&lt;/isbn&gt;&lt;urls&gt;&lt;/urls&gt;&lt;/record&gt;&lt;/Cite&gt;&lt;/EndNote&gt;</w:instrText>
      </w:r>
      <w:r>
        <w:fldChar w:fldCharType="separate"/>
      </w:r>
      <w:r>
        <w:rPr>
          <w:noProof/>
        </w:rPr>
        <w:t>(</w:t>
      </w:r>
      <w:hyperlink w:anchor="_ENREF_9" w:tooltip="Hill, 2010 #6" w:history="1">
        <w:r>
          <w:rPr>
            <w:noProof/>
          </w:rPr>
          <w:t>Hill, Sarfati</w:t>
        </w:r>
        <w:r w:rsidR="00C1741B">
          <w:rPr>
            <w:noProof/>
          </w:rPr>
          <w:t>,</w:t>
        </w:r>
        <w:r>
          <w:rPr>
            <w:noProof/>
          </w:rPr>
          <w:t xml:space="preserve"> et al 2010</w:t>
        </w:r>
      </w:hyperlink>
      <w:r>
        <w:rPr>
          <w:noProof/>
        </w:rPr>
        <w:t>)</w:t>
      </w:r>
      <w:r>
        <w:fldChar w:fldCharType="end"/>
      </w:r>
      <w:r>
        <w:t>. Māori and Pacific peoples are also more likely to be diagnosed with advanced</w:t>
      </w:r>
      <w:r w:rsidR="00C33A5E">
        <w:t xml:space="preserve"> </w:t>
      </w:r>
      <w:r>
        <w:t>disease at diagnosis of colorectal cancer and, significantly, are more likely to be diagnosed after they present at an emergency department, which may reflect poorer access to primary and secondary services</w:t>
      </w:r>
      <w:r w:rsidRPr="0012669B">
        <w:t xml:space="preserve"> </w:t>
      </w:r>
      <w:r>
        <w:fldChar w:fldCharType="begin"/>
      </w:r>
      <w:r>
        <w:instrText xml:space="preserve"> ADDIN EN.CITE &lt;EndNote&gt;&lt;Cite&gt;&lt;Author&gt;Zealand&lt;/Author&gt;&lt;Year&gt;2017&lt;/Year&gt;&lt;RecNum&gt;7&lt;/RecNum&gt;&lt;DisplayText&gt;(Health Quality &amp;amp; Safety Commission New Zealand 2017)&lt;/DisplayText&gt;&lt;record&gt;&lt;rec-number&gt;7&lt;/rec-number&gt;&lt;foreign-keys&gt;&lt;key app="EN" db-id="rz02vvx9eafpazev0tiptsz8evx0fwt2pp0t"&gt;7&lt;/key&gt;&lt;/foreign-keys&gt;&lt;ref-type name="Web Page"&gt;12&lt;/ref-type&gt;&lt;contributors&gt;&lt;authors&gt;&lt;author&gt;Health Quality &amp;amp; Safety Commission New Zealand,&lt;/author&gt;&lt;/authors&gt;&lt;/contributors&gt;&lt;titles&gt;&lt;title&gt;Bowel Cancer&lt;/title&gt;&lt;/titles&gt;&lt;number&gt;23 November 2020&lt;/number&gt;&lt;dates&gt;&lt;year&gt;2017&lt;/year&gt;&lt;pub-dates&gt;&lt;date&gt;19 July 2017&lt;/date&gt;&lt;/pub-dates&gt;&lt;/dates&gt;&lt;urls&gt;&lt;related-urls&gt;&lt;url&gt;https://www.hqsc.govt.nz/our-programmes/health-quality-evaluation/projects/atlas-of-healthcare-variation/bowel-cancer/&lt;/url&gt;&lt;/related-urls&gt;&lt;/urls&gt;&lt;/record&gt;&lt;/Cite&gt;&lt;/EndNote&gt;</w:instrText>
      </w:r>
      <w:r>
        <w:fldChar w:fldCharType="separate"/>
      </w:r>
      <w:r>
        <w:rPr>
          <w:noProof/>
        </w:rPr>
        <w:t>(</w:t>
      </w:r>
      <w:hyperlink w:anchor="_ENREF_8" w:tooltip="Health Quality &amp; Safety Commission New Zealand, 2017 #7" w:history="1">
        <w:r>
          <w:rPr>
            <w:noProof/>
          </w:rPr>
          <w:t>Health Quality &amp; Safety Commission New Zealand 2017</w:t>
        </w:r>
      </w:hyperlink>
      <w:r>
        <w:rPr>
          <w:noProof/>
        </w:rPr>
        <w:t>)</w:t>
      </w:r>
      <w:r>
        <w:fldChar w:fldCharType="end"/>
      </w:r>
      <w:r>
        <w:t xml:space="preserve">. For this reason, it </w:t>
      </w:r>
      <w:r w:rsidRPr="009B485A">
        <w:t xml:space="preserve">is important that </w:t>
      </w:r>
      <w:r>
        <w:t xml:space="preserve">clinicians make </w:t>
      </w:r>
      <w:r w:rsidRPr="009B485A">
        <w:t xml:space="preserve">decisions </w:t>
      </w:r>
      <w:r>
        <w:t xml:space="preserve">that contribute to </w:t>
      </w:r>
      <w:r w:rsidRPr="009B485A">
        <w:t xml:space="preserve">equitable outcomes for </w:t>
      </w:r>
      <w:r>
        <w:t xml:space="preserve">Māori and Pacific </w:t>
      </w:r>
      <w:proofErr w:type="gramStart"/>
      <w:r>
        <w:t>peoples in particular</w:t>
      </w:r>
      <w:proofErr w:type="gramEnd"/>
      <w:r w:rsidRPr="009B485A">
        <w:t>.</w:t>
      </w:r>
      <w:r>
        <w:t xml:space="preserve"> </w:t>
      </w:r>
      <w:r w:rsidRPr="00FE10A0">
        <w:rPr>
          <w:bCs/>
        </w:rPr>
        <w:t>However,</w:t>
      </w:r>
      <w:r w:rsidRPr="00201FFF">
        <w:rPr>
          <w:bCs/>
        </w:rPr>
        <w:t xml:space="preserve"> </w:t>
      </w:r>
      <w:r>
        <w:rPr>
          <w:bCs/>
        </w:rPr>
        <w:t>s</w:t>
      </w:r>
      <w:r w:rsidRPr="00201FFF">
        <w:rPr>
          <w:bCs/>
        </w:rPr>
        <w:t>urveillance intervals are determined by the biology of premalignant polyps. There is no evidence that adenomas and serrated polyps grow faster in M</w:t>
      </w:r>
      <w:r>
        <w:rPr>
          <w:bCs/>
        </w:rPr>
        <w:t>ā</w:t>
      </w:r>
      <w:r w:rsidRPr="00201FFF">
        <w:rPr>
          <w:bCs/>
        </w:rPr>
        <w:t xml:space="preserve">ori and </w:t>
      </w:r>
      <w:r>
        <w:rPr>
          <w:bCs/>
        </w:rPr>
        <w:t>Pacific peoples.</w:t>
      </w:r>
    </w:p>
    <w:p w14:paraId="5A5F885D" w14:textId="77777777" w:rsidR="00C1741B" w:rsidRDefault="00C1741B" w:rsidP="00C1741B"/>
    <w:p w14:paraId="1DFF4A5A" w14:textId="77777777" w:rsidR="00C45647" w:rsidRPr="00201FFF" w:rsidRDefault="00C45647" w:rsidP="00C1741B">
      <w:pPr>
        <w:pStyle w:val="Heading1"/>
      </w:pPr>
      <w:bookmarkStart w:id="12" w:name="_Toc57902168"/>
      <w:bookmarkStart w:id="13" w:name="_Toc169094611"/>
      <w:r w:rsidRPr="00201FFF">
        <w:lastRenderedPageBreak/>
        <w:t>Notes on clinical context</w:t>
      </w:r>
      <w:bookmarkEnd w:id="12"/>
      <w:bookmarkEnd w:id="13"/>
    </w:p>
    <w:p w14:paraId="65D42E1E" w14:textId="77777777" w:rsidR="00C45647" w:rsidRDefault="00C45647" w:rsidP="00C1741B">
      <w:r>
        <w:t>High-quality colonoscopy is the prerequisite for these recommendations. To be of high quality, the colonoscopy must involve verified and documented caecal intubation, good colonoscopy technique and adequate bowel preparation (see ‘Definitions’ below). Surveillance should be adjusted for suboptimal colonoscopy.</w:t>
      </w:r>
    </w:p>
    <w:p w14:paraId="17FA236C" w14:textId="77777777" w:rsidR="00C1741B" w:rsidRDefault="00C1741B" w:rsidP="00C1741B"/>
    <w:p w14:paraId="722D96A3" w14:textId="77777777" w:rsidR="00C45647" w:rsidRDefault="00C45647" w:rsidP="00C1741B">
      <w:r>
        <w:t>Recommended techniques for polypectomy should be followed and complete polyp excision should be performed (see ‘Definitions’ below).</w:t>
      </w:r>
    </w:p>
    <w:p w14:paraId="59F8D217" w14:textId="77777777" w:rsidR="00C1741B" w:rsidRPr="00251CBD" w:rsidRDefault="00C1741B" w:rsidP="00C1741B"/>
    <w:p w14:paraId="39A0A555" w14:textId="77777777" w:rsidR="00C45647" w:rsidRPr="00C7157B" w:rsidRDefault="00C45647" w:rsidP="00FA4448">
      <w:pPr>
        <w:pStyle w:val="Heading1"/>
        <w:pageBreakBefore w:val="0"/>
        <w:spacing w:before="1440"/>
      </w:pPr>
      <w:bookmarkStart w:id="14" w:name="_Toc57902169"/>
      <w:bookmarkStart w:id="15" w:name="_Toc169094612"/>
      <w:r w:rsidRPr="00201FFF">
        <w:t>Polyp risk categories</w:t>
      </w:r>
      <w:bookmarkEnd w:id="14"/>
      <w:bookmarkEnd w:id="15"/>
    </w:p>
    <w:p w14:paraId="62F373B6" w14:textId="77777777" w:rsidR="00C45647" w:rsidRDefault="00C45647" w:rsidP="00A24CD3">
      <w:pPr>
        <w:pStyle w:val="Table"/>
      </w:pPr>
      <w:bookmarkStart w:id="16" w:name="_Toc58238247"/>
      <w:r w:rsidRPr="00251CBD">
        <w:t xml:space="preserve">Table 2: </w:t>
      </w:r>
      <w:r>
        <w:t>Polyp risk categories</w:t>
      </w:r>
      <w:bookmarkEnd w:id="16"/>
    </w:p>
    <w:tbl>
      <w:tblPr>
        <w:tblStyle w:val="TableGrid"/>
        <w:tblW w:w="0" w:type="auto"/>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1418"/>
        <w:gridCol w:w="2693"/>
        <w:gridCol w:w="3969"/>
      </w:tblGrid>
      <w:tr w:rsidR="00A24CD3" w:rsidRPr="00A24CD3" w14:paraId="0E008466" w14:textId="77777777" w:rsidTr="00A24CD3">
        <w:trPr>
          <w:cantSplit/>
        </w:trPr>
        <w:tc>
          <w:tcPr>
            <w:tcW w:w="1418" w:type="dxa"/>
            <w:tcBorders>
              <w:top w:val="nil"/>
              <w:bottom w:val="nil"/>
            </w:tcBorders>
            <w:shd w:val="clear" w:color="auto" w:fill="C2D9BA"/>
          </w:tcPr>
          <w:p w14:paraId="30AAF20C" w14:textId="77777777" w:rsidR="00A24CD3" w:rsidRPr="00A24CD3" w:rsidRDefault="00A24CD3" w:rsidP="00021B8A">
            <w:pPr>
              <w:pStyle w:val="TableText"/>
              <w:rPr>
                <w:b/>
                <w:lang w:eastAsia="en-US"/>
              </w:rPr>
            </w:pPr>
          </w:p>
        </w:tc>
        <w:tc>
          <w:tcPr>
            <w:tcW w:w="2693" w:type="dxa"/>
            <w:tcBorders>
              <w:top w:val="nil"/>
              <w:bottom w:val="nil"/>
            </w:tcBorders>
            <w:shd w:val="clear" w:color="auto" w:fill="C2D9BA"/>
          </w:tcPr>
          <w:p w14:paraId="2914838A" w14:textId="77777777" w:rsidR="00A24CD3" w:rsidRPr="00A24CD3" w:rsidRDefault="00A24CD3" w:rsidP="00021B8A">
            <w:pPr>
              <w:pStyle w:val="TableText"/>
              <w:rPr>
                <w:rFonts w:eastAsiaTheme="minorHAnsi"/>
                <w:b/>
                <w:lang w:eastAsia="en-US"/>
              </w:rPr>
            </w:pPr>
            <w:r w:rsidRPr="00A24CD3">
              <w:rPr>
                <w:rFonts w:eastAsiaTheme="minorHAnsi"/>
                <w:b/>
                <w:lang w:eastAsia="en-US"/>
              </w:rPr>
              <w:t>Conventional adenomas</w:t>
            </w:r>
          </w:p>
        </w:tc>
        <w:tc>
          <w:tcPr>
            <w:tcW w:w="3969" w:type="dxa"/>
            <w:tcBorders>
              <w:top w:val="nil"/>
              <w:bottom w:val="nil"/>
            </w:tcBorders>
            <w:shd w:val="clear" w:color="auto" w:fill="C2D9BA"/>
          </w:tcPr>
          <w:p w14:paraId="1306FC0F" w14:textId="77777777" w:rsidR="00A24CD3" w:rsidRPr="00A24CD3" w:rsidRDefault="00A24CD3" w:rsidP="00021B8A">
            <w:pPr>
              <w:pStyle w:val="TableText"/>
              <w:rPr>
                <w:rFonts w:eastAsiaTheme="minorHAnsi"/>
                <w:b/>
                <w:lang w:eastAsia="en-US"/>
              </w:rPr>
            </w:pPr>
            <w:r w:rsidRPr="00A24CD3">
              <w:rPr>
                <w:rFonts w:eastAsiaTheme="minorHAnsi"/>
                <w:b/>
                <w:lang w:eastAsia="en-US"/>
              </w:rPr>
              <w:t>Serrated polyps</w:t>
            </w:r>
          </w:p>
        </w:tc>
      </w:tr>
      <w:tr w:rsidR="00A24CD3" w:rsidRPr="00251CBD" w14:paraId="48497675" w14:textId="77777777" w:rsidTr="00A24CD3">
        <w:trPr>
          <w:cantSplit/>
        </w:trPr>
        <w:tc>
          <w:tcPr>
            <w:tcW w:w="1418" w:type="dxa"/>
            <w:tcBorders>
              <w:top w:val="nil"/>
              <w:bottom w:val="single" w:sz="4" w:space="0" w:color="C2D9BA"/>
            </w:tcBorders>
            <w:shd w:val="clear" w:color="auto" w:fill="auto"/>
          </w:tcPr>
          <w:p w14:paraId="44E3F254" w14:textId="77777777" w:rsidR="00A24CD3" w:rsidRPr="00251CBD" w:rsidRDefault="00A24CD3" w:rsidP="00021B8A">
            <w:pPr>
              <w:pStyle w:val="TableText"/>
              <w:rPr>
                <w:rFonts w:eastAsiaTheme="minorHAnsi"/>
                <w:lang w:eastAsia="en-US"/>
              </w:rPr>
            </w:pPr>
            <w:r w:rsidRPr="00251CBD">
              <w:rPr>
                <w:rFonts w:eastAsiaTheme="minorHAnsi"/>
                <w:lang w:eastAsia="en-US"/>
              </w:rPr>
              <w:t>Average-risk polyps</w:t>
            </w:r>
          </w:p>
        </w:tc>
        <w:tc>
          <w:tcPr>
            <w:tcW w:w="2693" w:type="dxa"/>
            <w:tcBorders>
              <w:top w:val="nil"/>
              <w:bottom w:val="single" w:sz="4" w:space="0" w:color="C2D9BA"/>
            </w:tcBorders>
            <w:shd w:val="clear" w:color="auto" w:fill="auto"/>
          </w:tcPr>
          <w:p w14:paraId="77D45FF9" w14:textId="77777777" w:rsidR="00A24CD3" w:rsidRPr="00251CBD" w:rsidRDefault="00A24CD3" w:rsidP="00A24CD3">
            <w:pPr>
              <w:pStyle w:val="TableText"/>
              <w:rPr>
                <w:rFonts w:eastAsiaTheme="minorHAnsi"/>
                <w:lang w:eastAsia="en-US"/>
              </w:rPr>
            </w:pPr>
            <w:r w:rsidRPr="00251CBD">
              <w:rPr>
                <w:rFonts w:eastAsiaTheme="minorHAnsi"/>
                <w:lang w:eastAsia="en-US"/>
              </w:rPr>
              <w:t>Tubular adenomas &lt;</w:t>
            </w:r>
            <w:r>
              <w:rPr>
                <w:rFonts w:eastAsiaTheme="minorHAnsi"/>
                <w:lang w:eastAsia="en-US"/>
              </w:rPr>
              <w:t> </w:t>
            </w:r>
            <w:r w:rsidRPr="00251CBD">
              <w:rPr>
                <w:rFonts w:eastAsiaTheme="minorHAnsi"/>
                <w:lang w:eastAsia="en-US"/>
              </w:rPr>
              <w:t>10</w:t>
            </w:r>
            <w:r>
              <w:rPr>
                <w:rFonts w:eastAsiaTheme="minorHAnsi"/>
                <w:lang w:eastAsia="en-US"/>
              </w:rPr>
              <w:t> </w:t>
            </w:r>
            <w:r w:rsidRPr="00251CBD">
              <w:rPr>
                <w:rFonts w:eastAsiaTheme="minorHAnsi"/>
                <w:lang w:eastAsia="en-US"/>
              </w:rPr>
              <w:t>mm</w:t>
            </w:r>
          </w:p>
        </w:tc>
        <w:tc>
          <w:tcPr>
            <w:tcW w:w="3969" w:type="dxa"/>
            <w:tcBorders>
              <w:top w:val="nil"/>
              <w:bottom w:val="single" w:sz="4" w:space="0" w:color="C2D9BA"/>
            </w:tcBorders>
            <w:shd w:val="clear" w:color="auto" w:fill="auto"/>
          </w:tcPr>
          <w:p w14:paraId="2972BD08" w14:textId="77777777" w:rsidR="00A24CD3" w:rsidRPr="00251CBD" w:rsidRDefault="00A24CD3" w:rsidP="00021B8A">
            <w:pPr>
              <w:pStyle w:val="TableText"/>
              <w:rPr>
                <w:rFonts w:eastAsiaTheme="minorHAnsi"/>
                <w:lang w:eastAsia="en-US"/>
              </w:rPr>
            </w:pPr>
            <w:r w:rsidRPr="00251CBD">
              <w:rPr>
                <w:rFonts w:eastAsiaTheme="minorHAnsi"/>
                <w:lang w:eastAsia="en-US"/>
              </w:rPr>
              <w:t>Sessile serrated lesion (SSA/P) &lt; 10 mm</w:t>
            </w:r>
          </w:p>
          <w:p w14:paraId="31CAB333" w14:textId="77777777" w:rsidR="00A24CD3" w:rsidRPr="00251CBD" w:rsidRDefault="00A24CD3" w:rsidP="00021B8A">
            <w:pPr>
              <w:pStyle w:val="TableText"/>
              <w:rPr>
                <w:rFonts w:eastAsiaTheme="minorHAnsi"/>
                <w:lang w:eastAsia="en-US"/>
              </w:rPr>
            </w:pPr>
            <w:r w:rsidRPr="00251CBD">
              <w:rPr>
                <w:rFonts w:eastAsiaTheme="minorHAnsi"/>
                <w:lang w:eastAsia="en-US"/>
              </w:rPr>
              <w:t>Hyperplastic polyp ≥ 10 mm*</w:t>
            </w:r>
          </w:p>
        </w:tc>
      </w:tr>
      <w:tr w:rsidR="00A24CD3" w:rsidRPr="00251CBD" w14:paraId="3FE96B3E" w14:textId="77777777" w:rsidTr="00A24CD3">
        <w:trPr>
          <w:cantSplit/>
        </w:trPr>
        <w:tc>
          <w:tcPr>
            <w:tcW w:w="1418" w:type="dxa"/>
            <w:tcBorders>
              <w:top w:val="single" w:sz="4" w:space="0" w:color="C2D9BA"/>
              <w:bottom w:val="single" w:sz="4" w:space="0" w:color="C2D9BA"/>
            </w:tcBorders>
            <w:shd w:val="clear" w:color="auto" w:fill="auto"/>
          </w:tcPr>
          <w:p w14:paraId="4552328E" w14:textId="77777777" w:rsidR="00A24CD3" w:rsidRPr="00251CBD" w:rsidRDefault="00A24CD3" w:rsidP="00021B8A">
            <w:pPr>
              <w:pStyle w:val="TableText"/>
              <w:rPr>
                <w:rFonts w:eastAsiaTheme="minorHAnsi"/>
                <w:lang w:eastAsia="en-US"/>
              </w:rPr>
            </w:pPr>
            <w:r w:rsidRPr="00251CBD">
              <w:rPr>
                <w:rFonts w:eastAsiaTheme="minorHAnsi"/>
                <w:lang w:eastAsia="en-US"/>
              </w:rPr>
              <w:t>High-risk polyps</w:t>
            </w:r>
          </w:p>
        </w:tc>
        <w:tc>
          <w:tcPr>
            <w:tcW w:w="2693" w:type="dxa"/>
            <w:tcBorders>
              <w:top w:val="single" w:sz="4" w:space="0" w:color="C2D9BA"/>
              <w:bottom w:val="single" w:sz="4" w:space="0" w:color="C2D9BA"/>
            </w:tcBorders>
            <w:shd w:val="clear" w:color="auto" w:fill="auto"/>
          </w:tcPr>
          <w:p w14:paraId="7D6A596F" w14:textId="77777777" w:rsidR="00A24CD3" w:rsidRPr="00251CBD" w:rsidRDefault="00A24CD3" w:rsidP="00021B8A">
            <w:pPr>
              <w:pStyle w:val="TableText"/>
              <w:rPr>
                <w:rFonts w:eastAsiaTheme="minorHAnsi"/>
                <w:lang w:eastAsia="en-US"/>
              </w:rPr>
            </w:pPr>
            <w:r w:rsidRPr="00251CBD">
              <w:rPr>
                <w:rFonts w:eastAsiaTheme="minorHAnsi"/>
                <w:lang w:eastAsia="en-US"/>
              </w:rPr>
              <w:t>Adenoma ≥ 10 mm**</w:t>
            </w:r>
          </w:p>
          <w:p w14:paraId="73F5EE15" w14:textId="77777777" w:rsidR="00A24CD3" w:rsidRPr="00251CBD" w:rsidRDefault="00A24CD3" w:rsidP="00021B8A">
            <w:pPr>
              <w:pStyle w:val="TableText"/>
              <w:rPr>
                <w:rFonts w:eastAsiaTheme="minorHAnsi"/>
                <w:lang w:eastAsia="en-US"/>
              </w:rPr>
            </w:pPr>
            <w:r w:rsidRPr="00251CBD">
              <w:rPr>
                <w:rFonts w:eastAsiaTheme="minorHAnsi"/>
                <w:lang w:eastAsia="en-US"/>
              </w:rPr>
              <w:t xml:space="preserve">Adenoma with </w:t>
            </w:r>
            <w:proofErr w:type="spellStart"/>
            <w:r w:rsidRPr="00251CBD">
              <w:rPr>
                <w:rFonts w:eastAsiaTheme="minorHAnsi"/>
                <w:lang w:eastAsia="en-US"/>
              </w:rPr>
              <w:t>tubulovillous</w:t>
            </w:r>
            <w:proofErr w:type="spellEnd"/>
            <w:r w:rsidRPr="00251CBD">
              <w:rPr>
                <w:rFonts w:eastAsiaTheme="minorHAnsi"/>
                <w:lang w:eastAsia="en-US"/>
              </w:rPr>
              <w:t xml:space="preserve"> or</w:t>
            </w:r>
            <w:r>
              <w:rPr>
                <w:rFonts w:eastAsiaTheme="minorHAnsi"/>
                <w:lang w:eastAsia="en-US"/>
              </w:rPr>
              <w:t> </w:t>
            </w:r>
            <w:r w:rsidRPr="00251CBD">
              <w:rPr>
                <w:rFonts w:eastAsiaTheme="minorHAnsi"/>
                <w:lang w:eastAsia="en-US"/>
              </w:rPr>
              <w:t>villous histology**</w:t>
            </w:r>
          </w:p>
          <w:p w14:paraId="3CBB9816" w14:textId="77777777" w:rsidR="00A24CD3" w:rsidRPr="00251CBD" w:rsidRDefault="00A24CD3" w:rsidP="00021B8A">
            <w:pPr>
              <w:pStyle w:val="TableText"/>
              <w:rPr>
                <w:rFonts w:eastAsiaTheme="minorHAnsi"/>
                <w:lang w:eastAsia="en-US"/>
              </w:rPr>
            </w:pPr>
            <w:r w:rsidRPr="00251CBD">
              <w:rPr>
                <w:rFonts w:eastAsiaTheme="minorHAnsi"/>
                <w:lang w:eastAsia="en-US"/>
              </w:rPr>
              <w:t>Adenoma with high-grade dysplasia**</w:t>
            </w:r>
          </w:p>
        </w:tc>
        <w:tc>
          <w:tcPr>
            <w:tcW w:w="3969" w:type="dxa"/>
            <w:tcBorders>
              <w:top w:val="single" w:sz="4" w:space="0" w:color="C2D9BA"/>
              <w:bottom w:val="single" w:sz="4" w:space="0" w:color="C2D9BA"/>
            </w:tcBorders>
            <w:shd w:val="clear" w:color="auto" w:fill="auto"/>
          </w:tcPr>
          <w:p w14:paraId="03C65299" w14:textId="77777777" w:rsidR="00A24CD3" w:rsidRPr="00251CBD" w:rsidRDefault="00A24CD3" w:rsidP="00021B8A">
            <w:pPr>
              <w:pStyle w:val="TableText"/>
              <w:rPr>
                <w:rFonts w:eastAsiaTheme="minorHAnsi"/>
                <w:lang w:eastAsia="en-US"/>
              </w:rPr>
            </w:pPr>
            <w:r w:rsidRPr="00251CBD">
              <w:rPr>
                <w:rFonts w:eastAsiaTheme="minorHAnsi"/>
                <w:lang w:eastAsia="en-US"/>
              </w:rPr>
              <w:t>Sessile serrated lesion (SSA/P) ≥ 10 mm</w:t>
            </w:r>
          </w:p>
          <w:p w14:paraId="6A5B5973" w14:textId="77777777" w:rsidR="00A24CD3" w:rsidRPr="00251CBD" w:rsidRDefault="00A24CD3" w:rsidP="00021B8A">
            <w:pPr>
              <w:pStyle w:val="TableText"/>
              <w:rPr>
                <w:rFonts w:eastAsiaTheme="minorHAnsi"/>
                <w:lang w:eastAsia="en-US"/>
              </w:rPr>
            </w:pPr>
            <w:r w:rsidRPr="00251CBD">
              <w:rPr>
                <w:rFonts w:eastAsiaTheme="minorHAnsi"/>
                <w:lang w:eastAsia="en-US"/>
              </w:rPr>
              <w:t>Sessile serrated lesion (SSA/P) with dysplasia</w:t>
            </w:r>
          </w:p>
          <w:p w14:paraId="4D836E83" w14:textId="77777777" w:rsidR="00A24CD3" w:rsidRPr="00251CBD" w:rsidRDefault="00A24CD3" w:rsidP="00021B8A">
            <w:pPr>
              <w:pStyle w:val="TableText"/>
              <w:rPr>
                <w:rFonts w:eastAsiaTheme="minorHAnsi"/>
                <w:lang w:eastAsia="en-US"/>
              </w:rPr>
            </w:pPr>
            <w:r w:rsidRPr="00251CBD">
              <w:rPr>
                <w:rFonts w:eastAsiaTheme="minorHAnsi"/>
                <w:lang w:eastAsia="en-US"/>
              </w:rPr>
              <w:t>Traditional serrated adenoma</w:t>
            </w:r>
          </w:p>
          <w:p w14:paraId="46337A58" w14:textId="77777777" w:rsidR="00A24CD3" w:rsidRPr="00251CBD" w:rsidRDefault="00A24CD3" w:rsidP="00021B8A">
            <w:pPr>
              <w:pStyle w:val="TableText"/>
              <w:rPr>
                <w:rFonts w:eastAsiaTheme="minorHAnsi"/>
                <w:lang w:eastAsia="en-US"/>
              </w:rPr>
            </w:pPr>
            <w:r w:rsidRPr="00251CBD">
              <w:rPr>
                <w:rFonts w:eastAsiaTheme="minorHAnsi"/>
                <w:lang w:eastAsia="en-US"/>
              </w:rPr>
              <w:t>Serrated adenoma, unclassified (unclassified serrated polyp with dysplasia)</w:t>
            </w:r>
          </w:p>
        </w:tc>
      </w:tr>
    </w:tbl>
    <w:p w14:paraId="78C40B3A" w14:textId="77777777" w:rsidR="00C45647" w:rsidRPr="00251CBD" w:rsidRDefault="00C45647" w:rsidP="00A24CD3">
      <w:pPr>
        <w:pStyle w:val="Note"/>
        <w:rPr>
          <w:rFonts w:eastAsiaTheme="minorHAnsi"/>
          <w:lang w:eastAsia="en-US"/>
        </w:rPr>
      </w:pPr>
      <w:r w:rsidRPr="00251CBD">
        <w:rPr>
          <w:rFonts w:eastAsiaTheme="minorHAnsi"/>
          <w:lang w:eastAsia="en-US"/>
        </w:rPr>
        <w:t>*</w:t>
      </w:r>
      <w:r w:rsidRPr="00251CBD">
        <w:rPr>
          <w:rFonts w:eastAsiaTheme="minorHAnsi"/>
          <w:lang w:eastAsia="en-US"/>
        </w:rPr>
        <w:tab/>
        <w:t>Follow up as a high-risk polyp if concern exists about consistency in distinction between sessile serrated lesion and hyperplastic polyp locally.</w:t>
      </w:r>
    </w:p>
    <w:p w14:paraId="13EFAAE1" w14:textId="77777777" w:rsidR="00C45647" w:rsidRDefault="00C45647" w:rsidP="00A24CD3">
      <w:pPr>
        <w:pStyle w:val="Note"/>
        <w:rPr>
          <w:rFonts w:eastAsiaTheme="minorHAnsi"/>
          <w:lang w:eastAsia="en-US"/>
        </w:rPr>
      </w:pPr>
      <w:r w:rsidRPr="00251CBD">
        <w:rPr>
          <w:rFonts w:eastAsiaTheme="minorHAnsi"/>
          <w:lang w:eastAsia="en-US"/>
        </w:rPr>
        <w:t>**</w:t>
      </w:r>
      <w:r w:rsidRPr="00251CBD">
        <w:rPr>
          <w:rFonts w:eastAsiaTheme="minorHAnsi"/>
          <w:lang w:eastAsia="en-US"/>
        </w:rPr>
        <w:tab/>
        <w:t xml:space="preserve">Advanced adenoma defined as: 10 mm or larger in size or 25% or greater villous histology (that is, </w:t>
      </w:r>
      <w:proofErr w:type="spellStart"/>
      <w:r w:rsidRPr="00251CBD">
        <w:rPr>
          <w:rFonts w:eastAsiaTheme="minorHAnsi"/>
          <w:lang w:eastAsia="en-US"/>
        </w:rPr>
        <w:t>tubulovillous</w:t>
      </w:r>
      <w:proofErr w:type="spellEnd"/>
      <w:r w:rsidRPr="00251CBD">
        <w:rPr>
          <w:rFonts w:eastAsiaTheme="minorHAnsi"/>
          <w:lang w:eastAsia="en-US"/>
        </w:rPr>
        <w:t xml:space="preserve"> or villous adenoma) or high-grade dysplasia.</w:t>
      </w:r>
    </w:p>
    <w:p w14:paraId="6C7B487C" w14:textId="77777777" w:rsidR="00C45647" w:rsidRDefault="00C45647" w:rsidP="00A24CD3"/>
    <w:p w14:paraId="5098B994" w14:textId="77777777" w:rsidR="00C45647" w:rsidRPr="00251CBD" w:rsidRDefault="00C45647" w:rsidP="00A24CD3">
      <w:r w:rsidRPr="00266015">
        <w:t xml:space="preserve">After piecemeal resection of polyps </w:t>
      </w:r>
      <w:r w:rsidRPr="0002716D">
        <w:rPr>
          <w:b/>
        </w:rPr>
        <w:t>equal to or greater than 20</w:t>
      </w:r>
      <w:r w:rsidR="00A24CD3">
        <w:rPr>
          <w:b/>
        </w:rPr>
        <w:t> </w:t>
      </w:r>
      <w:r w:rsidRPr="0002716D">
        <w:rPr>
          <w:b/>
        </w:rPr>
        <w:t xml:space="preserve">mm </w:t>
      </w:r>
      <w:r w:rsidRPr="00266015">
        <w:t>in size, the site should be checked within two to six months and then a further full colonoscopy performed after an additional 12</w:t>
      </w:r>
      <w:r w:rsidR="00A24CD3">
        <w:t> </w:t>
      </w:r>
      <w:r w:rsidRPr="00266015">
        <w:t>months. Once no recurrence is confirmed patients should undergo post polypectomy surveillance after a</w:t>
      </w:r>
      <w:r>
        <w:t xml:space="preserve"> further</w:t>
      </w:r>
      <w:r w:rsidRPr="00266015">
        <w:t xml:space="preserve"> interval of </w:t>
      </w:r>
      <w:r w:rsidR="00A24CD3">
        <w:t>three</w:t>
      </w:r>
      <w:r w:rsidRPr="00266015">
        <w:t xml:space="preserve"> years. The need for further surveillance should then be determined in accordance with this update</w:t>
      </w:r>
      <w:r w:rsidR="00A24CD3">
        <w:t xml:space="preserve"> and individual risk factors.</w:t>
      </w:r>
    </w:p>
    <w:p w14:paraId="0E143869" w14:textId="77777777" w:rsidR="00A24CD3" w:rsidRDefault="00A24CD3" w:rsidP="00A24CD3"/>
    <w:p w14:paraId="38C4DF39" w14:textId="77777777" w:rsidR="00C45647" w:rsidRDefault="00C45647" w:rsidP="00A24CD3">
      <w:r>
        <w:t>No surveillance is required for anyone who has only hyperplastic polyps smaller than 10 mm, unless the person meets the criteria for Serrated Polyposis Syndrome.</w:t>
      </w:r>
    </w:p>
    <w:p w14:paraId="73B467B1" w14:textId="2C4DBD45" w:rsidR="00C45647" w:rsidRPr="00201FFF" w:rsidRDefault="00C45647" w:rsidP="00A24CD3">
      <w:pPr>
        <w:pStyle w:val="Heading1"/>
      </w:pPr>
      <w:bookmarkStart w:id="17" w:name="_Toc57902170"/>
      <w:bookmarkStart w:id="18" w:name="_Toc169094613"/>
      <w:r w:rsidRPr="00201FFF">
        <w:lastRenderedPageBreak/>
        <w:t>Polyp Surveillance Guidance 202</w:t>
      </w:r>
      <w:bookmarkEnd w:id="17"/>
      <w:r w:rsidR="00013CA4">
        <w:t>4</w:t>
      </w:r>
      <w:bookmarkEnd w:id="18"/>
    </w:p>
    <w:p w14:paraId="6AFAF745" w14:textId="43B4E5BC" w:rsidR="00C45647" w:rsidRPr="00F24601" w:rsidRDefault="00A24CD3" w:rsidP="00A24CD3">
      <w:r>
        <w:fldChar w:fldCharType="begin"/>
      </w:r>
      <w:r>
        <w:instrText xml:space="preserve"> REF _Ref57972944 \h </w:instrText>
      </w:r>
      <w:r>
        <w:fldChar w:fldCharType="separate"/>
      </w:r>
      <w:r w:rsidR="00B606DD">
        <w:t xml:space="preserve">Figure </w:t>
      </w:r>
      <w:r w:rsidR="00B606DD">
        <w:rPr>
          <w:noProof/>
        </w:rPr>
        <w:t>1</w:t>
      </w:r>
      <w:r>
        <w:fldChar w:fldCharType="end"/>
      </w:r>
      <w:r w:rsidR="00C45647" w:rsidRPr="00F24601">
        <w:t xml:space="preserve"> summarises the new guidance after complete removal of adenomas and serrated polyps. This advice was developed in recognition of the:</w:t>
      </w:r>
    </w:p>
    <w:p w14:paraId="38ED0994" w14:textId="77777777" w:rsidR="00C45647" w:rsidRPr="00F24601" w:rsidRDefault="00C45647" w:rsidP="00A24CD3">
      <w:pPr>
        <w:pStyle w:val="Number"/>
      </w:pPr>
      <w:r w:rsidRPr="00F24601">
        <w:t>low risk of future colorectal cancer for some groups of patients identified as having adenomas</w:t>
      </w:r>
    </w:p>
    <w:p w14:paraId="789541D0" w14:textId="77777777" w:rsidR="00C45647" w:rsidRDefault="00C45647" w:rsidP="00A24CD3">
      <w:pPr>
        <w:pStyle w:val="Number"/>
      </w:pPr>
      <w:r w:rsidRPr="00F24601">
        <w:t>colorectal cancer risk associated with some serrated polyps.</w:t>
      </w:r>
    </w:p>
    <w:p w14:paraId="110ABA9B" w14:textId="77777777" w:rsidR="00A24CD3" w:rsidRPr="00F24601" w:rsidRDefault="00A24CD3" w:rsidP="00A24CD3"/>
    <w:p w14:paraId="63A59177" w14:textId="64C99A83" w:rsidR="00C45647" w:rsidRDefault="00A24CD3" w:rsidP="00A24CD3">
      <w:pPr>
        <w:pStyle w:val="Figure"/>
      </w:pPr>
      <w:bookmarkStart w:id="19" w:name="_Ref57972944"/>
      <w:bookmarkStart w:id="20" w:name="_Toc58238250"/>
      <w:r>
        <w:t xml:space="preserve">Figure </w:t>
      </w:r>
      <w:r w:rsidR="00D4048E">
        <w:fldChar w:fldCharType="begin"/>
      </w:r>
      <w:r w:rsidR="00D4048E">
        <w:instrText xml:space="preserve"> SEQ Figure \* ARABIC </w:instrText>
      </w:r>
      <w:r w:rsidR="00D4048E">
        <w:fldChar w:fldCharType="separate"/>
      </w:r>
      <w:r w:rsidR="00B606DD">
        <w:rPr>
          <w:noProof/>
        </w:rPr>
        <w:t>1</w:t>
      </w:r>
      <w:r w:rsidR="00D4048E">
        <w:rPr>
          <w:noProof/>
        </w:rPr>
        <w:fldChar w:fldCharType="end"/>
      </w:r>
      <w:bookmarkEnd w:id="19"/>
      <w:r w:rsidR="00C45647">
        <w:t>:</w:t>
      </w:r>
      <w:r w:rsidR="00C45647" w:rsidRPr="0079493D">
        <w:t xml:space="preserve"> Surveillance intervals based on findings at high</w:t>
      </w:r>
      <w:r w:rsidR="00C45647">
        <w:t>-</w:t>
      </w:r>
      <w:r w:rsidR="00C45647" w:rsidRPr="0079493D">
        <w:t>quality colonoscopy</w:t>
      </w:r>
      <w:bookmarkEnd w:id="20"/>
    </w:p>
    <w:p w14:paraId="61CA752B" w14:textId="05568A55" w:rsidR="00CB5292" w:rsidRDefault="007145F7" w:rsidP="00CB5292">
      <w:r>
        <w:rPr>
          <w:noProof/>
        </w:rPr>
        <w:drawing>
          <wp:inline distT="0" distB="0" distL="0" distR="0" wp14:anchorId="2A2B98C2" wp14:editId="35585192">
            <wp:extent cx="5130165" cy="4881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30165" cy="4881880"/>
                    </a:xfrm>
                    <a:prstGeom prst="rect">
                      <a:avLst/>
                    </a:prstGeom>
                    <a:noFill/>
                    <a:ln>
                      <a:noFill/>
                    </a:ln>
                  </pic:spPr>
                </pic:pic>
              </a:graphicData>
            </a:graphic>
          </wp:inline>
        </w:drawing>
      </w:r>
    </w:p>
    <w:p w14:paraId="2EFDE4E3" w14:textId="77777777" w:rsidR="00C45647" w:rsidRDefault="00C45647" w:rsidP="00CB5292">
      <w:pPr>
        <w:pStyle w:val="Note"/>
      </w:pPr>
      <w:r w:rsidRPr="00251CBD">
        <w:t>*</w:t>
      </w:r>
      <w:r>
        <w:tab/>
        <w:t>If there are both adenoma &lt;10mm and SSL &lt;10 mm, sum up the numbers and apply follow-up interval for SSL.</w:t>
      </w:r>
    </w:p>
    <w:p w14:paraId="5D42B261" w14:textId="77777777" w:rsidR="00C45647" w:rsidRDefault="00C45647" w:rsidP="00CB5292">
      <w:pPr>
        <w:pStyle w:val="Note"/>
      </w:pPr>
      <w:r w:rsidRPr="00251CBD">
        <w:t>**</w:t>
      </w:r>
      <w:r>
        <w:tab/>
        <w:t xml:space="preserve">A </w:t>
      </w:r>
      <w:r w:rsidR="00CB5292">
        <w:t>three</w:t>
      </w:r>
      <w:r>
        <w:t>-year follow-up interval is favoured if concern about consistency in distinction between sessile serrated lesion and hyperplastic polyp locally.</w:t>
      </w:r>
    </w:p>
    <w:p w14:paraId="62C20BE0" w14:textId="77777777" w:rsidR="00C45647" w:rsidRDefault="00C45647" w:rsidP="00CB5292">
      <w:pPr>
        <w:pStyle w:val="Note"/>
      </w:pPr>
      <w:r w:rsidRPr="00251CBD">
        <w:t>***</w:t>
      </w:r>
      <w:r w:rsidRPr="00251CBD">
        <w:tab/>
      </w:r>
      <w:r w:rsidRPr="00AE7435">
        <w:t xml:space="preserve">Consider referral to the NZ Familial Gastrointestinal Cancer Service (NZFGCS). </w:t>
      </w:r>
      <w:r w:rsidRPr="009752FD">
        <w:t>Referral criteria for multiple adenoma and Serrated Polyposis Syndrome to NZFGCS are provided below.</w:t>
      </w:r>
    </w:p>
    <w:p w14:paraId="494E8C02" w14:textId="77777777" w:rsidR="00CB5292" w:rsidRPr="00CB5292" w:rsidRDefault="00CB5292" w:rsidP="00CB5292"/>
    <w:p w14:paraId="655DF753" w14:textId="77777777" w:rsidR="00CB5292" w:rsidRPr="00251CBD" w:rsidRDefault="00CB5292" w:rsidP="00CB5292">
      <w:pPr>
        <w:pStyle w:val="Box"/>
        <w:rPr>
          <w:rFonts w:eastAsiaTheme="minorHAnsi"/>
          <w:lang w:eastAsia="en-US"/>
        </w:rPr>
      </w:pPr>
      <w:r w:rsidRPr="00251CBD">
        <w:rPr>
          <w:rFonts w:eastAsiaTheme="minorHAnsi"/>
          <w:b/>
          <w:lang w:eastAsia="en-US"/>
        </w:rPr>
        <w:lastRenderedPageBreak/>
        <w:t>NBSP:</w:t>
      </w:r>
      <w:r w:rsidRPr="00251CBD">
        <w:rPr>
          <w:rFonts w:eastAsiaTheme="minorHAnsi"/>
          <w:lang w:eastAsia="en-US"/>
        </w:rPr>
        <w:t xml:space="preserve"> National Bowel Screening Programme</w:t>
      </w:r>
    </w:p>
    <w:p w14:paraId="60E619BF" w14:textId="77777777" w:rsidR="00CB5292" w:rsidRPr="00251CBD" w:rsidRDefault="00CB5292" w:rsidP="00CB5292">
      <w:pPr>
        <w:pStyle w:val="Box"/>
        <w:rPr>
          <w:rFonts w:eastAsiaTheme="minorHAnsi"/>
          <w:lang w:eastAsia="en-US"/>
        </w:rPr>
      </w:pPr>
      <w:r w:rsidRPr="00251CBD">
        <w:rPr>
          <w:rFonts w:eastAsiaTheme="minorHAnsi"/>
          <w:b/>
          <w:lang w:eastAsia="en-US"/>
        </w:rPr>
        <w:t>SSL:</w:t>
      </w:r>
      <w:r w:rsidRPr="00251CBD">
        <w:rPr>
          <w:rFonts w:eastAsiaTheme="minorHAnsi"/>
          <w:lang w:eastAsia="en-US"/>
        </w:rPr>
        <w:t xml:space="preserve"> Sessile serrated lesion (=sessile serrated adenoma/polyp)</w:t>
      </w:r>
    </w:p>
    <w:p w14:paraId="7676921E" w14:textId="77777777" w:rsidR="00CB5292" w:rsidRPr="00251CBD" w:rsidRDefault="00CB5292" w:rsidP="00CB5292">
      <w:pPr>
        <w:pStyle w:val="Box"/>
        <w:rPr>
          <w:rFonts w:eastAsiaTheme="minorHAnsi"/>
          <w:lang w:eastAsia="en-US"/>
        </w:rPr>
      </w:pPr>
      <w:r w:rsidRPr="00251CBD">
        <w:rPr>
          <w:rFonts w:eastAsiaTheme="minorHAnsi"/>
          <w:b/>
          <w:lang w:eastAsia="en-US"/>
        </w:rPr>
        <w:t>HGD:</w:t>
      </w:r>
      <w:r w:rsidRPr="00251CBD">
        <w:rPr>
          <w:rFonts w:eastAsiaTheme="minorHAnsi"/>
          <w:lang w:eastAsia="en-US"/>
        </w:rPr>
        <w:t xml:space="preserve"> High grade dysplasia</w:t>
      </w:r>
    </w:p>
    <w:p w14:paraId="3DD09205" w14:textId="77777777" w:rsidR="00CB5292" w:rsidRDefault="00CB5292" w:rsidP="00CB5292">
      <w:pPr>
        <w:pStyle w:val="Box"/>
      </w:pPr>
      <w:r w:rsidRPr="00251CBD">
        <w:rPr>
          <w:b/>
          <w:lang w:eastAsia="en-US"/>
        </w:rPr>
        <w:t>HP:</w:t>
      </w:r>
      <w:r w:rsidRPr="00251CBD">
        <w:rPr>
          <w:lang w:eastAsia="en-US"/>
        </w:rPr>
        <w:t xml:space="preserve"> Hyperplastic polyp</w:t>
      </w:r>
    </w:p>
    <w:p w14:paraId="057E8CE2" w14:textId="77777777" w:rsidR="00C45647" w:rsidRDefault="00C45647" w:rsidP="00CB5292"/>
    <w:p w14:paraId="62EF5D04" w14:textId="77777777" w:rsidR="00C45647" w:rsidRDefault="00C45647" w:rsidP="00CB5292">
      <w:pPr>
        <w:keepNext/>
      </w:pPr>
      <w:r w:rsidRPr="001A3F3D">
        <w:t>For people older than age 75 years or with significant comorbidities, carefully consider potential benefits and risks before offering any routine surveillance.</w:t>
      </w:r>
    </w:p>
    <w:p w14:paraId="13D05506" w14:textId="77777777" w:rsidR="00CB5292" w:rsidRPr="001A3F3D" w:rsidRDefault="00CB5292" w:rsidP="00CB5292">
      <w:pPr>
        <w:keepNext/>
      </w:pPr>
    </w:p>
    <w:p w14:paraId="3A5A703E" w14:textId="77777777" w:rsidR="00C45647" w:rsidRDefault="00C45647" w:rsidP="00CB5292">
      <w:pPr>
        <w:keepNext/>
      </w:pPr>
      <w:r w:rsidRPr="001A3F3D">
        <w:t>This advice needs to be interpreted taking the patient’s family history of bowel cancer into account.</w:t>
      </w:r>
    </w:p>
    <w:p w14:paraId="3A90C2AE" w14:textId="77777777" w:rsidR="00CB5292" w:rsidRPr="001A3F3D" w:rsidRDefault="00CB5292" w:rsidP="00CB5292"/>
    <w:p w14:paraId="5E8963FA" w14:textId="77777777" w:rsidR="00C45647" w:rsidRDefault="00C45647" w:rsidP="00CB5292">
      <w:r w:rsidRPr="00201FFF">
        <w:t>Surveillance colonoscopy should only be performed in people whose life expectancy is &gt;</w:t>
      </w:r>
      <w:r w:rsidR="00CB5292">
        <w:t> </w:t>
      </w:r>
      <w:r w:rsidRPr="00201FFF">
        <w:t>10</w:t>
      </w:r>
      <w:r w:rsidR="00CB5292">
        <w:t> </w:t>
      </w:r>
      <w:r w:rsidRPr="00201FFF">
        <w:t>years and therefore generally not in people older than 75</w:t>
      </w:r>
      <w:r>
        <w:t xml:space="preserve"> </w:t>
      </w:r>
      <w:r w:rsidRPr="00201FFF">
        <w:t>y</w:t>
      </w:r>
      <w:r>
        <w:t>ea</w:t>
      </w:r>
      <w:r w:rsidRPr="00201FFF">
        <w:t>rs</w:t>
      </w:r>
      <w:r>
        <w:t>.</w:t>
      </w:r>
    </w:p>
    <w:p w14:paraId="57CD54B2" w14:textId="77777777" w:rsidR="00CB5292" w:rsidRPr="00A41F30" w:rsidRDefault="00CB5292" w:rsidP="00CB5292"/>
    <w:p w14:paraId="7B37198F" w14:textId="77777777" w:rsidR="00C45647" w:rsidRDefault="00C45647" w:rsidP="00CB5292">
      <w:pPr>
        <w:pStyle w:val="Heading1"/>
      </w:pPr>
      <w:bookmarkStart w:id="21" w:name="_Toc57902171"/>
      <w:bookmarkStart w:id="22" w:name="_Toc169094614"/>
      <w:r>
        <w:lastRenderedPageBreak/>
        <w:t>Definitions</w:t>
      </w:r>
      <w:bookmarkEnd w:id="21"/>
      <w:bookmarkEnd w:id="22"/>
    </w:p>
    <w:p w14:paraId="0BDC8E8B" w14:textId="77777777" w:rsidR="00C45647" w:rsidRDefault="00C45647" w:rsidP="00CB5292">
      <w:pPr>
        <w:pStyle w:val="Heading2"/>
      </w:pPr>
      <w:bookmarkStart w:id="23" w:name="_Toc57902172"/>
      <w:bookmarkStart w:id="24" w:name="_Toc169094615"/>
      <w:r>
        <w:t>High-quality colonoscopy</w:t>
      </w:r>
      <w:bookmarkEnd w:id="23"/>
      <w:bookmarkEnd w:id="24"/>
    </w:p>
    <w:p w14:paraId="27552D42" w14:textId="77777777" w:rsidR="00C45647" w:rsidRDefault="00C45647" w:rsidP="00CB5292">
      <w:r>
        <w:t>The decision on future surveillance can only be made if the colonoscopy was of sufficient quality.</w:t>
      </w:r>
    </w:p>
    <w:p w14:paraId="09B610C0" w14:textId="77777777" w:rsidR="00CB5292" w:rsidRDefault="00CB5292" w:rsidP="00CB5292"/>
    <w:p w14:paraId="28AD4C13" w14:textId="77777777" w:rsidR="00C45647" w:rsidRDefault="00C45647" w:rsidP="00CB5292">
      <w:r>
        <w:t xml:space="preserve">A full description of what constitutes the expected good practice is described in the Standards for Individuals Performing BSP colonoscopy </w:t>
      </w:r>
      <w:r>
        <w:fldChar w:fldCharType="begin"/>
      </w:r>
      <w:r>
        <w:instrText xml:space="preserve"> ADDIN EN.CITE &lt;EndNote&gt;&lt;Cite&gt;&lt;Author&gt;Endoscopy Governance Group for New Zealand&lt;/Author&gt;&lt;Year&gt;2017&lt;/Year&gt;&lt;RecNum&gt;12&lt;/RecNum&gt;&lt;DisplayText&gt;(Endoscopy Governance Group for New Zealand 2017)&lt;/DisplayText&gt;&lt;record&gt;&lt;rec-number&gt;12&lt;/rec-number&gt;&lt;foreign-keys&gt;&lt;key app="EN" db-id="rz02vvx9eafpazev0tiptsz8evx0fwt2pp0t"&gt;12&lt;/key&gt;&lt;/foreign-keys&gt;&lt;ref-type name="Web Page"&gt;12&lt;/ref-type&gt;&lt;contributors&gt;&lt;authors&gt;&lt;author&gt;Endoscopy Governance Group for New Zealand,&lt;/author&gt;&lt;/authors&gt;&lt;/contributors&gt;&lt;titles&gt;&lt;title&gt;Endoscopy Standards for Individual Colonoscopists Performing Bowel Cancer Screening in New Zealand&lt;/title&gt;&lt;/titles&gt;&lt;number&gt;13 August 2020&lt;/number&gt;&lt;dates&gt;&lt;year&gt;2017&lt;/year&gt;&lt;/dates&gt;&lt;pub-location&gt;Auckland&lt;/pub-location&gt;&lt;publisher&gt;Endoscopy Governance Group for New Zealand&lt;/publisher&gt;&lt;urls&gt;&lt;related-urls&gt;&lt;url&gt;https://endoscopyquality.co.nz/assets/Uploads/EGGNZ-Endoscopy-Standards-for-Individual-Colonoscopists-Performing-Bowel-Cancer-Screening-in-New-Zealand-Final-v3.0.pdf&lt;/url&gt;&lt;/related-urls&gt;&lt;/urls&gt;&lt;/record&gt;&lt;/Cite&gt;&lt;/EndNote&gt;</w:instrText>
      </w:r>
      <w:r>
        <w:fldChar w:fldCharType="separate"/>
      </w:r>
      <w:r>
        <w:rPr>
          <w:noProof/>
        </w:rPr>
        <w:t>(</w:t>
      </w:r>
      <w:hyperlink w:anchor="_ENREF_3" w:tooltip="Endoscopy Governance Group for New Zealand, 2017 #12" w:history="1">
        <w:r>
          <w:rPr>
            <w:noProof/>
          </w:rPr>
          <w:t>Endoscopy Governance Group for New Zealand 2017</w:t>
        </w:r>
      </w:hyperlink>
      <w:r>
        <w:rPr>
          <w:noProof/>
        </w:rPr>
        <w:t>)</w:t>
      </w:r>
      <w:r>
        <w:fldChar w:fldCharType="end"/>
      </w:r>
      <w:r>
        <w:t>.</w:t>
      </w:r>
    </w:p>
    <w:p w14:paraId="1B4C42D5" w14:textId="77777777" w:rsidR="00CB5292" w:rsidRDefault="00CB5292" w:rsidP="00CB5292"/>
    <w:p w14:paraId="57AC9542" w14:textId="77777777" w:rsidR="00C45647" w:rsidRDefault="00CB5292" w:rsidP="00CB5292">
      <w:r>
        <w:t>The basic principles include:</w:t>
      </w:r>
    </w:p>
    <w:p w14:paraId="12E6E171" w14:textId="77777777" w:rsidR="00C45647" w:rsidRDefault="00C45647" w:rsidP="00C33F56">
      <w:pPr>
        <w:pStyle w:val="Number"/>
        <w:numPr>
          <w:ilvl w:val="3"/>
          <w:numId w:val="6"/>
        </w:numPr>
      </w:pPr>
      <w:r>
        <w:t xml:space="preserve">The colonoscopy is performed by a credentialed </w:t>
      </w:r>
      <w:proofErr w:type="spellStart"/>
      <w:r>
        <w:t>colonoscopist</w:t>
      </w:r>
      <w:proofErr w:type="spellEnd"/>
      <w:r>
        <w:t>, as defined by the Endoscopy Guidance Group for New Zealand</w:t>
      </w:r>
      <w:r w:rsidRPr="007C205A">
        <w:t xml:space="preserve"> </w:t>
      </w:r>
      <w:r>
        <w:fldChar w:fldCharType="begin"/>
      </w:r>
      <w:r>
        <w:instrText xml:space="preserve"> ADDIN EN.CITE &lt;EndNote&gt;&lt;Cite&gt;&lt;Author&gt;Endoscopy Guidance Group for New Zealand&lt;/Author&gt;&lt;Year&gt;2018&lt;/Year&gt;&lt;RecNum&gt;8&lt;/RecNum&gt;&lt;DisplayText&gt;(Endoscopy Guidance Group for New Zealand 2018)&lt;/DisplayText&gt;&lt;record&gt;&lt;rec-number&gt;8&lt;/rec-number&gt;&lt;foreign-keys&gt;&lt;key app="EN" db-id="rz02vvx9eafpazev0tiptsz8evx0fwt2pp0t"&gt;8&lt;/key&gt;&lt;/foreign-keys&gt;&lt;ref-type name="Web Page"&gt;12&lt;/ref-type&gt;&lt;contributors&gt;&lt;authors&gt;&lt;author&gt;Endoscopy Guidance Group for New Zealand,&lt;/author&gt;&lt;/authors&gt;&lt;/contributors&gt;&lt;titles&gt;&lt;title&gt;Guidelines for Local Credentialing in Adult Endoscopy&lt;/title&gt;&lt;/titles&gt;&lt;number&gt;13 August 2020&lt;/number&gt;&lt;dates&gt;&lt;year&gt;2018&lt;/year&gt;&lt;/dates&gt;&lt;pub-location&gt;Auckland&lt;/pub-location&gt;&lt;publisher&gt;Endoscopy Guidance Group for New Zealand&lt;/publisher&gt;&lt;urls&gt;&lt;/urls&gt;&lt;/record&gt;&lt;/Cite&gt;&lt;/EndNote&gt;</w:instrText>
      </w:r>
      <w:r>
        <w:fldChar w:fldCharType="separate"/>
      </w:r>
      <w:r>
        <w:rPr>
          <w:noProof/>
        </w:rPr>
        <w:t>(</w:t>
      </w:r>
      <w:hyperlink w:anchor="_ENREF_4" w:tooltip="Endoscopy Guidance Group for New Zealand, 2018 #8" w:history="1">
        <w:r>
          <w:rPr>
            <w:noProof/>
          </w:rPr>
          <w:t>Endoscopy Guidance Group for New Zealand 2018</w:t>
        </w:r>
      </w:hyperlink>
      <w:r>
        <w:rPr>
          <w:noProof/>
        </w:rPr>
        <w:t>)</w:t>
      </w:r>
      <w:r>
        <w:fldChar w:fldCharType="end"/>
      </w:r>
      <w:r>
        <w:t>.</w:t>
      </w:r>
    </w:p>
    <w:p w14:paraId="3E636512" w14:textId="77777777" w:rsidR="00C45647" w:rsidRDefault="00C45647" w:rsidP="00CB5292">
      <w:pPr>
        <w:pStyle w:val="Letter"/>
      </w:pPr>
      <w:r>
        <w:t>The bowel preparation is sufficiently clear, defined as both a; Boston Bowel Preparation Score (BBPS) on withdrawal of 6 or higher, with no single segment score under 2</w:t>
      </w:r>
      <w:r w:rsidR="00CB5292">
        <w:t>.</w:t>
      </w:r>
    </w:p>
    <w:p w14:paraId="06294626" w14:textId="77777777" w:rsidR="00C45647" w:rsidRDefault="00CB5292" w:rsidP="00CB5292">
      <w:pPr>
        <w:pStyle w:val="Letter"/>
      </w:pPr>
      <w:r>
        <w:t>S</w:t>
      </w:r>
      <w:r w:rsidR="00C45647">
        <w:t xml:space="preserve">ubjective rating of Excellent or Adequate (the top two categories on the drop-down menu from </w:t>
      </w:r>
      <w:proofErr w:type="spellStart"/>
      <w:r w:rsidR="00C45647">
        <w:t>Provation</w:t>
      </w:r>
      <w:proofErr w:type="spellEnd"/>
      <w:r w:rsidR="00C45647">
        <w:t>).</w:t>
      </w:r>
    </w:p>
    <w:p w14:paraId="7874D4C7" w14:textId="77777777" w:rsidR="00C45647" w:rsidRDefault="00C45647" w:rsidP="00CB5292">
      <w:pPr>
        <w:pStyle w:val="Number"/>
      </w:pPr>
      <w:r>
        <w:t>There is photo documentation of caecal intubation and retro flexion in the rectum.</w:t>
      </w:r>
    </w:p>
    <w:p w14:paraId="3513C03E" w14:textId="77777777" w:rsidR="00CB5292" w:rsidRPr="00AE7435" w:rsidRDefault="00CB5292" w:rsidP="00CB5292"/>
    <w:p w14:paraId="51C2DE5E" w14:textId="77777777" w:rsidR="00C45647" w:rsidRDefault="00C45647" w:rsidP="00CB5292">
      <w:pPr>
        <w:pStyle w:val="Heading2"/>
      </w:pPr>
      <w:bookmarkStart w:id="25" w:name="_Toc57902173"/>
      <w:bookmarkStart w:id="26" w:name="_Toc169094616"/>
      <w:r>
        <w:t>High-quality polypectomy</w:t>
      </w:r>
      <w:bookmarkEnd w:id="25"/>
      <w:bookmarkEnd w:id="26"/>
    </w:p>
    <w:p w14:paraId="3BD99FCE" w14:textId="77777777" w:rsidR="00C45647" w:rsidRDefault="00C45647" w:rsidP="00CB5292">
      <w:r>
        <w:t>Endoscopic polypectomy should ensure complete removal of all neoplastic tissue.</w:t>
      </w:r>
    </w:p>
    <w:p w14:paraId="26D46BA4" w14:textId="77777777" w:rsidR="00CB5292" w:rsidRDefault="00CB5292" w:rsidP="00CB5292"/>
    <w:p w14:paraId="3E324932" w14:textId="77777777" w:rsidR="00C45647" w:rsidRDefault="00C45647" w:rsidP="00CB5292">
      <w:r>
        <w:t>Polyp size should be measured using the width of a snare</w:t>
      </w:r>
      <w:r w:rsidRPr="00EE7E5E">
        <w:t xml:space="preserve"> </w:t>
      </w:r>
      <w:r>
        <w:fldChar w:fldCharType="begin"/>
      </w:r>
      <w:r>
        <w:instrText xml:space="preserve"> ADDIN EN.CITE &lt;EndNote&gt;&lt;Cite&gt;&lt;Author&gt;Gupta&lt;/Author&gt;&lt;Year&gt;2020&lt;/Year&gt;&lt;RecNum&gt;9&lt;/RecNum&gt;&lt;DisplayText&gt;(Gupta, Lieberman et al. 2020)&lt;/DisplayText&gt;&lt;record&gt;&lt;rec-number&gt;9&lt;/rec-number&gt;&lt;foreign-keys&gt;&lt;key app="EN" db-id="rz02vvx9eafpazev0tiptsz8evx0fwt2pp0t"&gt;9&lt;/key&gt;&lt;/foreign-keys&gt;&lt;ref-type name="Journal Article"&gt;17&lt;/ref-type&gt;&lt;contributors&gt;&lt;authors&gt;&lt;author&gt;Gupta, Samir&lt;/author&gt;&lt;author&gt;Lieberman, David&lt;/author&gt;&lt;author&gt;Anderson, Joseph C&lt;/author&gt;&lt;author&gt;Burke, Carol A&lt;/author&gt;&lt;author&gt;Dominitz, Jason A&lt;/author&gt;&lt;author&gt;Kaltenbach, Tonya&lt;/author&gt;&lt;author&gt;Robertson, Douglas J&lt;/author&gt;&lt;author&gt;Shaukat, Aasma&lt;/author&gt;&lt;author&gt;Syngal, Sapna&lt;/author&gt;&lt;author&gt;Rex, Douglas K&lt;/author&gt;&lt;/authors&gt;&lt;/contributors&gt;&lt;titles&gt;&lt;title&gt;Recommendations for follow-up after colonoscopy and polypectomy: a consensus update by the US Multi-Society Task Force on Colorectal Cancer&lt;/title&gt;&lt;secondary-title&gt;Gastrointestinal endoscopy&lt;/secondary-title&gt;&lt;/titles&gt;&lt;periodical&gt;&lt;full-title&gt;Gastrointestinal endoscopy&lt;/full-title&gt;&lt;/periodical&gt;&lt;pages&gt;463-485. e5&lt;/pages&gt;&lt;volume&gt;91&lt;/volume&gt;&lt;number&gt;3&lt;/number&gt;&lt;dates&gt;&lt;year&gt;2020&lt;/year&gt;&lt;/dates&gt;&lt;isbn&gt;0016-5107&lt;/isbn&gt;&lt;urls&gt;&lt;/urls&gt;&lt;/record&gt;&lt;/Cite&gt;&lt;/EndNote&gt;</w:instrText>
      </w:r>
      <w:r>
        <w:fldChar w:fldCharType="separate"/>
      </w:r>
      <w:r>
        <w:rPr>
          <w:noProof/>
        </w:rPr>
        <w:t>(</w:t>
      </w:r>
      <w:hyperlink w:anchor="_ENREF_6" w:tooltip="Gupta, 2020 #2" w:history="1">
        <w:r>
          <w:rPr>
            <w:noProof/>
          </w:rPr>
          <w:t>Gupta, Lieberman</w:t>
        </w:r>
        <w:r w:rsidR="00CB5292">
          <w:rPr>
            <w:noProof/>
          </w:rPr>
          <w:t>,</w:t>
        </w:r>
        <w:r>
          <w:rPr>
            <w:noProof/>
          </w:rPr>
          <w:t xml:space="preserve"> et al 2020</w:t>
        </w:r>
      </w:hyperlink>
      <w:r>
        <w:rPr>
          <w:noProof/>
        </w:rPr>
        <w:t>)</w:t>
      </w:r>
      <w:r>
        <w:fldChar w:fldCharType="end"/>
      </w:r>
      <w:r>
        <w:t>.</w:t>
      </w:r>
    </w:p>
    <w:p w14:paraId="2A2EDC1B" w14:textId="77777777" w:rsidR="00CB5292" w:rsidRDefault="00CB5292" w:rsidP="00CB5292"/>
    <w:p w14:paraId="62BEC296" w14:textId="77777777" w:rsidR="00C45647" w:rsidRDefault="00C45647" w:rsidP="00CB5292">
      <w:r>
        <w:t>Morphology of the polyp should be assessed using the PARIS classification and the pit pattern interpreted using virtual or chromoendoscopy.</w:t>
      </w:r>
    </w:p>
    <w:p w14:paraId="4B3BD8F8" w14:textId="77777777" w:rsidR="00CB5292" w:rsidRDefault="00CB5292" w:rsidP="00CB5292"/>
    <w:p w14:paraId="51FF9230" w14:textId="77777777" w:rsidR="00CB5292" w:rsidRDefault="00C45647" w:rsidP="00CB5292">
      <w:r>
        <w:t>Removal of polyps assessed to be difficult (e.g. by the Size, Morphology, Site and Access criteria) which includes those larger than 2cm should be considered for deferring for an appropriately experienced and skilled (Level 4) endoscopist.</w:t>
      </w:r>
    </w:p>
    <w:p w14:paraId="54980B16" w14:textId="77777777" w:rsidR="00C45647" w:rsidRDefault="00C45647" w:rsidP="00CB5292"/>
    <w:p w14:paraId="67EE280D" w14:textId="77777777" w:rsidR="00C45647" w:rsidRDefault="00C45647" w:rsidP="00CB5292">
      <w:r>
        <w:t xml:space="preserve">The European Society of Gastrointestinal Endoscopy’s 2017 clinical guideline is the current best-practice guideline for performing </w:t>
      </w:r>
      <w:proofErr w:type="spellStart"/>
      <w:r>
        <w:t>colonoscopic</w:t>
      </w:r>
      <w:proofErr w:type="spellEnd"/>
      <w:r>
        <w:t xml:space="preserve"> polypectomy of different morphology, size and location </w:t>
      </w:r>
      <w:r>
        <w:fldChar w:fldCharType="begin">
          <w:fldData xml:space="preserve">PEVuZE5vdGU+PENpdGU+PEF1dGhvcj5FbmRvc2NvcHkgR292ZXJuYW5jZSBHcm91cCBmb3IgTmV3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</w:fldData>
        </w:fldChar>
      </w:r>
      <w:r>
        <w:instrText xml:space="preserve"> ADDIN EN.CITE </w:instrText>
      </w:r>
      <w:r>
        <w:fldChar w:fldCharType="begin">
          <w:fldData xml:space="preserve">PEVuZE5vdGU+PENpdGU+PEF1dGhvcj5FbmRvc2NvcHkgR292ZXJuYW5jZSBHcm91cCBmb3IgTmV3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</w:fldData>
        </w:fldChar>
      </w:r>
      <w:r>
        <w:instrText xml:space="preserve"> ADDIN EN.CITE.DATA </w:instrText>
      </w:r>
      <w:r>
        <w:fldChar w:fldCharType="end"/>
      </w:r>
      <w:r>
        <w:fldChar w:fldCharType="separate"/>
      </w:r>
      <w:r>
        <w:rPr>
          <w:noProof/>
        </w:rPr>
        <w:t>(</w:t>
      </w:r>
      <w:hyperlink w:anchor="_ENREF_3" w:tooltip="Endoscopy Governance Group for New Zealand, 2017 #12" w:history="1">
        <w:r>
          <w:rPr>
            <w:noProof/>
          </w:rPr>
          <w:t>Endoscopy Governance Group for New Zealand 2017</w:t>
        </w:r>
      </w:hyperlink>
      <w:r w:rsidR="00CB5292">
        <w:rPr>
          <w:noProof/>
        </w:rPr>
        <w:t>;</w:t>
      </w:r>
      <w:r>
        <w:rPr>
          <w:noProof/>
        </w:rPr>
        <w:t xml:space="preserve"> </w:t>
      </w:r>
      <w:hyperlink w:anchor="_ENREF_5" w:tooltip="Ferlitsch, 2017 #10" w:history="1">
        <w:r>
          <w:rPr>
            <w:noProof/>
          </w:rPr>
          <w:t>Ferlitsch, Moss</w:t>
        </w:r>
        <w:r w:rsidR="00CB5292">
          <w:rPr>
            <w:noProof/>
          </w:rPr>
          <w:t>,</w:t>
        </w:r>
        <w:r>
          <w:rPr>
            <w:noProof/>
          </w:rPr>
          <w:t xml:space="preserve"> et al 2017</w:t>
        </w:r>
      </w:hyperlink>
      <w:r w:rsidR="00CB5292">
        <w:rPr>
          <w:noProof/>
        </w:rPr>
        <w:t>;</w:t>
      </w:r>
      <w:r>
        <w:rPr>
          <w:noProof/>
        </w:rPr>
        <w:t xml:space="preserve"> </w:t>
      </w:r>
      <w:hyperlink w:anchor="_ENREF_13" w:tooltip="Sidhu, 2018 #11" w:history="1">
        <w:r>
          <w:rPr>
            <w:noProof/>
          </w:rPr>
          <w:t>Sidhu, Tate</w:t>
        </w:r>
        <w:r w:rsidR="00CB5292">
          <w:rPr>
            <w:noProof/>
          </w:rPr>
          <w:t>,</w:t>
        </w:r>
        <w:r>
          <w:rPr>
            <w:noProof/>
          </w:rPr>
          <w:t xml:space="preserve"> et al 2018</w:t>
        </w:r>
      </w:hyperlink>
      <w:r>
        <w:rPr>
          <w:noProof/>
        </w:rPr>
        <w:t>)</w:t>
      </w:r>
      <w:r>
        <w:fldChar w:fldCharType="end"/>
      </w:r>
      <w:r>
        <w:t>.</w:t>
      </w:r>
    </w:p>
    <w:p w14:paraId="36836B7E" w14:textId="77777777" w:rsidR="00CB5292" w:rsidRDefault="00CB5292" w:rsidP="00CB5292"/>
    <w:p w14:paraId="6ABF8269" w14:textId="77777777" w:rsidR="00C45647" w:rsidRPr="003F617D" w:rsidRDefault="00C45647" w:rsidP="00CB5292">
      <w:pPr>
        <w:pStyle w:val="Heading2"/>
      </w:pPr>
      <w:bookmarkStart w:id="27" w:name="_Toc57902174"/>
      <w:bookmarkStart w:id="28" w:name="_Toc169094617"/>
      <w:r>
        <w:lastRenderedPageBreak/>
        <w:t>Boston Bowel Preparation Scale</w:t>
      </w:r>
      <w:bookmarkEnd w:id="27"/>
      <w:bookmarkEnd w:id="28"/>
    </w:p>
    <w:p w14:paraId="4FFAD47B" w14:textId="77777777" w:rsidR="00C45647" w:rsidRPr="009E12DB" w:rsidRDefault="00C45647" w:rsidP="00CB5292">
      <w:r w:rsidRPr="009E12DB">
        <w:t xml:space="preserve">The Boston Bowel Preparation Scale (BBPS) is a scale </w:t>
      </w:r>
      <w:r>
        <w:t>that</w:t>
      </w:r>
      <w:r w:rsidRPr="009E12DB">
        <w:t xml:space="preserve"> describe</w:t>
      </w:r>
      <w:r>
        <w:t>s</w:t>
      </w:r>
      <w:r w:rsidRPr="009E12DB">
        <w:t xml:space="preserve"> the quality of bowel preparation at colonoscopy. The large bowel is divided into three sections</w:t>
      </w:r>
      <w:r>
        <w:t>:</w:t>
      </w:r>
      <w:r w:rsidRPr="009E12DB">
        <w:t xml:space="preserve"> the right colon, the transverse colon (including flexures</w:t>
      </w:r>
      <w:r>
        <w:t>)</w:t>
      </w:r>
      <w:r w:rsidRPr="009E12DB">
        <w:t xml:space="preserve"> and the </w:t>
      </w:r>
      <w:r>
        <w:t>l</w:t>
      </w:r>
      <w:r w:rsidRPr="009E12DB">
        <w:t>eft colon with rectum. Each section is scored individually from 0</w:t>
      </w:r>
      <w:r>
        <w:t>–</w:t>
      </w:r>
      <w:r w:rsidRPr="009E12DB">
        <w:t>3</w:t>
      </w:r>
      <w:r w:rsidRPr="00524722">
        <w:t xml:space="preserve"> </w:t>
      </w:r>
      <w:r>
        <w:fldChar w:fldCharType="begin"/>
      </w:r>
      <w:r>
        <w:instrText xml:space="preserve"> ADDIN EN.CITE &lt;EndNote&gt;&lt;Cite&gt;&lt;Author&gt;Rosty&lt;/Author&gt;&lt;Year&gt;2019&lt;/Year&gt;&lt;RecNum&gt;13&lt;/RecNum&gt;&lt;DisplayText&gt;(Rosty, Brosens et al. 2019)&lt;/DisplayText&gt;&lt;record&gt;&lt;rec-number&gt;13&lt;/rec-number&gt;&lt;foreign-keys&gt;&lt;key app="EN" db-id="rz02vvx9eafpazev0tiptsz8evx0fwt2pp0t"&gt;13&lt;/key&gt;&lt;/foreign-keys&gt;&lt;ref-type name="Journal Article"&gt;17&lt;/ref-type&gt;&lt;contributors&gt;&lt;authors&gt;&lt;author&gt;Rosty, C&lt;/author&gt;&lt;author&gt;Brosens, LAA&lt;/author&gt;&lt;author&gt;Dekker, E&lt;/author&gt;&lt;author&gt;Nagtegaal, ID&lt;/author&gt;&lt;/authors&gt;&lt;/contributors&gt;&lt;titles&gt;&lt;title&gt;Serrated polyposis&lt;/title&gt;&lt;secondary-title&gt;WHO Classification of Tumours Editorial Board Digestive System Tumours. WHO Classification of Tumours series. 5th edn. Lyon, France: IARC&lt;/secondary-title&gt;&lt;/titles&gt;&lt;periodical&gt;&lt;full-title&gt;WHO Classification of Tumours Editorial Board Digestive System Tumours. WHO Classification of Tumours series. 5th edn. Lyon, France: IARC&lt;/full-title&gt;&lt;/periodical&gt;&lt;dates&gt;&lt;year&gt;2019&lt;/year&gt;&lt;/dates&gt;&lt;urls&gt;&lt;/urls&gt;&lt;/record&gt;&lt;/Cite&gt;&lt;/EndNote&gt;</w:instrText>
      </w:r>
      <w:r>
        <w:fldChar w:fldCharType="separate"/>
      </w:r>
      <w:r>
        <w:rPr>
          <w:noProof/>
        </w:rPr>
        <w:t>(</w:t>
      </w:r>
      <w:hyperlink w:anchor="_ENREF_11" w:tooltip="Rosty, 2019 #13" w:history="1">
        <w:r>
          <w:rPr>
            <w:noProof/>
          </w:rPr>
          <w:t>Rosty, Brosens et al 2019</w:t>
        </w:r>
      </w:hyperlink>
      <w:r>
        <w:rPr>
          <w:noProof/>
        </w:rPr>
        <w:t>)</w:t>
      </w:r>
      <w:r>
        <w:fldChar w:fldCharType="end"/>
      </w:r>
      <w:r>
        <w:t>.</w:t>
      </w:r>
    </w:p>
    <w:p w14:paraId="64B64075" w14:textId="77777777" w:rsidR="00C45647" w:rsidRPr="00251CBD" w:rsidRDefault="00C45647" w:rsidP="00CB5292">
      <w:pPr>
        <w:pStyle w:val="Bullet"/>
        <w:rPr>
          <w:rFonts w:eastAsiaTheme="minorHAnsi"/>
          <w:lang w:eastAsia="en-US"/>
        </w:rPr>
      </w:pPr>
      <w:r w:rsidRPr="00251CBD">
        <w:rPr>
          <w:rFonts w:eastAsiaTheme="minorHAnsi"/>
          <w:lang w:eastAsia="en-US"/>
        </w:rPr>
        <w:t>0 = Unprepared colon segment with mucosa not seen due to solid stool that cannot be cleared.</w:t>
      </w:r>
    </w:p>
    <w:p w14:paraId="3ED3B72C" w14:textId="77777777" w:rsidR="00C45647" w:rsidRPr="00FE462A" w:rsidRDefault="00C45647" w:rsidP="00CB5292">
      <w:pPr>
        <w:pStyle w:val="Bullet"/>
        <w:rPr>
          <w:rFonts w:eastAsiaTheme="minorHAnsi"/>
          <w:lang w:eastAsia="en-US"/>
        </w:rPr>
      </w:pPr>
      <w:r w:rsidRPr="00E90137">
        <w:rPr>
          <w:rFonts w:eastAsiaTheme="minorHAnsi"/>
          <w:lang w:eastAsia="en-US"/>
        </w:rPr>
        <w:t>1 = Portion of mucosa of the colon segment seen, but other areas of the colon segment not well seen due to staining, residual stool and/or opaque liquid</w:t>
      </w:r>
      <w:r>
        <w:rPr>
          <w:rFonts w:eastAsiaTheme="minorHAnsi"/>
          <w:lang w:eastAsia="en-US"/>
        </w:rPr>
        <w:t>.</w:t>
      </w:r>
    </w:p>
    <w:p w14:paraId="5B26F7B0" w14:textId="77777777" w:rsidR="00C45647" w:rsidRPr="00FE462A" w:rsidRDefault="00C45647" w:rsidP="00CB5292">
      <w:pPr>
        <w:pStyle w:val="Bullet"/>
        <w:rPr>
          <w:rFonts w:eastAsiaTheme="minorHAnsi"/>
          <w:lang w:eastAsia="en-US"/>
        </w:rPr>
      </w:pPr>
      <w:r w:rsidRPr="00E90137">
        <w:rPr>
          <w:rFonts w:eastAsiaTheme="minorHAnsi"/>
          <w:lang w:eastAsia="en-US"/>
        </w:rPr>
        <w:t>2 = Minor amount of residual staining, small fragments of stool and/or opaque liquid, but mucosa of colon segment seen well.</w:t>
      </w:r>
    </w:p>
    <w:p w14:paraId="00F8F993" w14:textId="77777777" w:rsidR="00C45647" w:rsidRDefault="00C45647" w:rsidP="00CB5292">
      <w:pPr>
        <w:pStyle w:val="Bullet"/>
        <w:rPr>
          <w:rFonts w:eastAsiaTheme="minorHAnsi"/>
          <w:lang w:eastAsia="en-US"/>
        </w:rPr>
      </w:pPr>
      <w:r w:rsidRPr="00FE462A">
        <w:rPr>
          <w:rFonts w:eastAsiaTheme="minorHAnsi"/>
          <w:lang w:eastAsia="en-US"/>
        </w:rPr>
        <w:t>3 = Entire mucosa of colon segment seen well with no residual staining, small fragments of stool or opaque liquid.</w:t>
      </w:r>
    </w:p>
    <w:p w14:paraId="6A8B3FB0" w14:textId="77777777" w:rsidR="00C45647" w:rsidRPr="000E0EA0" w:rsidRDefault="00C45647" w:rsidP="00CB5292">
      <w:pPr>
        <w:rPr>
          <w:rFonts w:eastAsiaTheme="minorHAnsi"/>
          <w:lang w:eastAsia="en-US"/>
        </w:rPr>
      </w:pPr>
    </w:p>
    <w:p w14:paraId="7B17211F" w14:textId="77777777" w:rsidR="00C45647" w:rsidRDefault="00C45647" w:rsidP="00CB5292">
      <w:r w:rsidRPr="00034DDC">
        <w:t>These segment scores are summed for a total BBPS score ranging from 0</w:t>
      </w:r>
      <w:r>
        <w:t>–</w:t>
      </w:r>
      <w:r w:rsidRPr="00034DDC">
        <w:t>9</w:t>
      </w:r>
      <w:r w:rsidRPr="009E12DB">
        <w:t>.</w:t>
      </w:r>
    </w:p>
    <w:p w14:paraId="415E93EE" w14:textId="77777777" w:rsidR="00CB5292" w:rsidRDefault="00CB5292" w:rsidP="00CB5292"/>
    <w:p w14:paraId="645DDA11" w14:textId="22C32C66" w:rsidR="00C45647" w:rsidRPr="00251CBD" w:rsidRDefault="00C45647" w:rsidP="00A263FF">
      <w:pPr>
        <w:pStyle w:val="Heading2"/>
      </w:pPr>
      <w:bookmarkStart w:id="29" w:name="_Toc55980521"/>
      <w:bookmarkStart w:id="30" w:name="_Toc57902175"/>
      <w:bookmarkStart w:id="31" w:name="_Toc169094618"/>
      <w:r w:rsidRPr="00D21067">
        <w:t xml:space="preserve">Serrated </w:t>
      </w:r>
      <w:r>
        <w:t>P</w:t>
      </w:r>
      <w:r w:rsidRPr="00D21067">
        <w:t>olyposis</w:t>
      </w:r>
      <w:r>
        <w:t xml:space="preserve"> S</w:t>
      </w:r>
      <w:r w:rsidRPr="00D21067">
        <w:t>yndrome</w:t>
      </w:r>
      <w:bookmarkEnd w:id="29"/>
      <w:bookmarkEnd w:id="30"/>
      <w:bookmarkEnd w:id="31"/>
    </w:p>
    <w:p w14:paraId="7F839863" w14:textId="77777777" w:rsidR="00C45647" w:rsidRDefault="00C45647" w:rsidP="00CB5292">
      <w:r>
        <w:t>The updated World Health Organi</w:t>
      </w:r>
      <w:r w:rsidR="00CB5292">
        <w:t>z</w:t>
      </w:r>
      <w:r>
        <w:t>ation criteria for diagnosis are:</w:t>
      </w:r>
    </w:p>
    <w:p w14:paraId="767A027A" w14:textId="77777777" w:rsidR="00C45647" w:rsidRDefault="00C45647" w:rsidP="00CB5292">
      <w:pPr>
        <w:pStyle w:val="Bullet"/>
      </w:pPr>
      <w:r w:rsidRPr="00251CBD">
        <w:rPr>
          <w:b/>
        </w:rPr>
        <w:t>Criterion 1:</w:t>
      </w:r>
      <w:r>
        <w:t xml:space="preserve"> At least 5 serrated polyps proximal to the rectum all ≥5</w:t>
      </w:r>
      <w:r w:rsidR="00A67884">
        <w:t> </w:t>
      </w:r>
      <w:r>
        <w:t xml:space="preserve">mm, with at least two </w:t>
      </w:r>
      <w:r>
        <w:rPr>
          <w:rFonts w:cs="Fira Sans"/>
        </w:rPr>
        <w:t>≥</w:t>
      </w:r>
      <w:r>
        <w:t>10</w:t>
      </w:r>
      <w:r w:rsidR="00A67884">
        <w:t> </w:t>
      </w:r>
      <w:r>
        <w:t>mm.</w:t>
      </w:r>
    </w:p>
    <w:p w14:paraId="41BDED8B" w14:textId="77777777" w:rsidR="00C45647" w:rsidRDefault="00C45647" w:rsidP="00CB5292">
      <w:pPr>
        <w:pStyle w:val="Bullet"/>
      </w:pPr>
      <w:r w:rsidRPr="00251CBD">
        <w:rPr>
          <w:b/>
        </w:rPr>
        <w:t>Criterion 2:</w:t>
      </w:r>
      <w:r>
        <w:t xml:space="preserve"> More than 20 serrated polyps of any size but distributed throughout the large bowel, with at least 5 proximal to the rectum </w:t>
      </w:r>
      <w:r>
        <w:fldChar w:fldCharType="begin"/>
      </w:r>
      <w:r>
        <w:instrText xml:space="preserve"> ADDIN EN.CITE &lt;EndNote&gt;&lt;Cite&gt;&lt;Author&gt;Dekker&lt;/Author&gt;&lt;Year&gt;2020&lt;/Year&gt;&lt;RecNum&gt;17&lt;/RecNum&gt;&lt;DisplayText&gt;(Dekker, Bleijenberg et al. 2020)&lt;/DisplayText&gt;&lt;record&gt;&lt;rec-number&gt;17&lt;/rec-number&gt;&lt;foreign-keys&gt;&lt;key app="EN" db-id="rz02vvx9eafpazev0tiptsz8evx0fwt2pp0t"&gt;17&lt;/key&gt;&lt;/foreign-keys&gt;&lt;ref-type name="Journal Article"&gt;17&lt;/ref-type&gt;&lt;contributors&gt;&lt;authors&gt;&lt;author&gt;Dekker, Evelien&lt;/author&gt;&lt;author&gt;Bleijenberg, Arne&lt;/author&gt;&lt;author&gt;Balaguer, Francesc&lt;/author&gt;&lt;author&gt;IJspeert, Joep EG&lt;/author&gt;&lt;author&gt;Bleijenberg, Arne GC&lt;/author&gt;&lt;author&gt;Pellisé, Maria&lt;/author&gt;&lt;author&gt;Carballal, Sabela&lt;/author&gt;&lt;author&gt;Rivero, Liseth&lt;/author&gt;&lt;author&gt;Latchford, A&lt;/author&gt;&lt;/authors&gt;&lt;/contributors&gt;&lt;titles&gt;&lt;title&gt;Update on the World Health Organization Criteria for Diagnosis of Serrated Polyposis Syndrome&lt;/title&gt;&lt;secondary-title&gt;Gastroenterology&lt;/secondary-title&gt;&lt;/titles&gt;&lt;periodical&gt;&lt;full-title&gt;Gastroenterology&lt;/full-title&gt;&lt;/periodical&gt;&lt;pages&gt;1520-1523&lt;/pages&gt;&lt;volume&gt;158&lt;/volume&gt;&lt;number&gt;6&lt;/number&gt;&lt;dates&gt;&lt;year&gt;2020&lt;/year&gt;&lt;/dates&gt;&lt;isbn&gt;0016-5085&lt;/isbn&gt;&lt;urls&gt;&lt;/urls&gt;&lt;/record&gt;&lt;/Cite&gt;&lt;/EndNote&gt;</w:instrText>
      </w:r>
      <w:r>
        <w:fldChar w:fldCharType="separate"/>
      </w:r>
      <w:r>
        <w:rPr>
          <w:noProof/>
        </w:rPr>
        <w:t>(</w:t>
      </w:r>
      <w:hyperlink w:anchor="_ENREF_2" w:tooltip="Dekker, 2020 #17" w:history="1">
        <w:r>
          <w:rPr>
            <w:noProof/>
          </w:rPr>
          <w:t>Dekker, Bleijenberg</w:t>
        </w:r>
        <w:r w:rsidR="00A67884">
          <w:rPr>
            <w:noProof/>
          </w:rPr>
          <w:t>,</w:t>
        </w:r>
        <w:r>
          <w:rPr>
            <w:noProof/>
          </w:rPr>
          <w:t xml:space="preserve"> et al 2020</w:t>
        </w:r>
      </w:hyperlink>
      <w:r>
        <w:rPr>
          <w:noProof/>
        </w:rPr>
        <w:t>)</w:t>
      </w:r>
      <w:r>
        <w:fldChar w:fldCharType="end"/>
      </w:r>
      <w:r>
        <w:t>.</w:t>
      </w:r>
    </w:p>
    <w:p w14:paraId="2E4EC4A4" w14:textId="77777777" w:rsidR="00A67884" w:rsidRDefault="00A67884" w:rsidP="00A67884"/>
    <w:p w14:paraId="1EDA8492" w14:textId="77777777" w:rsidR="00C45647" w:rsidRDefault="00C45647" w:rsidP="00A67884">
      <w:r>
        <w:t>Any histologic subtype of serrated polyp is included in the final count. The diagnosis may require more than one colonoscopy and the polyp count is cumulative over time.</w:t>
      </w:r>
    </w:p>
    <w:p w14:paraId="401CA955" w14:textId="77777777" w:rsidR="00A67884" w:rsidRDefault="00A67884" w:rsidP="00A67884"/>
    <w:p w14:paraId="269908FB" w14:textId="77777777" w:rsidR="00C45647" w:rsidRDefault="00C45647" w:rsidP="00A67884">
      <w:pPr>
        <w:pStyle w:val="Heading1"/>
      </w:pPr>
      <w:bookmarkStart w:id="32" w:name="_Toc55980522"/>
      <w:bookmarkStart w:id="33" w:name="_Toc57902176"/>
      <w:bookmarkStart w:id="34" w:name="_Toc169094619"/>
      <w:r>
        <w:lastRenderedPageBreak/>
        <w:t xml:space="preserve">Referral criteria to the </w:t>
      </w:r>
      <w:r w:rsidRPr="00245089">
        <w:t>New Zealand Familial Gastrointestinal Cancer Service</w:t>
      </w:r>
      <w:bookmarkEnd w:id="32"/>
      <w:bookmarkEnd w:id="33"/>
      <w:bookmarkEnd w:id="34"/>
    </w:p>
    <w:p w14:paraId="20DC877E" w14:textId="2A53CC76" w:rsidR="008D3085" w:rsidRPr="008D3085" w:rsidRDefault="008D3085" w:rsidP="008D3085">
      <w:r>
        <w:rPr>
          <w:sz w:val="22"/>
          <w:szCs w:val="22"/>
        </w:rPr>
        <w:t>Note: These are referral guidelines. A hereditary cause underlying polyposis correlates to some extent with the age your patient meets the criteria stated below. If you have additional concerns about your patient, you may want to refer outside these criteria. There are separate guidelines for individuals with a family/whanau history of polyposis/CRC.</w:t>
      </w:r>
    </w:p>
    <w:p w14:paraId="57FA5CA0" w14:textId="77777777" w:rsidR="00C45647" w:rsidRDefault="00C45647" w:rsidP="00A67884">
      <w:pPr>
        <w:pStyle w:val="Heading2"/>
      </w:pPr>
      <w:bookmarkStart w:id="35" w:name="_Toc57902177"/>
      <w:bookmarkStart w:id="36" w:name="_Toc169094620"/>
      <w:r>
        <w:t>Serrated Polyposis Syndrome</w:t>
      </w:r>
      <w:bookmarkEnd w:id="35"/>
      <w:bookmarkEnd w:id="36"/>
    </w:p>
    <w:p w14:paraId="554CEE50" w14:textId="77777777" w:rsidR="008D3085" w:rsidRDefault="008D3085" w:rsidP="008D3085">
      <w:pPr>
        <w:pStyle w:val="Default"/>
        <w:rPr>
          <w:sz w:val="22"/>
          <w:szCs w:val="22"/>
        </w:rPr>
      </w:pPr>
      <w:r>
        <w:rPr>
          <w:sz w:val="22"/>
          <w:szCs w:val="22"/>
        </w:rPr>
        <w:t xml:space="preserve">Refer a patient to the New Zealand Familial Gastrointestinal Cancer Service where they meet the World Health Organisation (WHO) criteria for a diagnosis of SPS and have one of the below features: </w:t>
      </w:r>
    </w:p>
    <w:p w14:paraId="035F4D35" w14:textId="12238ED1" w:rsidR="008D3085" w:rsidRDefault="008D3085" w:rsidP="008D3085">
      <w:pPr>
        <w:pStyle w:val="Default"/>
        <w:numPr>
          <w:ilvl w:val="0"/>
          <w:numId w:val="7"/>
        </w:numPr>
        <w:spacing w:after="28"/>
        <w:rPr>
          <w:sz w:val="22"/>
          <w:szCs w:val="22"/>
        </w:rPr>
      </w:pPr>
      <w:r>
        <w:rPr>
          <w:sz w:val="22"/>
          <w:szCs w:val="22"/>
        </w:rPr>
        <w:t xml:space="preserve">Age ≤ 30 </w:t>
      </w:r>
      <w:proofErr w:type="spellStart"/>
      <w:r>
        <w:rPr>
          <w:sz w:val="22"/>
          <w:szCs w:val="22"/>
        </w:rPr>
        <w:t>yrs</w:t>
      </w:r>
      <w:proofErr w:type="spellEnd"/>
      <w:r>
        <w:rPr>
          <w:sz w:val="22"/>
          <w:szCs w:val="22"/>
        </w:rPr>
        <w:t xml:space="preserve"> </w:t>
      </w:r>
    </w:p>
    <w:p w14:paraId="7A218B12" w14:textId="727331C5" w:rsidR="008D3085" w:rsidRDefault="008D3085" w:rsidP="008D3085">
      <w:pPr>
        <w:pStyle w:val="Default"/>
        <w:numPr>
          <w:ilvl w:val="0"/>
          <w:numId w:val="7"/>
        </w:numPr>
        <w:spacing w:after="28"/>
        <w:rPr>
          <w:sz w:val="22"/>
          <w:szCs w:val="22"/>
        </w:rPr>
      </w:pPr>
      <w:r>
        <w:rPr>
          <w:sz w:val="22"/>
          <w:szCs w:val="22"/>
        </w:rPr>
        <w:t xml:space="preserve">Personal history of colorectal cancer ≤ 50 </w:t>
      </w:r>
      <w:proofErr w:type="spellStart"/>
      <w:r>
        <w:rPr>
          <w:sz w:val="22"/>
          <w:szCs w:val="22"/>
        </w:rPr>
        <w:t>yrs</w:t>
      </w:r>
      <w:proofErr w:type="spellEnd"/>
      <w:r>
        <w:rPr>
          <w:sz w:val="22"/>
          <w:szCs w:val="22"/>
        </w:rPr>
        <w:t xml:space="preserve"> </w:t>
      </w:r>
    </w:p>
    <w:p w14:paraId="73E120CE" w14:textId="3C7289EC" w:rsidR="008D3085" w:rsidRDefault="008D3085" w:rsidP="008D3085">
      <w:pPr>
        <w:pStyle w:val="Default"/>
        <w:numPr>
          <w:ilvl w:val="0"/>
          <w:numId w:val="7"/>
        </w:numPr>
        <w:spacing w:after="28"/>
        <w:rPr>
          <w:sz w:val="22"/>
          <w:szCs w:val="22"/>
        </w:rPr>
      </w:pPr>
      <w:r>
        <w:rPr>
          <w:sz w:val="22"/>
          <w:szCs w:val="22"/>
        </w:rPr>
        <w:t xml:space="preserve">First degree relative with CRC ≤ 50yrs or SPS diagnosed ≤ </w:t>
      </w:r>
      <w:proofErr w:type="gramStart"/>
      <w:r>
        <w:rPr>
          <w:sz w:val="22"/>
          <w:szCs w:val="22"/>
        </w:rPr>
        <w:t>50yrs</w:t>
      </w:r>
      <w:proofErr w:type="gramEnd"/>
      <w:r>
        <w:rPr>
          <w:sz w:val="22"/>
          <w:szCs w:val="22"/>
        </w:rPr>
        <w:t xml:space="preserve"> </w:t>
      </w:r>
    </w:p>
    <w:p w14:paraId="1EB47500" w14:textId="5F50CBAB" w:rsidR="008D3085" w:rsidRDefault="008D3085" w:rsidP="008D3085">
      <w:pPr>
        <w:pStyle w:val="Default"/>
        <w:numPr>
          <w:ilvl w:val="0"/>
          <w:numId w:val="7"/>
        </w:numPr>
        <w:spacing w:after="28"/>
        <w:rPr>
          <w:sz w:val="22"/>
          <w:szCs w:val="22"/>
        </w:rPr>
      </w:pPr>
      <w:r>
        <w:rPr>
          <w:sz w:val="22"/>
          <w:szCs w:val="22"/>
        </w:rPr>
        <w:t xml:space="preserve">Failing endoscopic management of polyposis and this group includes patients with multiple dysplastic SSPs. </w:t>
      </w:r>
    </w:p>
    <w:p w14:paraId="0BF945B6" w14:textId="221F0822" w:rsidR="008D3085" w:rsidRDefault="008D3085" w:rsidP="008D3085">
      <w:pPr>
        <w:pStyle w:val="Default"/>
        <w:numPr>
          <w:ilvl w:val="0"/>
          <w:numId w:val="7"/>
        </w:numPr>
        <w:rPr>
          <w:sz w:val="22"/>
          <w:szCs w:val="22"/>
        </w:rPr>
      </w:pPr>
      <w:r>
        <w:rPr>
          <w:sz w:val="22"/>
          <w:szCs w:val="22"/>
        </w:rPr>
        <w:t xml:space="preserve">10 cumulative adenomas and a diagnosis of SPS. </w:t>
      </w:r>
    </w:p>
    <w:p w14:paraId="74F4203F" w14:textId="77777777" w:rsidR="008D3085" w:rsidRDefault="008D3085" w:rsidP="008D3085">
      <w:pPr>
        <w:pStyle w:val="Default"/>
        <w:rPr>
          <w:sz w:val="22"/>
          <w:szCs w:val="22"/>
        </w:rPr>
      </w:pPr>
    </w:p>
    <w:p w14:paraId="6BD7355B" w14:textId="5485F584" w:rsidR="00A67884" w:rsidRDefault="008D3085" w:rsidP="008D3085">
      <w:r>
        <w:rPr>
          <w:sz w:val="22"/>
          <w:szCs w:val="22"/>
        </w:rPr>
        <w:t>Please see the NZFGCS website link for further information regarding management of SPS including family/whanau recommendation.</w:t>
      </w:r>
    </w:p>
    <w:p w14:paraId="3A26DDAB" w14:textId="77777777" w:rsidR="00C45647" w:rsidRDefault="00C45647" w:rsidP="00A67884">
      <w:pPr>
        <w:pStyle w:val="Heading2"/>
      </w:pPr>
      <w:bookmarkStart w:id="37" w:name="_Toc57902178"/>
      <w:bookmarkStart w:id="38" w:name="_Toc169094621"/>
      <w:r>
        <w:t xml:space="preserve">Multiple </w:t>
      </w:r>
      <w:r w:rsidR="00A67884">
        <w:t>a</w:t>
      </w:r>
      <w:r>
        <w:t>denoma</w:t>
      </w:r>
      <w:bookmarkEnd w:id="37"/>
      <w:bookmarkEnd w:id="38"/>
    </w:p>
    <w:p w14:paraId="1380C572" w14:textId="77777777" w:rsidR="008D3085" w:rsidRDefault="008D3085" w:rsidP="008D3085">
      <w:pPr>
        <w:pStyle w:val="Default"/>
        <w:rPr>
          <w:sz w:val="22"/>
          <w:szCs w:val="22"/>
        </w:rPr>
      </w:pPr>
      <w:r>
        <w:rPr>
          <w:sz w:val="22"/>
          <w:szCs w:val="22"/>
        </w:rPr>
        <w:t xml:space="preserve">Refer a patient to the New Zealand Familial Gastrointestinal Cancer Service where they have: </w:t>
      </w:r>
    </w:p>
    <w:p w14:paraId="4E2366ED" w14:textId="6FB10952" w:rsidR="008D3085" w:rsidRDefault="008D3085" w:rsidP="008D3085">
      <w:pPr>
        <w:pStyle w:val="Default"/>
        <w:numPr>
          <w:ilvl w:val="0"/>
          <w:numId w:val="9"/>
        </w:numPr>
        <w:spacing w:after="17"/>
        <w:rPr>
          <w:sz w:val="22"/>
          <w:szCs w:val="22"/>
        </w:rPr>
      </w:pPr>
      <w:r>
        <w:rPr>
          <w:sz w:val="22"/>
          <w:szCs w:val="22"/>
        </w:rPr>
        <w:t xml:space="preserve">20 cumulative adenomas, or </w:t>
      </w:r>
    </w:p>
    <w:p w14:paraId="3F307AFF" w14:textId="6FFFE827" w:rsidR="008D3085" w:rsidRDefault="008D3085" w:rsidP="008D3085">
      <w:pPr>
        <w:pStyle w:val="Default"/>
        <w:numPr>
          <w:ilvl w:val="0"/>
          <w:numId w:val="9"/>
        </w:numPr>
        <w:spacing w:after="17"/>
        <w:rPr>
          <w:sz w:val="22"/>
          <w:szCs w:val="22"/>
        </w:rPr>
      </w:pPr>
      <w:r>
        <w:rPr>
          <w:sz w:val="22"/>
          <w:szCs w:val="22"/>
        </w:rPr>
        <w:t xml:space="preserve">10 cumulative adenomas if the patient is aged 30 years or younger, or </w:t>
      </w:r>
    </w:p>
    <w:p w14:paraId="41EB6DDD" w14:textId="477A132F" w:rsidR="008D3085" w:rsidRDefault="008D3085" w:rsidP="008D3085">
      <w:pPr>
        <w:pStyle w:val="Default"/>
        <w:numPr>
          <w:ilvl w:val="0"/>
          <w:numId w:val="9"/>
        </w:numPr>
        <w:spacing w:after="17"/>
        <w:rPr>
          <w:sz w:val="22"/>
          <w:szCs w:val="22"/>
        </w:rPr>
      </w:pPr>
      <w:r>
        <w:rPr>
          <w:sz w:val="22"/>
          <w:szCs w:val="22"/>
        </w:rPr>
        <w:t xml:space="preserve">10 cumulative adenomas and a diagnosis of CRC, or </w:t>
      </w:r>
    </w:p>
    <w:p w14:paraId="7FE2A055" w14:textId="313EC505" w:rsidR="008D3085" w:rsidRDefault="008D3085" w:rsidP="008D3085">
      <w:pPr>
        <w:pStyle w:val="Default"/>
        <w:numPr>
          <w:ilvl w:val="0"/>
          <w:numId w:val="9"/>
        </w:numPr>
        <w:spacing w:after="17"/>
        <w:rPr>
          <w:sz w:val="22"/>
          <w:szCs w:val="22"/>
        </w:rPr>
      </w:pPr>
      <w:r>
        <w:rPr>
          <w:sz w:val="22"/>
          <w:szCs w:val="22"/>
        </w:rPr>
        <w:t xml:space="preserve">10 cumulative adenomas and a diagnosis of SPS, or </w:t>
      </w:r>
    </w:p>
    <w:p w14:paraId="342DD00B" w14:textId="0ED55401" w:rsidR="008D3085" w:rsidRDefault="008D3085" w:rsidP="008D3085">
      <w:pPr>
        <w:pStyle w:val="Default"/>
        <w:numPr>
          <w:ilvl w:val="0"/>
          <w:numId w:val="9"/>
        </w:numPr>
        <w:rPr>
          <w:sz w:val="22"/>
          <w:szCs w:val="22"/>
        </w:rPr>
      </w:pPr>
      <w:r>
        <w:rPr>
          <w:sz w:val="22"/>
          <w:szCs w:val="22"/>
        </w:rPr>
        <w:t xml:space="preserve">Family history of colorectal cancer in a number of first degree relative’s or diagnosed under age 50 years. </w:t>
      </w:r>
    </w:p>
    <w:p w14:paraId="5C9316E1" w14:textId="77777777" w:rsidR="008D3085" w:rsidRDefault="008D3085" w:rsidP="008D3085">
      <w:pPr>
        <w:pStyle w:val="Default"/>
        <w:rPr>
          <w:sz w:val="22"/>
          <w:szCs w:val="22"/>
        </w:rPr>
      </w:pPr>
    </w:p>
    <w:p w14:paraId="11E18A43" w14:textId="77777777" w:rsidR="008D3085" w:rsidRDefault="008D3085" w:rsidP="008D3085">
      <w:pPr>
        <w:pStyle w:val="Default"/>
        <w:rPr>
          <w:sz w:val="22"/>
          <w:szCs w:val="22"/>
        </w:rPr>
      </w:pPr>
      <w:r>
        <w:rPr>
          <w:sz w:val="22"/>
          <w:szCs w:val="22"/>
        </w:rPr>
        <w:lastRenderedPageBreak/>
        <w:t xml:space="preserve">A concerning family history of CRC or polyposis should prompt consideration of referral outside these criteria. </w:t>
      </w:r>
    </w:p>
    <w:p w14:paraId="4D3E0005" w14:textId="1481DB9F" w:rsidR="00A67884" w:rsidRDefault="008D3085" w:rsidP="008D3085">
      <w:r>
        <w:rPr>
          <w:sz w:val="22"/>
          <w:szCs w:val="22"/>
        </w:rPr>
        <w:t xml:space="preserve">In some </w:t>
      </w:r>
      <w:proofErr w:type="gramStart"/>
      <w:r>
        <w:rPr>
          <w:sz w:val="22"/>
          <w:szCs w:val="22"/>
        </w:rPr>
        <w:t>cases</w:t>
      </w:r>
      <w:proofErr w:type="gramEnd"/>
      <w:r>
        <w:rPr>
          <w:sz w:val="22"/>
          <w:szCs w:val="22"/>
        </w:rPr>
        <w:t xml:space="preserve"> outside this above stated referral criteria for multiple colorectal adenoma, there may be suggested family/whanau recommendations that apply to your patients’ relatives. Please see the NZ Familial GI Cancer Service website for details https://www.nzfgcs.co.nz/.</w:t>
      </w:r>
    </w:p>
    <w:p w14:paraId="5E939B61" w14:textId="77777777" w:rsidR="00C45647" w:rsidRDefault="00C45647" w:rsidP="00A67884">
      <w:pPr>
        <w:pStyle w:val="Heading1"/>
      </w:pPr>
      <w:bookmarkStart w:id="39" w:name="_Toc57902179"/>
      <w:bookmarkStart w:id="40" w:name="_Toc169094622"/>
      <w:r>
        <w:lastRenderedPageBreak/>
        <w:t>References</w:t>
      </w:r>
      <w:bookmarkEnd w:id="39"/>
      <w:bookmarkEnd w:id="40"/>
    </w:p>
    <w:p w14:paraId="5FBCB0BA" w14:textId="77777777" w:rsidR="00C45647" w:rsidRPr="00A60ACA" w:rsidRDefault="00C45647" w:rsidP="00A67884">
      <w:pPr>
        <w:pStyle w:val="References"/>
        <w:rPr>
          <w:noProof/>
        </w:rPr>
      </w:pPr>
      <w:r>
        <w:fldChar w:fldCharType="begin"/>
      </w:r>
      <w:r>
        <w:instrText xml:space="preserve"> ADDIN EN.REFLIST </w:instrText>
      </w:r>
      <w:r>
        <w:fldChar w:fldCharType="separate"/>
      </w:r>
      <w:bookmarkStart w:id="41" w:name="_ENREF_1"/>
      <w:r w:rsidRPr="00A60ACA">
        <w:rPr>
          <w:noProof/>
        </w:rPr>
        <w:t>Cancer Council Australia Surveillance Colonoscopy Guidelines Working Party</w:t>
      </w:r>
      <w:r w:rsidR="00A67884">
        <w:rPr>
          <w:noProof/>
        </w:rPr>
        <w:t>.</w:t>
      </w:r>
      <w:r w:rsidRPr="00A60ACA">
        <w:rPr>
          <w:noProof/>
        </w:rPr>
        <w:t xml:space="preserve"> 2019</w:t>
      </w:r>
      <w:r w:rsidR="00A67884">
        <w:rPr>
          <w:noProof/>
        </w:rPr>
        <w:t xml:space="preserve">. </w:t>
      </w:r>
      <w:r w:rsidRPr="00A67884">
        <w:rPr>
          <w:i/>
          <w:noProof/>
        </w:rPr>
        <w:t>Clinical Practice Guidelines for Surveillance Colonoscopy</w:t>
      </w:r>
      <w:r w:rsidRPr="00A60ACA">
        <w:rPr>
          <w:noProof/>
        </w:rPr>
        <w:t xml:space="preserve">. Retrieved 13 August 2020, from </w:t>
      </w:r>
      <w:hyperlink r:id="rId26" w:history="1">
        <w:r w:rsidR="00A67884" w:rsidRPr="00A67884">
          <w:rPr>
            <w:rStyle w:val="Hyperlink"/>
            <w:noProof/>
          </w:rPr>
          <w:t>https://wiki.cancer.org.au/australia/Guidelines:Colorectal_cancer/Colonoscopy_surveillance</w:t>
        </w:r>
      </w:hyperlink>
      <w:r w:rsidRPr="00A60ACA">
        <w:rPr>
          <w:noProof/>
        </w:rPr>
        <w:t>.</w:t>
      </w:r>
    </w:p>
    <w:p w14:paraId="64D4BD43" w14:textId="77777777" w:rsidR="00C45647" w:rsidRPr="00A60ACA" w:rsidRDefault="00C45647" w:rsidP="00A67884">
      <w:pPr>
        <w:pStyle w:val="References"/>
        <w:rPr>
          <w:noProof/>
        </w:rPr>
      </w:pPr>
      <w:bookmarkStart w:id="42" w:name="_ENREF_2"/>
      <w:bookmarkEnd w:id="41"/>
      <w:r w:rsidRPr="00A60ACA">
        <w:rPr>
          <w:noProof/>
        </w:rPr>
        <w:t xml:space="preserve">Dekker E, et al. 2020. Update on the World Health Organization Criteria for Diagnosis of Serrated Polyposis Syndrome. </w:t>
      </w:r>
      <w:r w:rsidRPr="00A67884">
        <w:rPr>
          <w:i/>
          <w:noProof/>
        </w:rPr>
        <w:t>Gastroenterology</w:t>
      </w:r>
      <w:r w:rsidRPr="00A60ACA">
        <w:rPr>
          <w:noProof/>
        </w:rPr>
        <w:t xml:space="preserve"> </w:t>
      </w:r>
      <w:r w:rsidRPr="00A67884">
        <w:rPr>
          <w:noProof/>
        </w:rPr>
        <w:t>158</w:t>
      </w:r>
      <w:r w:rsidRPr="00A60ACA">
        <w:rPr>
          <w:noProof/>
        </w:rPr>
        <w:t>(6): 1520</w:t>
      </w:r>
      <w:r w:rsidR="00A67884">
        <w:rPr>
          <w:noProof/>
        </w:rPr>
        <w:t>–</w:t>
      </w:r>
      <w:r w:rsidRPr="00A60ACA">
        <w:rPr>
          <w:noProof/>
        </w:rPr>
        <w:t>3.</w:t>
      </w:r>
    </w:p>
    <w:p w14:paraId="506DB08B" w14:textId="77777777" w:rsidR="00C45647" w:rsidRPr="00A60ACA" w:rsidRDefault="00C45647" w:rsidP="00A67884">
      <w:pPr>
        <w:pStyle w:val="References"/>
        <w:rPr>
          <w:noProof/>
        </w:rPr>
      </w:pPr>
      <w:bookmarkStart w:id="43" w:name="_ENREF_3"/>
      <w:bookmarkEnd w:id="42"/>
      <w:r w:rsidRPr="00A60ACA">
        <w:rPr>
          <w:noProof/>
        </w:rPr>
        <w:t>Endoscopy Governance Group for New Zealand</w:t>
      </w:r>
      <w:r w:rsidR="00A67884">
        <w:rPr>
          <w:noProof/>
        </w:rPr>
        <w:t>.</w:t>
      </w:r>
      <w:r w:rsidRPr="00A60ACA">
        <w:rPr>
          <w:noProof/>
        </w:rPr>
        <w:t xml:space="preserve"> 2017. Endoscopy Standards for Individual Colonoscopists Performing Bowel Cancer Screening in New Zealand. Retrieved 13</w:t>
      </w:r>
      <w:r w:rsidR="00A67884">
        <w:rPr>
          <w:noProof/>
        </w:rPr>
        <w:t> </w:t>
      </w:r>
      <w:r w:rsidRPr="00A60ACA">
        <w:rPr>
          <w:noProof/>
        </w:rPr>
        <w:t xml:space="preserve">August 2020, from </w:t>
      </w:r>
      <w:hyperlink r:id="rId27" w:history="1">
        <w:r w:rsidR="00A67884" w:rsidRPr="00A67884">
          <w:rPr>
            <w:rStyle w:val="Hyperlink"/>
            <w:noProof/>
          </w:rPr>
          <w:t>https://endoscopyquality.co.nz/assets/Uploads/EGGNZ-Endoscopy-Standards-for-Individual-Colonoscopists-Performing-Bowel-Cancer-Screening-in-New-Zealand-Final-v3.0.pdf</w:t>
        </w:r>
      </w:hyperlink>
      <w:r w:rsidRPr="00A60ACA">
        <w:rPr>
          <w:noProof/>
        </w:rPr>
        <w:t>.</w:t>
      </w:r>
    </w:p>
    <w:p w14:paraId="1B1AB258" w14:textId="77777777" w:rsidR="00C45647" w:rsidRPr="00A60ACA" w:rsidRDefault="00C45647" w:rsidP="00A67884">
      <w:pPr>
        <w:pStyle w:val="References"/>
        <w:rPr>
          <w:noProof/>
        </w:rPr>
      </w:pPr>
      <w:bookmarkStart w:id="44" w:name="_ENREF_4"/>
      <w:bookmarkEnd w:id="43"/>
      <w:r w:rsidRPr="00A60ACA">
        <w:rPr>
          <w:noProof/>
        </w:rPr>
        <w:t>Endoscopy Guidance Group for New Zealand</w:t>
      </w:r>
      <w:r w:rsidR="00A67884">
        <w:rPr>
          <w:noProof/>
        </w:rPr>
        <w:t>.</w:t>
      </w:r>
      <w:r w:rsidRPr="00A60ACA">
        <w:rPr>
          <w:noProof/>
        </w:rPr>
        <w:t xml:space="preserve"> 2018. </w:t>
      </w:r>
      <w:r w:rsidRPr="00A67884">
        <w:rPr>
          <w:i/>
          <w:noProof/>
        </w:rPr>
        <w:t>Guidelines for Local Credentialing in Adult Endoscopy</w:t>
      </w:r>
      <w:r w:rsidRPr="00A60ACA">
        <w:rPr>
          <w:noProof/>
        </w:rPr>
        <w:t>. Retrieved 13 August 2020.</w:t>
      </w:r>
    </w:p>
    <w:p w14:paraId="6A389862" w14:textId="77777777" w:rsidR="00C45647" w:rsidRPr="00A60ACA" w:rsidRDefault="00C45647" w:rsidP="00A67884">
      <w:pPr>
        <w:pStyle w:val="References"/>
        <w:rPr>
          <w:noProof/>
        </w:rPr>
      </w:pPr>
      <w:bookmarkStart w:id="45" w:name="_ENREF_5"/>
      <w:bookmarkEnd w:id="44"/>
      <w:r w:rsidRPr="00A60ACA">
        <w:rPr>
          <w:noProof/>
        </w:rPr>
        <w:t xml:space="preserve">Ferlitsch M, et al. 2017. Colorectal polypectomy and endoscopic mucosal resection (EMR): European Society of Gastrointestinal Endoscopy (ESGE) clinical guideline. </w:t>
      </w:r>
      <w:r w:rsidRPr="00A67884">
        <w:rPr>
          <w:i/>
          <w:noProof/>
        </w:rPr>
        <w:t>Endoscopy</w:t>
      </w:r>
      <w:r w:rsidRPr="00A60ACA">
        <w:rPr>
          <w:noProof/>
        </w:rPr>
        <w:t xml:space="preserve"> </w:t>
      </w:r>
      <w:r w:rsidRPr="00A67884">
        <w:rPr>
          <w:noProof/>
        </w:rPr>
        <w:t>49</w:t>
      </w:r>
      <w:r w:rsidRPr="00A60ACA">
        <w:rPr>
          <w:noProof/>
        </w:rPr>
        <w:t>(3): 270</w:t>
      </w:r>
      <w:r w:rsidR="00A67884">
        <w:rPr>
          <w:noProof/>
        </w:rPr>
        <w:t>–</w:t>
      </w:r>
      <w:r w:rsidRPr="00A60ACA">
        <w:rPr>
          <w:noProof/>
        </w:rPr>
        <w:t>97.</w:t>
      </w:r>
    </w:p>
    <w:p w14:paraId="183ACD35" w14:textId="77777777" w:rsidR="00C45647" w:rsidRPr="00A60ACA" w:rsidRDefault="00C45647" w:rsidP="00A67884">
      <w:pPr>
        <w:pStyle w:val="References"/>
        <w:rPr>
          <w:noProof/>
        </w:rPr>
      </w:pPr>
      <w:bookmarkStart w:id="46" w:name="_ENREF_6"/>
      <w:bookmarkEnd w:id="45"/>
      <w:r w:rsidRPr="00A60ACA">
        <w:rPr>
          <w:noProof/>
        </w:rPr>
        <w:t xml:space="preserve">Gupta S, et al. 2020. Recommendations for follow-up after colonoscopy and polypectomy: a consensus update by the US Multi-Society Task Force on Colorectal Cancer. </w:t>
      </w:r>
      <w:r w:rsidRPr="00A67884">
        <w:rPr>
          <w:i/>
          <w:noProof/>
        </w:rPr>
        <w:t xml:space="preserve">Gastrointestinal </w:t>
      </w:r>
      <w:r w:rsidR="00A67884">
        <w:rPr>
          <w:i/>
          <w:noProof/>
        </w:rPr>
        <w:t>E</w:t>
      </w:r>
      <w:r w:rsidRPr="00A67884">
        <w:rPr>
          <w:i/>
          <w:noProof/>
        </w:rPr>
        <w:t>ndoscopy</w:t>
      </w:r>
      <w:r w:rsidRPr="00A60ACA">
        <w:rPr>
          <w:noProof/>
        </w:rPr>
        <w:t xml:space="preserve"> </w:t>
      </w:r>
      <w:r w:rsidRPr="00A67884">
        <w:rPr>
          <w:noProof/>
        </w:rPr>
        <w:t>91</w:t>
      </w:r>
      <w:r w:rsidRPr="00A60ACA">
        <w:rPr>
          <w:noProof/>
        </w:rPr>
        <w:t>(3): 463</w:t>
      </w:r>
      <w:r w:rsidR="00A67884">
        <w:rPr>
          <w:noProof/>
        </w:rPr>
        <w:t>–</w:t>
      </w:r>
      <w:r w:rsidRPr="00A60ACA">
        <w:rPr>
          <w:noProof/>
        </w:rPr>
        <w:t>85. e465.</w:t>
      </w:r>
    </w:p>
    <w:p w14:paraId="22DF296C" w14:textId="77777777" w:rsidR="00C45647" w:rsidRPr="00A60ACA" w:rsidRDefault="00C45647" w:rsidP="00A67884">
      <w:pPr>
        <w:pStyle w:val="References"/>
        <w:rPr>
          <w:noProof/>
        </w:rPr>
      </w:pPr>
      <w:bookmarkStart w:id="47" w:name="_ENREF_7"/>
      <w:bookmarkEnd w:id="46"/>
      <w:r w:rsidRPr="00A60ACA">
        <w:rPr>
          <w:noProof/>
        </w:rPr>
        <w:t>Hassan C, et al. 2020. Post-polypectomy colonoscopy surveillance: European Society of Gastrointestinal Endoscopy (ESGE) Guideline</w:t>
      </w:r>
      <w:r w:rsidR="00A67884">
        <w:rPr>
          <w:noProof/>
        </w:rPr>
        <w:t xml:space="preserve"> – </w:t>
      </w:r>
      <w:r w:rsidRPr="00A60ACA">
        <w:rPr>
          <w:noProof/>
        </w:rPr>
        <w:t xml:space="preserve">Update 2020. </w:t>
      </w:r>
      <w:r w:rsidRPr="00A67884">
        <w:rPr>
          <w:i/>
          <w:noProof/>
        </w:rPr>
        <w:t>Endoscopy</w:t>
      </w:r>
      <w:r w:rsidRPr="00A60ACA">
        <w:rPr>
          <w:noProof/>
        </w:rPr>
        <w:t xml:space="preserve"> </w:t>
      </w:r>
      <w:r w:rsidRPr="00A67884">
        <w:rPr>
          <w:noProof/>
        </w:rPr>
        <w:t>52</w:t>
      </w:r>
      <w:r w:rsidRPr="00A60ACA">
        <w:rPr>
          <w:noProof/>
        </w:rPr>
        <w:t>(08): 687</w:t>
      </w:r>
      <w:r w:rsidR="00A67884">
        <w:rPr>
          <w:noProof/>
        </w:rPr>
        <w:t>–</w:t>
      </w:r>
      <w:r w:rsidRPr="00A60ACA">
        <w:rPr>
          <w:noProof/>
        </w:rPr>
        <w:t>700.</w:t>
      </w:r>
    </w:p>
    <w:p w14:paraId="6644CC6E" w14:textId="77777777" w:rsidR="00C45647" w:rsidRPr="00A60ACA" w:rsidRDefault="00C45647" w:rsidP="00A67884">
      <w:pPr>
        <w:pStyle w:val="References"/>
        <w:rPr>
          <w:noProof/>
        </w:rPr>
      </w:pPr>
      <w:bookmarkStart w:id="48" w:name="_ENREF_8"/>
      <w:bookmarkEnd w:id="47"/>
      <w:r w:rsidRPr="00A60ACA">
        <w:rPr>
          <w:noProof/>
        </w:rPr>
        <w:t>Health Quality &amp; Safety Commission New Zealand</w:t>
      </w:r>
      <w:r w:rsidR="00A67884">
        <w:rPr>
          <w:noProof/>
        </w:rPr>
        <w:t>.</w:t>
      </w:r>
      <w:r w:rsidRPr="00A60ACA">
        <w:rPr>
          <w:noProof/>
        </w:rPr>
        <w:t xml:space="preserve"> 19 July 2017. </w:t>
      </w:r>
      <w:r w:rsidRPr="00A67884">
        <w:rPr>
          <w:i/>
          <w:noProof/>
        </w:rPr>
        <w:t>Bowel Cancer</w:t>
      </w:r>
      <w:r w:rsidRPr="00A60ACA">
        <w:rPr>
          <w:noProof/>
        </w:rPr>
        <w:t>. Retrieved 23</w:t>
      </w:r>
      <w:r w:rsidR="00A67884">
        <w:rPr>
          <w:noProof/>
        </w:rPr>
        <w:t> </w:t>
      </w:r>
      <w:r w:rsidRPr="00A60ACA">
        <w:rPr>
          <w:noProof/>
        </w:rPr>
        <w:t xml:space="preserve">November 2020, from </w:t>
      </w:r>
      <w:hyperlink r:id="rId28" w:history="1">
        <w:r w:rsidR="00A67884" w:rsidRPr="00A67884">
          <w:rPr>
            <w:rStyle w:val="Hyperlink"/>
            <w:noProof/>
          </w:rPr>
          <w:t>https://www.hqsc.govt.nz/our-programmes/health-quality-evaluation/projects/atlas-of-healthcare-variation/bowel-cancer/</w:t>
        </w:r>
      </w:hyperlink>
      <w:r w:rsidRPr="00A60ACA">
        <w:rPr>
          <w:noProof/>
        </w:rPr>
        <w:t>.</w:t>
      </w:r>
    </w:p>
    <w:p w14:paraId="78637AA3" w14:textId="77777777" w:rsidR="00C45647" w:rsidRPr="00A60ACA" w:rsidRDefault="00C45647" w:rsidP="00A67884">
      <w:pPr>
        <w:pStyle w:val="References"/>
        <w:rPr>
          <w:noProof/>
        </w:rPr>
      </w:pPr>
      <w:bookmarkStart w:id="49" w:name="_ENREF_9"/>
      <w:bookmarkEnd w:id="48"/>
      <w:r w:rsidRPr="00A60ACA">
        <w:rPr>
          <w:noProof/>
        </w:rPr>
        <w:t xml:space="preserve">Hill S, et al. 2010. Survival disparities in </w:t>
      </w:r>
      <w:r w:rsidR="00A67884">
        <w:rPr>
          <w:noProof/>
        </w:rPr>
        <w:t>i</w:t>
      </w:r>
      <w:r w:rsidRPr="00A60ACA">
        <w:rPr>
          <w:noProof/>
        </w:rPr>
        <w:t>ndigenous and non-</w:t>
      </w:r>
      <w:r w:rsidR="00A67884">
        <w:rPr>
          <w:noProof/>
        </w:rPr>
        <w:t>i</w:t>
      </w:r>
      <w:r w:rsidRPr="00A60ACA">
        <w:rPr>
          <w:noProof/>
        </w:rPr>
        <w:t xml:space="preserve">ndigenous New Zealanders with colon cancer: the role of patient comorbidity, treatment and health service factors. </w:t>
      </w:r>
      <w:r w:rsidRPr="00A67884">
        <w:rPr>
          <w:i/>
          <w:noProof/>
        </w:rPr>
        <w:t>Journal of Epidemiology &amp; Community Health</w:t>
      </w:r>
      <w:r w:rsidRPr="00A60ACA">
        <w:rPr>
          <w:noProof/>
        </w:rPr>
        <w:t xml:space="preserve"> </w:t>
      </w:r>
      <w:r w:rsidRPr="00A67884">
        <w:rPr>
          <w:noProof/>
        </w:rPr>
        <w:t>64</w:t>
      </w:r>
      <w:r w:rsidRPr="00A60ACA">
        <w:rPr>
          <w:noProof/>
        </w:rPr>
        <w:t>(2): 117</w:t>
      </w:r>
      <w:r w:rsidR="00A67884">
        <w:rPr>
          <w:noProof/>
        </w:rPr>
        <w:t>–</w:t>
      </w:r>
      <w:r w:rsidRPr="00A60ACA">
        <w:rPr>
          <w:noProof/>
        </w:rPr>
        <w:t>23.</w:t>
      </w:r>
    </w:p>
    <w:p w14:paraId="1B64C7E3" w14:textId="77777777" w:rsidR="00C45647" w:rsidRPr="00A60ACA" w:rsidRDefault="00C45647" w:rsidP="00A67884">
      <w:pPr>
        <w:pStyle w:val="References"/>
        <w:rPr>
          <w:noProof/>
        </w:rPr>
      </w:pPr>
      <w:bookmarkStart w:id="50" w:name="_ENREF_10"/>
      <w:bookmarkEnd w:id="49"/>
      <w:r w:rsidRPr="00A60ACA">
        <w:rPr>
          <w:noProof/>
        </w:rPr>
        <w:t>Ministry of Health</w:t>
      </w:r>
      <w:r w:rsidR="00A67884">
        <w:rPr>
          <w:noProof/>
        </w:rPr>
        <w:t>.</w:t>
      </w:r>
      <w:r w:rsidRPr="00A60ACA">
        <w:rPr>
          <w:noProof/>
        </w:rPr>
        <w:t xml:space="preserve"> 2012. </w:t>
      </w:r>
      <w:r w:rsidRPr="00A67884">
        <w:rPr>
          <w:i/>
          <w:noProof/>
        </w:rPr>
        <w:t>Guidance on Surveillance for People at Increased Risk of Colorectal Cancer</w:t>
      </w:r>
      <w:r w:rsidRPr="00A60ACA">
        <w:rPr>
          <w:noProof/>
        </w:rPr>
        <w:t xml:space="preserve">. Retrieved 13 August 2020, from </w:t>
      </w:r>
      <w:hyperlink r:id="rId29" w:history="1">
        <w:r w:rsidR="00A67884" w:rsidRPr="00A67884">
          <w:rPr>
            <w:rStyle w:val="Hyperlink"/>
            <w:noProof/>
          </w:rPr>
          <w:t>https://www.health.govt.nz/system/files/documents/publications/colorectal-cancer-surveillance-guidance.pdf</w:t>
        </w:r>
      </w:hyperlink>
      <w:r w:rsidRPr="00A60ACA">
        <w:rPr>
          <w:noProof/>
        </w:rPr>
        <w:t>.</w:t>
      </w:r>
    </w:p>
    <w:p w14:paraId="04550EEF" w14:textId="77777777" w:rsidR="00C45647" w:rsidRPr="00A67884" w:rsidRDefault="00C45647" w:rsidP="00A67884">
      <w:pPr>
        <w:pStyle w:val="References"/>
        <w:rPr>
          <w:noProof/>
        </w:rPr>
      </w:pPr>
      <w:bookmarkStart w:id="51" w:name="_ENREF_11"/>
      <w:bookmarkEnd w:id="50"/>
      <w:r w:rsidRPr="00A60ACA">
        <w:rPr>
          <w:noProof/>
        </w:rPr>
        <w:t xml:space="preserve">Rosty C, et al. 2019. Serrated polyposis. </w:t>
      </w:r>
      <w:r w:rsidRPr="00A67884">
        <w:rPr>
          <w:i/>
          <w:noProof/>
        </w:rPr>
        <w:t>WHO Classification of Tumours Editorial Board Digestive System Tumours</w:t>
      </w:r>
      <w:r w:rsidRPr="00A67884">
        <w:rPr>
          <w:noProof/>
        </w:rPr>
        <w:t>. WHO Classification of Tumours series</w:t>
      </w:r>
      <w:r w:rsidR="00A67884">
        <w:rPr>
          <w:noProof/>
        </w:rPr>
        <w:t xml:space="preserve"> (</w:t>
      </w:r>
      <w:r w:rsidRPr="00A67884">
        <w:rPr>
          <w:noProof/>
        </w:rPr>
        <w:t>5th ed</w:t>
      </w:r>
      <w:r w:rsidR="00A67884">
        <w:rPr>
          <w:noProof/>
        </w:rPr>
        <w:t>ition)</w:t>
      </w:r>
      <w:r w:rsidRPr="00A67884">
        <w:rPr>
          <w:noProof/>
        </w:rPr>
        <w:t>. Lyon, France: IARC.</w:t>
      </w:r>
    </w:p>
    <w:p w14:paraId="4E2A9488" w14:textId="77777777" w:rsidR="00C45647" w:rsidRPr="00A60ACA" w:rsidRDefault="00C45647" w:rsidP="00A67884">
      <w:pPr>
        <w:pStyle w:val="References"/>
        <w:rPr>
          <w:noProof/>
        </w:rPr>
      </w:pPr>
      <w:bookmarkStart w:id="52" w:name="_ENREF_12"/>
      <w:bookmarkEnd w:id="51"/>
      <w:r w:rsidRPr="00A60ACA">
        <w:rPr>
          <w:noProof/>
        </w:rPr>
        <w:t xml:space="preserve">Rutter MD, et al. 2020. British Society of Gastroenterology/Association of Coloproctology of Great Britain and Ireland/Public Health England post-polypectomy and post-colorectal cancer resection surveillance guidelines. </w:t>
      </w:r>
      <w:r w:rsidRPr="00A67884">
        <w:rPr>
          <w:i/>
          <w:noProof/>
        </w:rPr>
        <w:t>Gut</w:t>
      </w:r>
      <w:r w:rsidRPr="00A60ACA">
        <w:rPr>
          <w:noProof/>
        </w:rPr>
        <w:t xml:space="preserve"> </w:t>
      </w:r>
      <w:r w:rsidRPr="00A67884">
        <w:rPr>
          <w:noProof/>
        </w:rPr>
        <w:t>69</w:t>
      </w:r>
      <w:r w:rsidRPr="00A60ACA">
        <w:rPr>
          <w:noProof/>
        </w:rPr>
        <w:t>(2): 201</w:t>
      </w:r>
      <w:r w:rsidR="00A67884">
        <w:rPr>
          <w:noProof/>
        </w:rPr>
        <w:t>–</w:t>
      </w:r>
      <w:r w:rsidRPr="00A60ACA">
        <w:rPr>
          <w:noProof/>
        </w:rPr>
        <w:t>23.</w:t>
      </w:r>
    </w:p>
    <w:p w14:paraId="5290F79A" w14:textId="77777777" w:rsidR="00FF2E6B" w:rsidRDefault="00C45647" w:rsidP="00FF2E6B">
      <w:pPr>
        <w:pStyle w:val="References"/>
        <w:spacing w:after="0"/>
      </w:pPr>
      <w:bookmarkStart w:id="53" w:name="_ENREF_13"/>
      <w:bookmarkEnd w:id="52"/>
      <w:r w:rsidRPr="00A60ACA">
        <w:rPr>
          <w:noProof/>
        </w:rPr>
        <w:t xml:space="preserve">Sidhu M, et al. 2018. The size, morphology, site, and access score predicts critical outcomes of endoscopic mucosal resection in the colon. </w:t>
      </w:r>
      <w:r w:rsidRPr="00A67884">
        <w:rPr>
          <w:i/>
          <w:noProof/>
        </w:rPr>
        <w:t>Endoscopy</w:t>
      </w:r>
      <w:r w:rsidRPr="00A60ACA">
        <w:rPr>
          <w:noProof/>
        </w:rPr>
        <w:t xml:space="preserve"> </w:t>
      </w:r>
      <w:r w:rsidRPr="00A67884">
        <w:rPr>
          <w:noProof/>
        </w:rPr>
        <w:t>50</w:t>
      </w:r>
      <w:r w:rsidRPr="00A60ACA">
        <w:rPr>
          <w:noProof/>
        </w:rPr>
        <w:t>(07): 684</w:t>
      </w:r>
      <w:r w:rsidR="00A67884">
        <w:rPr>
          <w:noProof/>
        </w:rPr>
        <w:t>–</w:t>
      </w:r>
      <w:r w:rsidRPr="00A60ACA">
        <w:rPr>
          <w:noProof/>
        </w:rPr>
        <w:t>92.</w:t>
      </w:r>
      <w:bookmarkEnd w:id="53"/>
      <w:r>
        <w:fldChar w:fldCharType="end"/>
      </w:r>
    </w:p>
    <w:sectPr w:rsidR="00FF2E6B" w:rsidSect="002B7BEC">
      <w:footerReference w:type="even" r:id="rId30"/>
      <w:footerReference w:type="default" r:id="rId31"/>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8135" w14:textId="77777777" w:rsidR="00CE6E24" w:rsidRDefault="00CE6E24">
      <w:r>
        <w:separator/>
      </w:r>
    </w:p>
    <w:p w14:paraId="0E0674D8" w14:textId="77777777" w:rsidR="00CE6E24" w:rsidRDefault="00CE6E24"/>
  </w:endnote>
  <w:endnote w:type="continuationSeparator" w:id="0">
    <w:p w14:paraId="00ED5282" w14:textId="77777777" w:rsidR="00CE6E24" w:rsidRDefault="00CE6E24">
      <w:r>
        <w:continuationSeparator/>
      </w:r>
    </w:p>
    <w:p w14:paraId="2B82F961" w14:textId="77777777" w:rsidR="00CE6E24" w:rsidRDefault="00CE6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Montserrat">
    <w:altName w:val="Calibri"/>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Fira Sans SemiBold">
    <w:altName w:val="Calibri"/>
    <w:charset w:val="00"/>
    <w:family w:val="swiss"/>
    <w:pitch w:val="variable"/>
    <w:sig w:usb0="600002FF"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2DF2" w14:textId="578AE8B3" w:rsidR="00105770" w:rsidRPr="005718A6" w:rsidRDefault="00105770" w:rsidP="005A79E5">
    <w:pPr>
      <w:pStyle w:val="Footer"/>
      <w:pBdr>
        <w:bottom w:val="single" w:sz="4" w:space="1" w:color="auto"/>
      </w:pBdr>
      <w:tabs>
        <w:tab w:val="right" w:pos="9639"/>
      </w:tabs>
    </w:pPr>
    <w:r w:rsidRPr="005718A6">
      <w:t>Released 20</w:t>
    </w:r>
    <w:r w:rsidR="00FB0A5B" w:rsidRPr="005718A6">
      <w:t>2</w:t>
    </w:r>
    <w:r w:rsidR="00711105">
      <w:t>4</w:t>
    </w:r>
    <w:r w:rsidRPr="005718A6">
      <w:tab/>
    </w:r>
    <w:hyperlink r:id="rId1" w:history="1">
      <w:r w:rsidR="00200906" w:rsidRPr="00414B6D">
        <w:rPr>
          <w:rStyle w:val="Hyperlink"/>
        </w:rPr>
        <w:t>health.govt.nz</w:t>
      </w:r>
    </w:hyperlink>
  </w:p>
  <w:p w14:paraId="39F469B7" w14:textId="77777777" w:rsidR="00105770" w:rsidRPr="005A79E5" w:rsidRDefault="0010577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4E6F" w14:textId="77777777" w:rsidR="00105770" w:rsidRDefault="00105770"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66EF" w14:textId="77777777" w:rsidR="00105770" w:rsidRDefault="00105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080"/>
      <w:gridCol w:w="992"/>
    </w:tblGrid>
    <w:tr w:rsidR="00852C5D" w14:paraId="1A055C11" w14:textId="77777777" w:rsidTr="00852C5D">
      <w:trPr>
        <w:cantSplit/>
      </w:trPr>
      <w:tc>
        <w:tcPr>
          <w:tcW w:w="675" w:type="dxa"/>
          <w:vAlign w:val="center"/>
        </w:tcPr>
        <w:p w14:paraId="4E6260DA" w14:textId="77777777" w:rsidR="00852C5D" w:rsidRPr="00931466" w:rsidRDefault="00852C5D" w:rsidP="00454B75">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A67884">
            <w:rPr>
              <w:rStyle w:val="PageNumber"/>
              <w:noProof/>
            </w:rPr>
            <w:t>iv</w:t>
          </w:r>
          <w:r w:rsidRPr="00931466">
            <w:rPr>
              <w:rStyle w:val="PageNumber"/>
            </w:rPr>
            <w:fldChar w:fldCharType="end"/>
          </w:r>
        </w:p>
      </w:tc>
      <w:tc>
        <w:tcPr>
          <w:tcW w:w="8080" w:type="dxa"/>
          <w:vAlign w:val="center"/>
        </w:tcPr>
        <w:p w14:paraId="2F2A60D7" w14:textId="77777777" w:rsidR="00852C5D" w:rsidRDefault="00852C5D" w:rsidP="00454B75">
          <w:pPr>
            <w:pStyle w:val="RectoFooter"/>
            <w:ind w:left="-108"/>
          </w:pPr>
          <w:r>
            <w:t>[title]: [subhead]</w:t>
          </w:r>
        </w:p>
      </w:tc>
      <w:tc>
        <w:tcPr>
          <w:tcW w:w="992" w:type="dxa"/>
          <w:vAlign w:val="center"/>
        </w:tcPr>
        <w:p w14:paraId="07D1E330" w14:textId="20CA33B6" w:rsidR="00852C5D" w:rsidRDefault="00852C5D" w:rsidP="00454B75">
          <w:pPr>
            <w:pStyle w:val="RectoFooter"/>
            <w:ind w:left="-108"/>
          </w:pPr>
        </w:p>
      </w:tc>
    </w:tr>
  </w:tbl>
  <w:p w14:paraId="5AA9B16B" w14:textId="77777777" w:rsidR="00105770" w:rsidRPr="00571223" w:rsidRDefault="00105770"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952F9" w14:paraId="3FC2A268" w14:textId="77777777" w:rsidTr="00B13C0B">
      <w:trPr>
        <w:cantSplit/>
      </w:trPr>
      <w:tc>
        <w:tcPr>
          <w:tcW w:w="709" w:type="dxa"/>
          <w:vAlign w:val="center"/>
        </w:tcPr>
        <w:p w14:paraId="488D7793" w14:textId="77777777" w:rsidR="003952F9" w:rsidRDefault="003952F9" w:rsidP="00120C4C">
          <w:pPr>
            <w:pStyle w:val="RectoFooter"/>
            <w:spacing w:before="120"/>
            <w:jc w:val="left"/>
          </w:pPr>
          <w:r>
            <w:rPr>
              <w:noProof/>
              <w:lang w:eastAsia="en-NZ"/>
            </w:rPr>
            <w:drawing>
              <wp:inline distT="0" distB="0" distL="0" distR="0" wp14:anchorId="05D50157" wp14:editId="448D8D21">
                <wp:extent cx="373711" cy="414082"/>
                <wp:effectExtent l="0" t="0" r="762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76312D79" w14:textId="3CB4431D" w:rsidR="003952F9" w:rsidRDefault="00086A05" w:rsidP="00086A05">
          <w:pPr>
            <w:pStyle w:val="RectoFooter"/>
            <w:spacing w:before="120"/>
            <w:jc w:val="left"/>
          </w:pPr>
          <w:r>
            <w:t>update on polyp guidelines 202</w:t>
          </w:r>
          <w:r w:rsidR="00711105">
            <w:t>4</w:t>
          </w:r>
        </w:p>
      </w:tc>
      <w:tc>
        <w:tcPr>
          <w:tcW w:w="709" w:type="dxa"/>
          <w:vAlign w:val="center"/>
        </w:tcPr>
        <w:p w14:paraId="57AA6A73" w14:textId="77777777" w:rsidR="003952F9" w:rsidRPr="00931466" w:rsidRDefault="003952F9"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F2E6B">
            <w:rPr>
              <w:rStyle w:val="PageNumber"/>
              <w:noProof/>
            </w:rPr>
            <w:t>iii</w:t>
          </w:r>
          <w:r w:rsidRPr="00931466">
            <w:rPr>
              <w:rStyle w:val="PageNumber"/>
            </w:rPr>
            <w:fldChar w:fldCharType="end"/>
          </w:r>
        </w:p>
      </w:tc>
    </w:tr>
  </w:tbl>
  <w:p w14:paraId="28DD4773" w14:textId="77777777" w:rsidR="00105770" w:rsidRPr="00581EB8" w:rsidRDefault="00105770"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222"/>
      <w:gridCol w:w="850"/>
    </w:tblGrid>
    <w:tr w:rsidR="00552B1F" w14:paraId="69C64CEA" w14:textId="77777777" w:rsidTr="00B13C0B">
      <w:trPr>
        <w:cantSplit/>
      </w:trPr>
      <w:tc>
        <w:tcPr>
          <w:tcW w:w="675" w:type="dxa"/>
          <w:vAlign w:val="center"/>
        </w:tcPr>
        <w:p w14:paraId="5594BEE2" w14:textId="77777777" w:rsidR="00552B1F" w:rsidRPr="00931466" w:rsidRDefault="00552B1F"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F2E6B">
            <w:rPr>
              <w:rStyle w:val="PageNumber"/>
              <w:noProof/>
            </w:rPr>
            <w:t>12</w:t>
          </w:r>
          <w:r w:rsidRPr="00931466">
            <w:rPr>
              <w:rStyle w:val="PageNumber"/>
            </w:rPr>
            <w:fldChar w:fldCharType="end"/>
          </w:r>
        </w:p>
      </w:tc>
      <w:tc>
        <w:tcPr>
          <w:tcW w:w="8222" w:type="dxa"/>
          <w:vAlign w:val="center"/>
        </w:tcPr>
        <w:p w14:paraId="466BCDD3" w14:textId="3B752626" w:rsidR="00552B1F" w:rsidRDefault="00086A05" w:rsidP="00086A05">
          <w:pPr>
            <w:pStyle w:val="RectoFooter"/>
            <w:spacing w:before="120"/>
            <w:ind w:left="-108"/>
          </w:pPr>
          <w:r>
            <w:t>update on polyp guidelines 202</w:t>
          </w:r>
          <w:r w:rsidR="00711105">
            <w:t>4</w:t>
          </w:r>
        </w:p>
      </w:tc>
      <w:tc>
        <w:tcPr>
          <w:tcW w:w="850" w:type="dxa"/>
          <w:vAlign w:val="center"/>
        </w:tcPr>
        <w:p w14:paraId="30C3FCCF" w14:textId="77777777" w:rsidR="00552B1F" w:rsidRDefault="00552B1F" w:rsidP="00120C4C">
          <w:pPr>
            <w:pStyle w:val="RectoFooter"/>
            <w:spacing w:before="120"/>
            <w:ind w:left="-108"/>
          </w:pPr>
          <w:r>
            <w:rPr>
              <w:noProof/>
              <w:lang w:eastAsia="en-NZ"/>
            </w:rPr>
            <w:drawing>
              <wp:inline distT="0" distB="0" distL="0" distR="0" wp14:anchorId="59F9AEBB" wp14:editId="056C1504">
                <wp:extent cx="373711" cy="414082"/>
                <wp:effectExtent l="0" t="0" r="7620" b="508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781A44A" w14:textId="77777777" w:rsidR="00105770" w:rsidRPr="00571223" w:rsidRDefault="00105770"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4374D1" w14:paraId="0819EE14" w14:textId="77777777" w:rsidTr="00B13C0B">
      <w:trPr>
        <w:cantSplit/>
      </w:trPr>
      <w:tc>
        <w:tcPr>
          <w:tcW w:w="709" w:type="dxa"/>
          <w:vAlign w:val="center"/>
        </w:tcPr>
        <w:p w14:paraId="6E15315B" w14:textId="77777777" w:rsidR="004374D1" w:rsidRDefault="003952F9" w:rsidP="00120C4C">
          <w:pPr>
            <w:pStyle w:val="RectoFooter"/>
            <w:spacing w:before="120"/>
            <w:jc w:val="left"/>
          </w:pPr>
          <w:r>
            <w:rPr>
              <w:noProof/>
              <w:lang w:eastAsia="en-NZ"/>
            </w:rPr>
            <w:drawing>
              <wp:inline distT="0" distB="0" distL="0" distR="0" wp14:anchorId="597CFD7E" wp14:editId="1E6EEEC1">
                <wp:extent cx="373711" cy="414082"/>
                <wp:effectExtent l="0" t="0" r="7620" b="508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3E136566" w14:textId="36D4E8E4" w:rsidR="004374D1" w:rsidRDefault="00086A05" w:rsidP="00086A05">
          <w:pPr>
            <w:pStyle w:val="RectoFooter"/>
            <w:spacing w:before="120"/>
            <w:jc w:val="left"/>
          </w:pPr>
          <w:r>
            <w:t>update on polyp guidelines 202</w:t>
          </w:r>
          <w:r w:rsidR="00711105">
            <w:t>4</w:t>
          </w:r>
        </w:p>
      </w:tc>
      <w:tc>
        <w:tcPr>
          <w:tcW w:w="709" w:type="dxa"/>
          <w:vAlign w:val="center"/>
        </w:tcPr>
        <w:p w14:paraId="0925BEEB" w14:textId="77777777" w:rsidR="004374D1" w:rsidRPr="00931466" w:rsidRDefault="004374D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F2E6B">
            <w:rPr>
              <w:rStyle w:val="PageNumber"/>
              <w:noProof/>
            </w:rPr>
            <w:t>11</w:t>
          </w:r>
          <w:r w:rsidRPr="00931466">
            <w:rPr>
              <w:rStyle w:val="PageNumber"/>
            </w:rPr>
            <w:fldChar w:fldCharType="end"/>
          </w:r>
        </w:p>
      </w:tc>
    </w:tr>
  </w:tbl>
  <w:p w14:paraId="65CF2B49" w14:textId="77777777" w:rsidR="00105770" w:rsidRPr="00581EB8" w:rsidRDefault="0010577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1F46" w14:textId="77777777" w:rsidR="00CE6E24" w:rsidRPr="00A26E6B" w:rsidRDefault="00CE6E24" w:rsidP="00A26E6B"/>
  </w:footnote>
  <w:footnote w:type="continuationSeparator" w:id="0">
    <w:p w14:paraId="7957C188" w14:textId="77777777" w:rsidR="00CE6E24" w:rsidRDefault="00CE6E24">
      <w:r>
        <w:continuationSeparator/>
      </w:r>
    </w:p>
    <w:p w14:paraId="36A886DA" w14:textId="77777777" w:rsidR="00CE6E24" w:rsidRDefault="00CE6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2977"/>
      <w:gridCol w:w="3047"/>
      <w:gridCol w:w="3615"/>
    </w:tblGrid>
    <w:tr w:rsidR="00086A05" w14:paraId="3438CD59" w14:textId="77777777" w:rsidTr="00086A05">
      <w:trPr>
        <w:cantSplit/>
      </w:trPr>
      <w:tc>
        <w:tcPr>
          <w:tcW w:w="2977" w:type="dxa"/>
        </w:tcPr>
        <w:p w14:paraId="63C0BB15" w14:textId="77777777" w:rsidR="00086A05" w:rsidRDefault="00086A05" w:rsidP="008814E8">
          <w:pPr>
            <w:pStyle w:val="Header"/>
          </w:pPr>
          <w:r>
            <w:rPr>
              <w:noProof/>
              <w:lang w:eastAsia="en-NZ"/>
            </w:rPr>
            <w:drawing>
              <wp:inline distT="0" distB="0" distL="0" distR="0" wp14:anchorId="17CA1E35" wp14:editId="7C015B72">
                <wp:extent cx="1396538" cy="650613"/>
                <wp:effectExtent l="0" t="0" r="0" b="0"/>
                <wp:docPr id="1" name="Picture 1"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3047" w:type="dxa"/>
          <w:vAlign w:val="center"/>
        </w:tcPr>
        <w:p w14:paraId="73D5FAAE" w14:textId="77777777" w:rsidR="00086A05" w:rsidRDefault="00086A05" w:rsidP="00086A05">
          <w:pPr>
            <w:pStyle w:val="Header"/>
            <w:jc w:val="center"/>
          </w:pPr>
          <w:r>
            <w:rPr>
              <w:noProof/>
              <w:lang w:eastAsia="en-NZ"/>
            </w:rPr>
            <w:drawing>
              <wp:inline distT="0" distB="0" distL="0" distR="0" wp14:anchorId="4CCED777" wp14:editId="10BDE37F">
                <wp:extent cx="1395076" cy="573578"/>
                <wp:effectExtent l="0" t="0" r="0" b="0"/>
                <wp:docPr id="5" name="Picture 5"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_logo1_RGB.jpg"/>
                        <pic:cNvPicPr/>
                      </pic:nvPicPr>
                      <pic:blipFill rotWithShape="1">
                        <a:blip r:embed="rId2" cstate="print">
                          <a:extLst>
                            <a:ext uri="{28A0092B-C50C-407E-A947-70E740481C1C}">
                              <a14:useLocalDpi xmlns:a14="http://schemas.microsoft.com/office/drawing/2010/main" val="0"/>
                            </a:ext>
                          </a:extLst>
                        </a:blip>
                        <a:srcRect l="7327" t="15285" r="7327" b="13946"/>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c>
        <w:tcPr>
          <w:tcW w:w="3615" w:type="dxa"/>
          <w:vAlign w:val="center"/>
        </w:tcPr>
        <w:p w14:paraId="72FECE2F" w14:textId="77777777" w:rsidR="00086A05" w:rsidRDefault="00086A05" w:rsidP="008814E8">
          <w:pPr>
            <w:pStyle w:val="Header"/>
            <w:jc w:val="right"/>
          </w:pPr>
          <w:r>
            <w:rPr>
              <w:noProof/>
              <w:lang w:eastAsia="en-NZ"/>
            </w:rPr>
            <w:drawing>
              <wp:inline distT="0" distB="0" distL="0" distR="0" wp14:anchorId="6D2EBEC8" wp14:editId="011FFEBB">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3">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022A94F2" w14:textId="77777777" w:rsidR="00105770" w:rsidRPr="005718A6" w:rsidRDefault="0010577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266B" w14:textId="77777777" w:rsidR="00105770" w:rsidRDefault="00105770"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5DE4" w14:textId="77777777" w:rsidR="00105770" w:rsidRDefault="00105770"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37BEA"/>
    <w:multiLevelType w:val="hybridMultilevel"/>
    <w:tmpl w:val="8A06829C"/>
    <w:lvl w:ilvl="0" w:tplc="88907A56">
      <w:start w:val="1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FB64A8"/>
    <w:multiLevelType w:val="hybridMultilevel"/>
    <w:tmpl w:val="B34CE2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4"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E76A3"/>
    <w:multiLevelType w:val="hybridMultilevel"/>
    <w:tmpl w:val="2690E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16cid:durableId="746269858">
    <w:abstractNumId w:val="7"/>
  </w:num>
  <w:num w:numId="2" w16cid:durableId="1503280390">
    <w:abstractNumId w:val="4"/>
  </w:num>
  <w:num w:numId="3" w16cid:durableId="824014245">
    <w:abstractNumId w:val="5"/>
  </w:num>
  <w:num w:numId="4" w16cid:durableId="128981851">
    <w:abstractNumId w:val="3"/>
  </w:num>
  <w:num w:numId="5" w16cid:durableId="1186015903">
    <w:abstractNumId w:val="0"/>
  </w:num>
  <w:num w:numId="6" w16cid:durableId="1517696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9993297">
    <w:abstractNumId w:val="6"/>
  </w:num>
  <w:num w:numId="8" w16cid:durableId="378166644">
    <w:abstractNumId w:val="2"/>
  </w:num>
  <w:num w:numId="9" w16cid:durableId="16854798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3CA4"/>
    <w:rsid w:val="000144DE"/>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437D"/>
    <w:rsid w:val="00085AFE"/>
    <w:rsid w:val="00086A05"/>
    <w:rsid w:val="00094800"/>
    <w:rsid w:val="000A0158"/>
    <w:rsid w:val="000A373D"/>
    <w:rsid w:val="000A41ED"/>
    <w:rsid w:val="000B0730"/>
    <w:rsid w:val="000D19F4"/>
    <w:rsid w:val="000D58DD"/>
    <w:rsid w:val="000E0BD4"/>
    <w:rsid w:val="000F1F42"/>
    <w:rsid w:val="000F2AE2"/>
    <w:rsid w:val="000F2BFF"/>
    <w:rsid w:val="00102063"/>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60E0"/>
    <w:rsid w:val="001472F0"/>
    <w:rsid w:val="00147F71"/>
    <w:rsid w:val="00150A6E"/>
    <w:rsid w:val="00160810"/>
    <w:rsid w:val="0016304B"/>
    <w:rsid w:val="0016318F"/>
    <w:rsid w:val="0016468A"/>
    <w:rsid w:val="0017070E"/>
    <w:rsid w:val="00174F02"/>
    <w:rsid w:val="0018376C"/>
    <w:rsid w:val="0018662D"/>
    <w:rsid w:val="00197427"/>
    <w:rsid w:val="001A21B4"/>
    <w:rsid w:val="001A5CF5"/>
    <w:rsid w:val="001B39D2"/>
    <w:rsid w:val="001B4BF8"/>
    <w:rsid w:val="001B7B14"/>
    <w:rsid w:val="001C4326"/>
    <w:rsid w:val="001C665E"/>
    <w:rsid w:val="001D3541"/>
    <w:rsid w:val="001D3E4E"/>
    <w:rsid w:val="001E254A"/>
    <w:rsid w:val="001E7386"/>
    <w:rsid w:val="001F45A7"/>
    <w:rsid w:val="001F5E27"/>
    <w:rsid w:val="0020027C"/>
    <w:rsid w:val="00200906"/>
    <w:rsid w:val="00201A01"/>
    <w:rsid w:val="0020754B"/>
    <w:rsid w:val="002104D3"/>
    <w:rsid w:val="002139B2"/>
    <w:rsid w:val="00213A33"/>
    <w:rsid w:val="0021763B"/>
    <w:rsid w:val="00232E9F"/>
    <w:rsid w:val="00245748"/>
    <w:rsid w:val="00246DB1"/>
    <w:rsid w:val="002476B5"/>
    <w:rsid w:val="002520CC"/>
    <w:rsid w:val="00253ECF"/>
    <w:rsid w:val="00254044"/>
    <w:rsid w:val="002546A1"/>
    <w:rsid w:val="002575E8"/>
    <w:rsid w:val="00257EF1"/>
    <w:rsid w:val="002628F4"/>
    <w:rsid w:val="00275D08"/>
    <w:rsid w:val="002839AF"/>
    <w:rsid w:val="00285080"/>
    <w:rsid w:val="002858E3"/>
    <w:rsid w:val="0029190A"/>
    <w:rsid w:val="00292C5A"/>
    <w:rsid w:val="00295241"/>
    <w:rsid w:val="002967E7"/>
    <w:rsid w:val="002A4DFC"/>
    <w:rsid w:val="002B047D"/>
    <w:rsid w:val="002B732B"/>
    <w:rsid w:val="002B76A7"/>
    <w:rsid w:val="002B7BEC"/>
    <w:rsid w:val="002C2219"/>
    <w:rsid w:val="002C2552"/>
    <w:rsid w:val="002C380A"/>
    <w:rsid w:val="002D0DF2"/>
    <w:rsid w:val="002D23BD"/>
    <w:rsid w:val="002E0B47"/>
    <w:rsid w:val="002F3A0D"/>
    <w:rsid w:val="002F4685"/>
    <w:rsid w:val="002F7213"/>
    <w:rsid w:val="0030382F"/>
    <w:rsid w:val="0030408D"/>
    <w:rsid w:val="003060E4"/>
    <w:rsid w:val="003160E7"/>
    <w:rsid w:val="0031739E"/>
    <w:rsid w:val="00317DA3"/>
    <w:rsid w:val="00321381"/>
    <w:rsid w:val="003235C6"/>
    <w:rsid w:val="0032708A"/>
    <w:rsid w:val="003309CA"/>
    <w:rsid w:val="003325AB"/>
    <w:rsid w:val="003332D1"/>
    <w:rsid w:val="0033412B"/>
    <w:rsid w:val="0033448B"/>
    <w:rsid w:val="00341161"/>
    <w:rsid w:val="00343365"/>
    <w:rsid w:val="003445F4"/>
    <w:rsid w:val="00347962"/>
    <w:rsid w:val="00353501"/>
    <w:rsid w:val="00353734"/>
    <w:rsid w:val="003538D4"/>
    <w:rsid w:val="003606F8"/>
    <w:rsid w:val="003648EF"/>
    <w:rsid w:val="003673E6"/>
    <w:rsid w:val="00377264"/>
    <w:rsid w:val="003779D2"/>
    <w:rsid w:val="00385E38"/>
    <w:rsid w:val="003952F9"/>
    <w:rsid w:val="003A26A5"/>
    <w:rsid w:val="003A3761"/>
    <w:rsid w:val="003A512D"/>
    <w:rsid w:val="003A5FEA"/>
    <w:rsid w:val="003A710B"/>
    <w:rsid w:val="003B1D10"/>
    <w:rsid w:val="003C310C"/>
    <w:rsid w:val="003C76D4"/>
    <w:rsid w:val="003D137D"/>
    <w:rsid w:val="003D2CC5"/>
    <w:rsid w:val="003D3E5C"/>
    <w:rsid w:val="003D59BB"/>
    <w:rsid w:val="003E04C1"/>
    <w:rsid w:val="003E0887"/>
    <w:rsid w:val="003E74C8"/>
    <w:rsid w:val="003E74E2"/>
    <w:rsid w:val="003E7C46"/>
    <w:rsid w:val="003F2106"/>
    <w:rsid w:val="003F52A7"/>
    <w:rsid w:val="003F7013"/>
    <w:rsid w:val="003F7F6A"/>
    <w:rsid w:val="0040240C"/>
    <w:rsid w:val="00403E7D"/>
    <w:rsid w:val="00413021"/>
    <w:rsid w:val="00414C35"/>
    <w:rsid w:val="004171B7"/>
    <w:rsid w:val="004301C6"/>
    <w:rsid w:val="00432FAA"/>
    <w:rsid w:val="0043478F"/>
    <w:rsid w:val="0043602B"/>
    <w:rsid w:val="004367D2"/>
    <w:rsid w:val="004374D1"/>
    <w:rsid w:val="00440BE0"/>
    <w:rsid w:val="00442A06"/>
    <w:rsid w:val="00442C1C"/>
    <w:rsid w:val="0044584B"/>
    <w:rsid w:val="00447CB7"/>
    <w:rsid w:val="00455CC9"/>
    <w:rsid w:val="00460826"/>
    <w:rsid w:val="00460B1E"/>
    <w:rsid w:val="00460EA7"/>
    <w:rsid w:val="0046195B"/>
    <w:rsid w:val="0046362D"/>
    <w:rsid w:val="0046596D"/>
    <w:rsid w:val="004852AB"/>
    <w:rsid w:val="00487C04"/>
    <w:rsid w:val="004907E1"/>
    <w:rsid w:val="00494C8E"/>
    <w:rsid w:val="004A035B"/>
    <w:rsid w:val="004A2108"/>
    <w:rsid w:val="004A38D7"/>
    <w:rsid w:val="004A778C"/>
    <w:rsid w:val="004B14DD"/>
    <w:rsid w:val="004B48C7"/>
    <w:rsid w:val="004C2E6A"/>
    <w:rsid w:val="004C64B8"/>
    <w:rsid w:val="004D2A2D"/>
    <w:rsid w:val="004D479F"/>
    <w:rsid w:val="004D6689"/>
    <w:rsid w:val="004E1D1D"/>
    <w:rsid w:val="004E7AC8"/>
    <w:rsid w:val="004F05F4"/>
    <w:rsid w:val="004F0C94"/>
    <w:rsid w:val="005019AE"/>
    <w:rsid w:val="00503749"/>
    <w:rsid w:val="00503D59"/>
    <w:rsid w:val="00504CF4"/>
    <w:rsid w:val="0050635B"/>
    <w:rsid w:val="005075B3"/>
    <w:rsid w:val="005151C2"/>
    <w:rsid w:val="005205B8"/>
    <w:rsid w:val="00524BB1"/>
    <w:rsid w:val="005275E8"/>
    <w:rsid w:val="005309FE"/>
    <w:rsid w:val="0053199F"/>
    <w:rsid w:val="00531E12"/>
    <w:rsid w:val="00533B90"/>
    <w:rsid w:val="0054026F"/>
    <w:rsid w:val="005410F8"/>
    <w:rsid w:val="005448EC"/>
    <w:rsid w:val="00545963"/>
    <w:rsid w:val="00550256"/>
    <w:rsid w:val="00552B1F"/>
    <w:rsid w:val="00553165"/>
    <w:rsid w:val="00553958"/>
    <w:rsid w:val="00556BB7"/>
    <w:rsid w:val="0055763D"/>
    <w:rsid w:val="00561516"/>
    <w:rsid w:val="00562018"/>
    <w:rsid w:val="005621F2"/>
    <w:rsid w:val="00567B58"/>
    <w:rsid w:val="00571223"/>
    <w:rsid w:val="005718A6"/>
    <w:rsid w:val="005763E0"/>
    <w:rsid w:val="00581136"/>
    <w:rsid w:val="00581EB8"/>
    <w:rsid w:val="005839E7"/>
    <w:rsid w:val="0058437F"/>
    <w:rsid w:val="005A27CA"/>
    <w:rsid w:val="005A43BD"/>
    <w:rsid w:val="005A79E5"/>
    <w:rsid w:val="005D034C"/>
    <w:rsid w:val="005D41CC"/>
    <w:rsid w:val="005E226E"/>
    <w:rsid w:val="005E2636"/>
    <w:rsid w:val="005F076D"/>
    <w:rsid w:val="005F1711"/>
    <w:rsid w:val="00600DC6"/>
    <w:rsid w:val="006015D7"/>
    <w:rsid w:val="00601B21"/>
    <w:rsid w:val="006041F0"/>
    <w:rsid w:val="00605C6D"/>
    <w:rsid w:val="006120CA"/>
    <w:rsid w:val="0061443A"/>
    <w:rsid w:val="00624174"/>
    <w:rsid w:val="00626CF8"/>
    <w:rsid w:val="00630E6F"/>
    <w:rsid w:val="006314AF"/>
    <w:rsid w:val="00634003"/>
    <w:rsid w:val="00634ED8"/>
    <w:rsid w:val="00636D7D"/>
    <w:rsid w:val="00637408"/>
    <w:rsid w:val="00642868"/>
    <w:rsid w:val="00647AFE"/>
    <w:rsid w:val="00650417"/>
    <w:rsid w:val="006512BC"/>
    <w:rsid w:val="00653A5A"/>
    <w:rsid w:val="006554AC"/>
    <w:rsid w:val="00656F28"/>
    <w:rsid w:val="006575F4"/>
    <w:rsid w:val="006579E6"/>
    <w:rsid w:val="00660682"/>
    <w:rsid w:val="00660F74"/>
    <w:rsid w:val="00663EDC"/>
    <w:rsid w:val="00671078"/>
    <w:rsid w:val="006758CA"/>
    <w:rsid w:val="00680A04"/>
    <w:rsid w:val="00686D80"/>
    <w:rsid w:val="00694895"/>
    <w:rsid w:val="00697E2E"/>
    <w:rsid w:val="006A25A2"/>
    <w:rsid w:val="006A3B87"/>
    <w:rsid w:val="006B0A88"/>
    <w:rsid w:val="006B0E73"/>
    <w:rsid w:val="006B1E3D"/>
    <w:rsid w:val="006B4A4D"/>
    <w:rsid w:val="006B5695"/>
    <w:rsid w:val="006B62E6"/>
    <w:rsid w:val="006B7B2E"/>
    <w:rsid w:val="006C78EB"/>
    <w:rsid w:val="006D1660"/>
    <w:rsid w:val="006D5747"/>
    <w:rsid w:val="006D63E5"/>
    <w:rsid w:val="006E1753"/>
    <w:rsid w:val="006E2886"/>
    <w:rsid w:val="006E3911"/>
    <w:rsid w:val="006E69F4"/>
    <w:rsid w:val="006F1B67"/>
    <w:rsid w:val="006F4D9C"/>
    <w:rsid w:val="0070091D"/>
    <w:rsid w:val="00702854"/>
    <w:rsid w:val="00711105"/>
    <w:rsid w:val="007145F7"/>
    <w:rsid w:val="0071741C"/>
    <w:rsid w:val="00742B90"/>
    <w:rsid w:val="0074434D"/>
    <w:rsid w:val="00752E53"/>
    <w:rsid w:val="007570C4"/>
    <w:rsid w:val="007605B8"/>
    <w:rsid w:val="00771B1E"/>
    <w:rsid w:val="00773C95"/>
    <w:rsid w:val="0078171E"/>
    <w:rsid w:val="0078658E"/>
    <w:rsid w:val="00791F2E"/>
    <w:rsid w:val="007920E2"/>
    <w:rsid w:val="0079566E"/>
    <w:rsid w:val="00795B34"/>
    <w:rsid w:val="007979D9"/>
    <w:rsid w:val="007A067F"/>
    <w:rsid w:val="007A119E"/>
    <w:rsid w:val="007B1770"/>
    <w:rsid w:val="007B4D3E"/>
    <w:rsid w:val="007B7C70"/>
    <w:rsid w:val="007B7DEB"/>
    <w:rsid w:val="007C0449"/>
    <w:rsid w:val="007C43B6"/>
    <w:rsid w:val="007D2151"/>
    <w:rsid w:val="007D3B90"/>
    <w:rsid w:val="007D42CC"/>
    <w:rsid w:val="007D5DE4"/>
    <w:rsid w:val="007D7C3A"/>
    <w:rsid w:val="007E0777"/>
    <w:rsid w:val="007E1341"/>
    <w:rsid w:val="007E1B41"/>
    <w:rsid w:val="007E1EC4"/>
    <w:rsid w:val="007E30B9"/>
    <w:rsid w:val="007E74F1"/>
    <w:rsid w:val="007F0F0C"/>
    <w:rsid w:val="007F1288"/>
    <w:rsid w:val="007F3E11"/>
    <w:rsid w:val="00800A8A"/>
    <w:rsid w:val="0080155C"/>
    <w:rsid w:val="008052E1"/>
    <w:rsid w:val="00811EEB"/>
    <w:rsid w:val="0082081A"/>
    <w:rsid w:val="00822F2C"/>
    <w:rsid w:val="00823DEE"/>
    <w:rsid w:val="008300CA"/>
    <w:rsid w:val="008305E8"/>
    <w:rsid w:val="00836165"/>
    <w:rsid w:val="008365B2"/>
    <w:rsid w:val="0084640C"/>
    <w:rsid w:val="00852C5D"/>
    <w:rsid w:val="00856088"/>
    <w:rsid w:val="00860826"/>
    <w:rsid w:val="00860E21"/>
    <w:rsid w:val="00863117"/>
    <w:rsid w:val="0086388B"/>
    <w:rsid w:val="008642E5"/>
    <w:rsid w:val="00864488"/>
    <w:rsid w:val="00870A36"/>
    <w:rsid w:val="00872D93"/>
    <w:rsid w:val="00880470"/>
    <w:rsid w:val="00880D94"/>
    <w:rsid w:val="008814E8"/>
    <w:rsid w:val="00886F64"/>
    <w:rsid w:val="008924DE"/>
    <w:rsid w:val="008A3755"/>
    <w:rsid w:val="008B19DC"/>
    <w:rsid w:val="008B264F"/>
    <w:rsid w:val="008B6F83"/>
    <w:rsid w:val="008B7FD8"/>
    <w:rsid w:val="008C11AC"/>
    <w:rsid w:val="008C2973"/>
    <w:rsid w:val="008C6324"/>
    <w:rsid w:val="008C64C4"/>
    <w:rsid w:val="008D1D30"/>
    <w:rsid w:val="008D2CDD"/>
    <w:rsid w:val="008D3085"/>
    <w:rsid w:val="008D74D5"/>
    <w:rsid w:val="008D7C9F"/>
    <w:rsid w:val="008E04BA"/>
    <w:rsid w:val="008E0ED1"/>
    <w:rsid w:val="008E2083"/>
    <w:rsid w:val="008E293D"/>
    <w:rsid w:val="008E3A07"/>
    <w:rsid w:val="008E537B"/>
    <w:rsid w:val="008F29BE"/>
    <w:rsid w:val="008F4AE5"/>
    <w:rsid w:val="008F51EB"/>
    <w:rsid w:val="00900197"/>
    <w:rsid w:val="00902F55"/>
    <w:rsid w:val="00905251"/>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565C"/>
    <w:rsid w:val="00964AB6"/>
    <w:rsid w:val="00966F9A"/>
    <w:rsid w:val="00977B8A"/>
    <w:rsid w:val="00982971"/>
    <w:rsid w:val="009845AD"/>
    <w:rsid w:val="00984835"/>
    <w:rsid w:val="00991434"/>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B47"/>
    <w:rsid w:val="009E3C8C"/>
    <w:rsid w:val="009E6B77"/>
    <w:rsid w:val="009F4372"/>
    <w:rsid w:val="009F460A"/>
    <w:rsid w:val="00A043FB"/>
    <w:rsid w:val="00A06BE4"/>
    <w:rsid w:val="00A0729C"/>
    <w:rsid w:val="00A073CF"/>
    <w:rsid w:val="00A07779"/>
    <w:rsid w:val="00A1166A"/>
    <w:rsid w:val="00A20B2E"/>
    <w:rsid w:val="00A24CD3"/>
    <w:rsid w:val="00A24F33"/>
    <w:rsid w:val="00A25069"/>
    <w:rsid w:val="00A263FF"/>
    <w:rsid w:val="00A26E6B"/>
    <w:rsid w:val="00A3068F"/>
    <w:rsid w:val="00A3145B"/>
    <w:rsid w:val="00A339D0"/>
    <w:rsid w:val="00A3415C"/>
    <w:rsid w:val="00A41002"/>
    <w:rsid w:val="00A4201A"/>
    <w:rsid w:val="00A5465D"/>
    <w:rsid w:val="00A553CE"/>
    <w:rsid w:val="00A5677A"/>
    <w:rsid w:val="00A56DCC"/>
    <w:rsid w:val="00A625E8"/>
    <w:rsid w:val="00A63DFF"/>
    <w:rsid w:val="00A64496"/>
    <w:rsid w:val="00A6490D"/>
    <w:rsid w:val="00A67033"/>
    <w:rsid w:val="00A67884"/>
    <w:rsid w:val="00A7415D"/>
    <w:rsid w:val="00A80363"/>
    <w:rsid w:val="00A80939"/>
    <w:rsid w:val="00A83E9D"/>
    <w:rsid w:val="00A87C05"/>
    <w:rsid w:val="00A9169D"/>
    <w:rsid w:val="00A93598"/>
    <w:rsid w:val="00A97A3A"/>
    <w:rsid w:val="00AA240C"/>
    <w:rsid w:val="00AB0332"/>
    <w:rsid w:val="00AC101C"/>
    <w:rsid w:val="00AD4CF1"/>
    <w:rsid w:val="00AD5988"/>
    <w:rsid w:val="00AD6293"/>
    <w:rsid w:val="00AE1643"/>
    <w:rsid w:val="00AE16AF"/>
    <w:rsid w:val="00AF372E"/>
    <w:rsid w:val="00AF7800"/>
    <w:rsid w:val="00B00CF5"/>
    <w:rsid w:val="00B072E0"/>
    <w:rsid w:val="00B1007E"/>
    <w:rsid w:val="00B13C0B"/>
    <w:rsid w:val="00B13D41"/>
    <w:rsid w:val="00B253F6"/>
    <w:rsid w:val="00B26675"/>
    <w:rsid w:val="00B305DB"/>
    <w:rsid w:val="00B332F8"/>
    <w:rsid w:val="00B3492B"/>
    <w:rsid w:val="00B44C72"/>
    <w:rsid w:val="00B4646F"/>
    <w:rsid w:val="00B47C82"/>
    <w:rsid w:val="00B55C7D"/>
    <w:rsid w:val="00B606DD"/>
    <w:rsid w:val="00B63038"/>
    <w:rsid w:val="00B64BD8"/>
    <w:rsid w:val="00B701D1"/>
    <w:rsid w:val="00B73AF2"/>
    <w:rsid w:val="00B73D79"/>
    <w:rsid w:val="00B7551A"/>
    <w:rsid w:val="00B773F1"/>
    <w:rsid w:val="00B86AB1"/>
    <w:rsid w:val="00B87726"/>
    <w:rsid w:val="00B91B22"/>
    <w:rsid w:val="00BA7EBA"/>
    <w:rsid w:val="00BB2611"/>
    <w:rsid w:val="00BB2A06"/>
    <w:rsid w:val="00BB2CBB"/>
    <w:rsid w:val="00BB4198"/>
    <w:rsid w:val="00BC03EE"/>
    <w:rsid w:val="00BC59F1"/>
    <w:rsid w:val="00BD488E"/>
    <w:rsid w:val="00BF3DE1"/>
    <w:rsid w:val="00BF4843"/>
    <w:rsid w:val="00BF5205"/>
    <w:rsid w:val="00C05132"/>
    <w:rsid w:val="00C12508"/>
    <w:rsid w:val="00C1741B"/>
    <w:rsid w:val="00C23728"/>
    <w:rsid w:val="00C3026C"/>
    <w:rsid w:val="00C313A9"/>
    <w:rsid w:val="00C33A5E"/>
    <w:rsid w:val="00C33F56"/>
    <w:rsid w:val="00C347C8"/>
    <w:rsid w:val="00C358E4"/>
    <w:rsid w:val="00C418EE"/>
    <w:rsid w:val="00C441CF"/>
    <w:rsid w:val="00C45647"/>
    <w:rsid w:val="00C45AA2"/>
    <w:rsid w:val="00C4792C"/>
    <w:rsid w:val="00C55BEF"/>
    <w:rsid w:val="00C57C00"/>
    <w:rsid w:val="00C601AF"/>
    <w:rsid w:val="00C61A63"/>
    <w:rsid w:val="00C66296"/>
    <w:rsid w:val="00C7093C"/>
    <w:rsid w:val="00C7394D"/>
    <w:rsid w:val="00C756B7"/>
    <w:rsid w:val="00C77282"/>
    <w:rsid w:val="00C84DE5"/>
    <w:rsid w:val="00C86248"/>
    <w:rsid w:val="00C90B31"/>
    <w:rsid w:val="00CA0D6F"/>
    <w:rsid w:val="00CA4C33"/>
    <w:rsid w:val="00CA6F4A"/>
    <w:rsid w:val="00CB3483"/>
    <w:rsid w:val="00CB5292"/>
    <w:rsid w:val="00CB6427"/>
    <w:rsid w:val="00CC0FBE"/>
    <w:rsid w:val="00CD075E"/>
    <w:rsid w:val="00CD077C"/>
    <w:rsid w:val="00CD2119"/>
    <w:rsid w:val="00CD237A"/>
    <w:rsid w:val="00CD36AC"/>
    <w:rsid w:val="00CD7344"/>
    <w:rsid w:val="00CE13A3"/>
    <w:rsid w:val="00CE36BC"/>
    <w:rsid w:val="00CE6E24"/>
    <w:rsid w:val="00CF1747"/>
    <w:rsid w:val="00CF60ED"/>
    <w:rsid w:val="00D05D74"/>
    <w:rsid w:val="00D20C59"/>
    <w:rsid w:val="00D23323"/>
    <w:rsid w:val="00D2392A"/>
    <w:rsid w:val="00D25FFE"/>
    <w:rsid w:val="00D27922"/>
    <w:rsid w:val="00D27A64"/>
    <w:rsid w:val="00D37D80"/>
    <w:rsid w:val="00D4048E"/>
    <w:rsid w:val="00D442F3"/>
    <w:rsid w:val="00D44483"/>
    <w:rsid w:val="00D4476F"/>
    <w:rsid w:val="00D50573"/>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39CF"/>
    <w:rsid w:val="00DB7256"/>
    <w:rsid w:val="00DC0401"/>
    <w:rsid w:val="00DC20BD"/>
    <w:rsid w:val="00DD0BCD"/>
    <w:rsid w:val="00DD447A"/>
    <w:rsid w:val="00DE2860"/>
    <w:rsid w:val="00DE3B20"/>
    <w:rsid w:val="00DE6C94"/>
    <w:rsid w:val="00DE6FD7"/>
    <w:rsid w:val="00DF0C7C"/>
    <w:rsid w:val="00E10B18"/>
    <w:rsid w:val="00E23271"/>
    <w:rsid w:val="00E24F80"/>
    <w:rsid w:val="00E259F3"/>
    <w:rsid w:val="00E30985"/>
    <w:rsid w:val="00E33238"/>
    <w:rsid w:val="00E33934"/>
    <w:rsid w:val="00E376B7"/>
    <w:rsid w:val="00E42F5D"/>
    <w:rsid w:val="00E4486C"/>
    <w:rsid w:val="00E460B6"/>
    <w:rsid w:val="00E511D5"/>
    <w:rsid w:val="00E52321"/>
    <w:rsid w:val="00E53A9F"/>
    <w:rsid w:val="00E57349"/>
    <w:rsid w:val="00E60249"/>
    <w:rsid w:val="00E62238"/>
    <w:rsid w:val="00E65269"/>
    <w:rsid w:val="00E76D66"/>
    <w:rsid w:val="00EA796A"/>
    <w:rsid w:val="00EB1856"/>
    <w:rsid w:val="00EC50CE"/>
    <w:rsid w:val="00EC5B34"/>
    <w:rsid w:val="00ED021E"/>
    <w:rsid w:val="00ED323C"/>
    <w:rsid w:val="00EE2D5C"/>
    <w:rsid w:val="00EE4ADE"/>
    <w:rsid w:val="00EE4DE8"/>
    <w:rsid w:val="00EE5CB7"/>
    <w:rsid w:val="00F000BF"/>
    <w:rsid w:val="00F024FE"/>
    <w:rsid w:val="00F0254D"/>
    <w:rsid w:val="00F05AD4"/>
    <w:rsid w:val="00F103BE"/>
    <w:rsid w:val="00F10EB6"/>
    <w:rsid w:val="00F13F07"/>
    <w:rsid w:val="00F140B2"/>
    <w:rsid w:val="00F16595"/>
    <w:rsid w:val="00F25970"/>
    <w:rsid w:val="00F311A9"/>
    <w:rsid w:val="00F31343"/>
    <w:rsid w:val="00F37381"/>
    <w:rsid w:val="00F5180D"/>
    <w:rsid w:val="00F54E74"/>
    <w:rsid w:val="00F63781"/>
    <w:rsid w:val="00F67496"/>
    <w:rsid w:val="00F7421E"/>
    <w:rsid w:val="00F801BA"/>
    <w:rsid w:val="00F807AD"/>
    <w:rsid w:val="00F9366A"/>
    <w:rsid w:val="00F946C9"/>
    <w:rsid w:val="00FA0EA5"/>
    <w:rsid w:val="00FA4448"/>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6E13"/>
    <w:rsid w:val="00FE7D38"/>
    <w:rsid w:val="00FF15F6"/>
    <w:rsid w:val="00FF2E6B"/>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11DCF"/>
  <w15:docId w15:val="{A9803F56-E29B-4EA2-9EE6-4E1A99F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qFormat/>
    <w:rsid w:val="00CD7344"/>
    <w:pPr>
      <w:pageBreakBefore/>
      <w:spacing w:after="360"/>
      <w:outlineLvl w:val="0"/>
    </w:pPr>
    <w:rPr>
      <w:b/>
      <w:caps/>
      <w:color w:val="2C463B"/>
      <w:spacing w:val="-10"/>
      <w:sz w:val="64"/>
    </w:rPr>
  </w:style>
  <w:style w:type="paragraph" w:styleId="Heading2">
    <w:name w:val="heading 2"/>
    <w:basedOn w:val="Normal"/>
    <w:next w:val="Normal"/>
    <w:link w:val="Heading2Char"/>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344"/>
    <w:rPr>
      <w:rFonts w:ascii="Fira Sans" w:hAnsi="Fira Sans"/>
      <w:b/>
      <w:caps/>
      <w:color w:val="2C463B"/>
      <w:spacing w:val="-10"/>
      <w:sz w:val="64"/>
      <w:lang w:eastAsia="en-GB"/>
    </w:rPr>
  </w:style>
  <w:style w:type="character" w:customStyle="1" w:styleId="Heading2Char">
    <w:name w:val="Heading 2 Char"/>
    <w:link w:val="Heading2"/>
    <w:rsid w:val="004374D1"/>
    <w:rPr>
      <w:rFonts w:ascii="Montserrat" w:hAnsi="Montserrat"/>
      <w:b/>
      <w:color w:val="2C463B"/>
      <w:spacing w:val="-5"/>
      <w:sz w:val="48"/>
      <w:lang w:eastAsia="en-GB"/>
    </w:rPr>
  </w:style>
  <w:style w:type="character" w:customStyle="1" w:styleId="Heading3Char">
    <w:name w:val="Heading 3 Char"/>
    <w:link w:val="Heading3"/>
    <w:rsid w:val="005718A6"/>
    <w:rPr>
      <w:rFonts w:ascii="Montserrat" w:hAnsi="Montserrat"/>
      <w:color w:val="2C463B"/>
      <w:spacing w:val="-5"/>
      <w:sz w:val="36"/>
      <w:lang w:eastAsia="en-GB"/>
    </w:rPr>
  </w:style>
  <w:style w:type="character" w:customStyle="1" w:styleId="Heading4Char">
    <w:name w:val="Heading 4 Char"/>
    <w:link w:val="Heading4"/>
    <w:rsid w:val="004374D1"/>
    <w:rPr>
      <w:rFonts w:ascii="Montserrat" w:hAnsi="Montserrat"/>
      <w:sz w:val="28"/>
      <w:lang w:eastAsia="en-GB"/>
    </w:rPr>
  </w:style>
  <w:style w:type="character" w:customStyle="1" w:styleId="Heading5Char">
    <w:name w:val="Heading 5 Char"/>
    <w:link w:val="Heading5"/>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285080"/>
    <w:pPr>
      <w:spacing w:after="60" w:line="240" w:lineRule="auto"/>
      <w:ind w:left="284" w:hanging="284"/>
    </w:pPr>
    <w:rPr>
      <w:sz w:val="17"/>
    </w:rPr>
  </w:style>
  <w:style w:type="character" w:customStyle="1" w:styleId="FootnoteTextChar">
    <w:name w:val="Footnote Text Char"/>
    <w:link w:val="FootnoteText"/>
    <w:rsid w:val="00285080"/>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24CD3"/>
    <w:pPr>
      <w:spacing w:before="80"/>
      <w:ind w:left="284" w:hanging="284"/>
    </w:pPr>
    <w:rPr>
      <w:sz w:val="17"/>
    </w:rPr>
  </w:style>
  <w:style w:type="character" w:customStyle="1" w:styleId="NoteChar">
    <w:name w:val="Note Char"/>
    <w:link w:val="Note"/>
    <w:rsid w:val="00A24CD3"/>
    <w:rPr>
      <w:rFonts w:ascii="Fira Sans" w:hAnsi="Fira Sans"/>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A24CD3"/>
    <w:pPr>
      <w:numPr>
        <w:ilvl w:val="3"/>
        <w:numId w:val="5"/>
      </w:numPr>
      <w:spacing w:before="90"/>
    </w:pPr>
    <w:rPr>
      <w:szCs w:val="24"/>
    </w:rPr>
  </w:style>
  <w:style w:type="paragraph" w:customStyle="1" w:styleId="Letter">
    <w:name w:val="Letter"/>
    <w:basedOn w:val="Normal"/>
    <w:qFormat/>
    <w:rsid w:val="00F140B2"/>
    <w:pPr>
      <w:numPr>
        <w:ilvl w:val="4"/>
        <w:numId w:val="5"/>
      </w:numPr>
      <w:spacing w:before="120"/>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paragraph" w:styleId="Caption">
    <w:name w:val="caption"/>
    <w:basedOn w:val="Normal"/>
    <w:next w:val="Normal"/>
    <w:unhideWhenUsed/>
    <w:qFormat/>
    <w:rsid w:val="00A24CD3"/>
    <w:pPr>
      <w:spacing w:after="200" w:line="240" w:lineRule="auto"/>
    </w:pPr>
    <w:rPr>
      <w:b/>
      <w:bCs/>
      <w:color w:val="4F81BD" w:themeColor="accent1"/>
      <w:sz w:val="18"/>
      <w:szCs w:val="18"/>
    </w:rPr>
  </w:style>
  <w:style w:type="paragraph" w:styleId="BalloonText">
    <w:name w:val="Balloon Text"/>
    <w:basedOn w:val="Normal"/>
    <w:link w:val="BalloonTextChar"/>
    <w:semiHidden/>
    <w:unhideWhenUsed/>
    <w:rsid w:val="00A24CD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24CD3"/>
    <w:rPr>
      <w:rFonts w:ascii="Tahoma" w:hAnsi="Tahoma" w:cs="Tahoma"/>
      <w:sz w:val="16"/>
      <w:szCs w:val="16"/>
      <w:lang w:eastAsia="en-GB"/>
    </w:rPr>
  </w:style>
  <w:style w:type="table" w:styleId="TableGrid">
    <w:name w:val="Table Grid"/>
    <w:basedOn w:val="TableNormal"/>
    <w:uiPriority w:val="3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0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hyperlink" Target="https://wiki.cancer.org.au/australia/Guidelines:Colorectal_cancer/Colonoscopy_surveillanc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hyperlink" Target="https://www.health.govt.nz/system/files/documents/publications/colorectal-cancer-surveillance-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t.nz/system/files/documents/publications/colorectal-cancer-surveillance-guidance.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alth.govt.nz" TargetMode="External"/><Relationship Id="rId23" Type="http://schemas.openxmlformats.org/officeDocument/2006/relationships/hyperlink" Target="http://www.health.govt.nz/publications" TargetMode="External"/><Relationship Id="rId28" Type="http://schemas.openxmlformats.org/officeDocument/2006/relationships/hyperlink" Target="https://www.hqsc.govt.nz/our-programmes/health-quality-evaluation/projects/atlas-of-healthcare-variation/bowel-cancer/"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ho.govt.nz" TargetMode="External"/><Relationship Id="rId22" Type="http://schemas.openxmlformats.org/officeDocument/2006/relationships/footer" Target="footer5.xml"/><Relationship Id="rId27" Type="http://schemas.openxmlformats.org/officeDocument/2006/relationships/hyperlink" Target="https://endoscopyquality.co.nz/assets/Uploads/EGGNZ-Endoscopy-Standards-for-Individual-Colonoscopists-Performing-Bowel-Cancer-Screening-in-New-Zealand-Final-v3.0.pdf"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health.govt.nz"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F869651CBED4AB058FE7F9F3ED0A7" ma:contentTypeVersion="12" ma:contentTypeDescription="Create a new document." ma:contentTypeScope="" ma:versionID="78fb08c3f9ed1acfc8b60216ee3b6090">
  <xsd:schema xmlns:xsd="http://www.w3.org/2001/XMLSchema" xmlns:xs="http://www.w3.org/2001/XMLSchema" xmlns:p="http://schemas.microsoft.com/office/2006/metadata/properties" xmlns:ns3="4aea5d07-0eb0-44bf-96eb-22637babf967" xmlns:ns4="2ffa5dc2-4451-4ee2-b115-33f870a805e6" targetNamespace="http://schemas.microsoft.com/office/2006/metadata/properties" ma:root="true" ma:fieldsID="ff2e8f7da96e48ed77233c9bd7f181d7" ns3:_="" ns4:_="">
    <xsd:import namespace="4aea5d07-0eb0-44bf-96eb-22637babf967"/>
    <xsd:import namespace="2ffa5dc2-4451-4ee2-b115-33f870a805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a5d07-0eb0-44bf-96eb-22637babf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a5dc2-4451-4ee2-b115-33f870a805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1F355-B05A-41BE-A702-00B093E19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a5d07-0eb0-44bf-96eb-22637babf967"/>
    <ds:schemaRef ds:uri="2ffa5dc2-4451-4ee2-b115-33f870a80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51FE8-7CBB-4B8B-A7A9-5F6EF845DDE3}">
  <ds:schemaRefs>
    <ds:schemaRef ds:uri="http://schemas.openxmlformats.org/officeDocument/2006/bibliography"/>
  </ds:schemaRefs>
</ds:datastoreItem>
</file>

<file path=customXml/itemProps3.xml><?xml version="1.0" encoding="utf-8"?>
<ds:datastoreItem xmlns:ds="http://schemas.openxmlformats.org/officeDocument/2006/customXml" ds:itemID="{012B80F3-AB98-4DE5-ACE1-9792246281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43687-3D15-4831-83F0-B70D71D8A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4</TotalTime>
  <Pages>16</Pages>
  <Words>2635</Words>
  <Characters>27019</Characters>
  <Application>Microsoft Office Word</Application>
  <DocSecurity>0</DocSecurity>
  <Lines>225</Lines>
  <Paragraphs>59</Paragraphs>
  <ScaleCrop>false</ScaleCrop>
  <HeadingPairs>
    <vt:vector size="2" baseType="variant">
      <vt:variant>
        <vt:lpstr>Title</vt:lpstr>
      </vt:variant>
      <vt:variant>
        <vt:i4>1</vt:i4>
      </vt:variant>
    </vt:vector>
  </HeadingPairs>
  <TitlesOfParts>
    <vt:vector size="1" baseType="lpstr">
      <vt:lpstr>Update on Polyp Surveillance Guidelines</vt:lpstr>
    </vt:vector>
  </TitlesOfParts>
  <Company>Microsoft</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Polyp Surveillance Guidelines</dc:title>
  <dc:creator>Cancer Control Agency</dc:creator>
  <cp:lastModifiedBy>Eru West</cp:lastModifiedBy>
  <cp:revision>4</cp:revision>
  <cp:lastPrinted>2021-09-06T07:01:00Z</cp:lastPrinted>
  <dcterms:created xsi:type="dcterms:W3CDTF">2024-06-06T23:10:00Z</dcterms:created>
  <dcterms:modified xsi:type="dcterms:W3CDTF">2024-06-12T02:23:00Z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0x010100FA4F869651CBED4AB058FE7F9F3ED0A7</vt:lpwstr>
  </property>
</Properties>
</file>