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C6F959" w14:textId="4E7B5E3B" w:rsidR="00CA6CDD" w:rsidRDefault="0079145E" w:rsidP="00CA6CDD">
      <w:r>
        <w:rPr>
          <w:noProof/>
        </w:rPr>
        <w:drawing>
          <wp:inline distT="0" distB="0" distL="0" distR="0" wp14:anchorId="5A95991B" wp14:editId="5F8EAD1A">
            <wp:extent cx="7200265" cy="10287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265" cy="10287000"/>
                    </a:xfrm>
                    <a:prstGeom prst="rect">
                      <a:avLst/>
                    </a:prstGeom>
                    <a:noFill/>
                    <a:ln>
                      <a:noFill/>
                    </a:ln>
                  </pic:spPr>
                </pic:pic>
              </a:graphicData>
            </a:graphic>
          </wp:inline>
        </w:drawing>
      </w:r>
    </w:p>
    <w:p w14:paraId="3658A300" w14:textId="77777777" w:rsidR="00CC37B9" w:rsidRDefault="00CC37B9" w:rsidP="00CA6CDD">
      <w:pPr>
        <w:sectPr w:rsidR="00CC37B9" w:rsidSect="00CC37B9">
          <w:pgSz w:w="11907" w:h="16834" w:code="9"/>
          <w:pgMar w:top="284" w:right="284" w:bottom="284" w:left="284" w:header="142" w:footer="142" w:gutter="0"/>
          <w:pgNumType w:start="1"/>
          <w:cols w:space="720"/>
        </w:sectPr>
      </w:pPr>
    </w:p>
    <w:p w14:paraId="0171FE69" w14:textId="17FA3CE3" w:rsidR="00A80363" w:rsidRPr="00B47C82" w:rsidRDefault="00A80363" w:rsidP="00CC37B9">
      <w:pPr>
        <w:pStyle w:val="Imprint"/>
        <w:spacing w:before="1200"/>
        <w:rPr>
          <w:rFonts w:cs="Segoe UI"/>
        </w:rPr>
      </w:pPr>
      <w:r w:rsidRPr="00B47C82">
        <w:rPr>
          <w:rFonts w:cs="Segoe UI"/>
        </w:rPr>
        <w:lastRenderedPageBreak/>
        <w:t xml:space="preserve">Citation: </w:t>
      </w:r>
      <w:r w:rsidR="00F64599">
        <w:rPr>
          <w:rFonts w:cs="Segoe UI"/>
        </w:rPr>
        <w:t>Te Aho</w:t>
      </w:r>
      <w:r w:rsidR="00CC6EA4">
        <w:rPr>
          <w:rFonts w:cs="Segoe UI"/>
        </w:rPr>
        <w:t xml:space="preserve"> o </w:t>
      </w:r>
      <w:r w:rsidR="00B537E2">
        <w:rPr>
          <w:rFonts w:cs="Segoe UI"/>
        </w:rPr>
        <w:t>Te Kahu</w:t>
      </w:r>
      <w:r w:rsidR="00442C1C" w:rsidRPr="00B47C82">
        <w:rPr>
          <w:rFonts w:cs="Segoe UI"/>
        </w:rPr>
        <w:t xml:space="preserve">. </w:t>
      </w:r>
      <w:r w:rsidR="00CC37B9">
        <w:rPr>
          <w:rFonts w:cs="Segoe UI"/>
        </w:rPr>
        <w:t>2022</w:t>
      </w:r>
      <w:r w:rsidR="00442C1C" w:rsidRPr="00B47C82">
        <w:rPr>
          <w:rFonts w:cs="Segoe UI"/>
        </w:rPr>
        <w:t xml:space="preserve">. </w:t>
      </w:r>
      <w:r w:rsidR="00CC37B9" w:rsidRPr="00CC37B9">
        <w:rPr>
          <w:rFonts w:cs="Segoe UI"/>
          <w:i/>
        </w:rPr>
        <w:t xml:space="preserve">Mārama </w:t>
      </w:r>
      <w:r w:rsidR="00B4213A">
        <w:rPr>
          <w:rFonts w:cs="Segoe UI"/>
          <w:i/>
        </w:rPr>
        <w:t>a</w:t>
      </w:r>
      <w:r w:rsidR="00CC37B9" w:rsidRPr="00CC37B9">
        <w:rPr>
          <w:rFonts w:cs="Segoe UI"/>
          <w:i/>
        </w:rPr>
        <w:t>na ki te Āputa: he tātari i te wāteatanga o ngā rongoā mate pukupuku i Aotearoa | Understanding the Gap: an analysis of the availability of cancer medicines in Aotearoa</w:t>
      </w:r>
      <w:r w:rsidR="00442C1C" w:rsidRPr="00B47C82">
        <w:rPr>
          <w:rFonts w:cs="Segoe UI"/>
        </w:rPr>
        <w:t xml:space="preserve">. Wellington: </w:t>
      </w:r>
      <w:r w:rsidR="00F64599">
        <w:rPr>
          <w:rFonts w:cs="Segoe UI"/>
        </w:rPr>
        <w:t>Te Aho</w:t>
      </w:r>
      <w:r w:rsidR="00CC6EA4">
        <w:rPr>
          <w:rFonts w:cs="Segoe UI"/>
        </w:rPr>
        <w:t xml:space="preserve"> o </w:t>
      </w:r>
      <w:r w:rsidR="00B537E2">
        <w:rPr>
          <w:rFonts w:cs="Segoe UI"/>
        </w:rPr>
        <w:t>Te Kahu</w:t>
      </w:r>
      <w:r w:rsidR="00442C1C" w:rsidRPr="00B47C82">
        <w:rPr>
          <w:rFonts w:cs="Segoe UI"/>
        </w:rPr>
        <w:t>.</w:t>
      </w:r>
    </w:p>
    <w:p w14:paraId="0D39B998" w14:textId="1900F3ED" w:rsidR="00C86248" w:rsidRPr="00B47C82" w:rsidRDefault="00C86248">
      <w:pPr>
        <w:pStyle w:val="Imprint"/>
      </w:pPr>
      <w:r w:rsidRPr="00B47C82">
        <w:t xml:space="preserve">Published in </w:t>
      </w:r>
      <w:r w:rsidR="008150BB">
        <w:t>April</w:t>
      </w:r>
      <w:r w:rsidR="00D27922" w:rsidRPr="00B47C82">
        <w:t xml:space="preserve"> </w:t>
      </w:r>
      <w:r w:rsidR="003235C6" w:rsidRPr="00B47C82">
        <w:t>20</w:t>
      </w:r>
      <w:r w:rsidR="00FB0A5B" w:rsidRPr="00B47C82">
        <w:t>2</w:t>
      </w:r>
      <w:r w:rsidR="00CC37B9">
        <w:t>2</w:t>
      </w:r>
      <w:r w:rsidR="00A63DFF" w:rsidRPr="00B47C82">
        <w:t xml:space="preserve"> </w:t>
      </w:r>
      <w:r w:rsidRPr="00B47C82">
        <w:t xml:space="preserve">by </w:t>
      </w:r>
      <w:r w:rsidR="00F64599">
        <w:t>Te Aho</w:t>
      </w:r>
      <w:r w:rsidR="00CC6EA4">
        <w:t xml:space="preserve"> o </w:t>
      </w:r>
      <w:r w:rsidR="00B537E2">
        <w:t>Te Kahu</w:t>
      </w:r>
      <w:r w:rsidR="00CB3915">
        <w:t>, the Cancer Control 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7A91BF94" w14:textId="7DD38920" w:rsidR="00082CD6" w:rsidRPr="00B47C82" w:rsidRDefault="00D863D0" w:rsidP="00082CD6">
      <w:pPr>
        <w:pStyle w:val="Imprint"/>
      </w:pPr>
      <w:r w:rsidRPr="00B47C82">
        <w:t>ISBN</w:t>
      </w:r>
      <w:r w:rsidR="00442C1C" w:rsidRPr="00B47C82">
        <w:t xml:space="preserve"> </w:t>
      </w:r>
      <w:r w:rsidR="00A216FB" w:rsidRPr="00A216FB">
        <w:t>978-1-99-110038-2</w:t>
      </w:r>
      <w:r w:rsidR="002B7BEC" w:rsidRPr="00B47C82">
        <w:t xml:space="preserve"> </w:t>
      </w:r>
      <w:r w:rsidRPr="00B47C82">
        <w:t>(</w:t>
      </w:r>
      <w:r w:rsidR="00442C1C" w:rsidRPr="00B47C82">
        <w:t>online</w:t>
      </w:r>
      <w:r w:rsidRPr="00B47C82">
        <w:t>)</w:t>
      </w:r>
      <w:r w:rsidR="00082CD6" w:rsidRPr="00B47C82">
        <w:br/>
        <w:t xml:space="preserve">HP </w:t>
      </w:r>
      <w:r w:rsidR="0051364F">
        <w:t>8127</w:t>
      </w:r>
    </w:p>
    <w:p w14:paraId="446F816C" w14:textId="77777777" w:rsidR="005718A6" w:rsidRPr="00B47C82" w:rsidRDefault="005718A6" w:rsidP="00D27922">
      <w:pPr>
        <w:spacing w:before="360"/>
      </w:pPr>
      <w:r w:rsidRPr="00B47C82">
        <w:rPr>
          <w:noProof/>
          <w:lang w:eastAsia="en-NZ"/>
        </w:rPr>
        <w:drawing>
          <wp:inline distT="0" distB="0" distL="0" distR="0" wp14:anchorId="37D81A97" wp14:editId="14D02F86">
            <wp:extent cx="1396538" cy="650613"/>
            <wp:effectExtent l="0" t="0" r="0" b="0"/>
            <wp:docPr id="7" name="Picture 7" descr="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ncer Control Agency logo"/>
                    <pic:cNvPicPr/>
                  </pic:nvPicPr>
                  <pic:blipFill rotWithShape="1">
                    <a:blip r:embed="rId12"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04C4D6A4" w14:textId="41E173B2" w:rsidR="00A63DFF" w:rsidRPr="00B47C82" w:rsidRDefault="00A63DFF" w:rsidP="00A63DFF">
      <w:pPr>
        <w:pStyle w:val="Imprint"/>
        <w:spacing w:before="240" w:after="480"/>
      </w:pPr>
      <w:r w:rsidRPr="00B47C82">
        <w:t xml:space="preserve">This document is available at </w:t>
      </w:r>
      <w:hyperlink r:id="rId13" w:history="1">
        <w:r w:rsidR="00CC6EA4" w:rsidRPr="00CC6EA4">
          <w:rPr>
            <w:rStyle w:val="Hyperlink"/>
          </w:rPr>
          <w:t>teaho.govt.nz</w:t>
        </w:r>
      </w:hyperlink>
    </w:p>
    <w:tbl>
      <w:tblPr>
        <w:tblW w:w="0" w:type="auto"/>
        <w:tblLayout w:type="fixed"/>
        <w:tblLook w:val="04A0" w:firstRow="1" w:lastRow="0" w:firstColumn="1" w:lastColumn="0" w:noHBand="0" w:noVBand="1"/>
      </w:tblPr>
      <w:tblGrid>
        <w:gridCol w:w="1526"/>
        <w:gridCol w:w="6061"/>
      </w:tblGrid>
      <w:tr w:rsidR="00A63DFF" w:rsidRPr="00B47C82" w14:paraId="20050834" w14:textId="77777777" w:rsidTr="00A63DFF">
        <w:trPr>
          <w:cantSplit/>
        </w:trPr>
        <w:tc>
          <w:tcPr>
            <w:tcW w:w="1526" w:type="dxa"/>
          </w:tcPr>
          <w:p w14:paraId="0E6B1338"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05D9F0C5" wp14:editId="14F66A8B">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3CCD0351"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7C187B31" w14:textId="77777777" w:rsidR="007E74F1" w:rsidRPr="00B47C82" w:rsidRDefault="007E74F1" w:rsidP="006E2886">
      <w:pPr>
        <w:pStyle w:val="Imprint"/>
      </w:pPr>
    </w:p>
    <w:p w14:paraId="523B11DE" w14:textId="77777777" w:rsidR="00C86248" w:rsidRPr="00B47C82" w:rsidRDefault="00C86248">
      <w:pPr>
        <w:jc w:val="center"/>
        <w:sectPr w:rsidR="00C86248" w:rsidRPr="00B47C82" w:rsidSect="003D59BB">
          <w:headerReference w:type="default" r:id="rId15"/>
          <w:footerReference w:type="even" r:id="rId16"/>
          <w:footerReference w:type="default" r:id="rId17"/>
          <w:pgSz w:w="11907" w:h="16834" w:code="9"/>
          <w:pgMar w:top="1701" w:right="2268" w:bottom="1134" w:left="2268" w:header="425" w:footer="284" w:gutter="0"/>
          <w:cols w:space="720"/>
          <w:vAlign w:val="bottom"/>
        </w:sectPr>
      </w:pPr>
    </w:p>
    <w:p w14:paraId="3F295049" w14:textId="5925DCE1" w:rsidR="00414C35" w:rsidRPr="0075336B" w:rsidRDefault="00E77F9C" w:rsidP="00F54E74">
      <w:pPr>
        <w:pStyle w:val="Heading1"/>
        <w:rPr>
          <w:rFonts w:ascii="Montserrat" w:hAnsi="Montserrat"/>
        </w:rPr>
      </w:pPr>
      <w:bookmarkStart w:id="0" w:name="_Toc519278551"/>
      <w:bookmarkStart w:id="1" w:name="_Toc101618140"/>
      <w:bookmarkStart w:id="2" w:name="_Toc405792991"/>
      <w:bookmarkStart w:id="3" w:name="_Toc405793224"/>
      <w:r w:rsidRPr="00927EBE">
        <w:rPr>
          <w:rFonts w:ascii="Montserrat" w:hAnsi="Montserrat"/>
        </w:rPr>
        <w:lastRenderedPageBreak/>
        <w:t>HE KUPU TAKAMUA</w:t>
      </w:r>
      <w:r w:rsidR="00F34187" w:rsidRPr="0075336B">
        <w:rPr>
          <w:rFonts w:ascii="Montserrat" w:hAnsi="Montserrat"/>
        </w:rPr>
        <w:t xml:space="preserve"> </w:t>
      </w:r>
      <w:r w:rsidRPr="00927EBE">
        <w:rPr>
          <w:rFonts w:ascii="Montserrat" w:hAnsi="Montserrat"/>
          <w:color w:val="0AB58F"/>
        </w:rPr>
        <w:t>FOREWORD</w:t>
      </w:r>
      <w:bookmarkEnd w:id="0"/>
      <w:bookmarkEnd w:id="1"/>
    </w:p>
    <w:p w14:paraId="2EF9C3CE" w14:textId="6E8B4B66" w:rsidR="00E77F9C" w:rsidRDefault="00E3322C" w:rsidP="00E77F9C">
      <w:r>
        <w:rPr>
          <w:noProof/>
        </w:rPr>
        <w:drawing>
          <wp:anchor distT="0" distB="0" distL="114300" distR="114300" simplePos="0" relativeHeight="251658240" behindDoc="0" locked="0" layoutInCell="1" allowOverlap="1" wp14:anchorId="794C2098" wp14:editId="7098B45F">
            <wp:simplePos x="0" y="0"/>
            <wp:positionH relativeFrom="column">
              <wp:posOffset>-1905</wp:posOffset>
            </wp:positionH>
            <wp:positionV relativeFrom="paragraph">
              <wp:posOffset>1905</wp:posOffset>
            </wp:positionV>
            <wp:extent cx="1912620" cy="30556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2620" cy="305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F9C">
        <w:t>Each year, 25,000 people are diagnosed with cancer in Aotearoa. The question of what treatment is available is a vital one for each of these patients, their whānau and the health professionals that look after them.</w:t>
      </w:r>
    </w:p>
    <w:p w14:paraId="3ED99405" w14:textId="77777777" w:rsidR="00E77F9C" w:rsidRDefault="00E77F9C" w:rsidP="00E77F9C"/>
    <w:p w14:paraId="3C106A05" w14:textId="407D21B2" w:rsidR="00E77F9C" w:rsidRDefault="00E77F9C" w:rsidP="00E77F9C">
      <w:r>
        <w:t>Cancer medicines – whether curative or life prolonging – are a critical part of cancer care. Better cancer outcomes are more likely to be achieved when there is equitable access to effective medicines. People living with cancer and their whānau often rely on cancer medicines and, understandably, expect that when they need a cancer medicine, it will be available.</w:t>
      </w:r>
    </w:p>
    <w:p w14:paraId="5CC0125D" w14:textId="77777777" w:rsidR="00E77F9C" w:rsidRDefault="00E77F9C" w:rsidP="00E77F9C"/>
    <w:p w14:paraId="4F8D5DBD" w14:textId="77777777" w:rsidR="00E77F9C" w:rsidRDefault="00E77F9C" w:rsidP="00E77F9C">
      <w:r>
        <w:t xml:space="preserve">As </w:t>
      </w:r>
      <w:r w:rsidR="00F64599">
        <w:t>Te Aho</w:t>
      </w:r>
      <w:r>
        <w:t xml:space="preserve"> o </w:t>
      </w:r>
      <w:r w:rsidR="00B537E2">
        <w:t>Te Kahu</w:t>
      </w:r>
      <w:r>
        <w:t>, the Cancer Control Agency, we are responsible for providing leadership and oversight of all aspects of cancer control in Aotearoa, from prevention to diagnosis, management and beyond. Increasingly, concerns have been raised about the availability of certain cancer medicines in Aotearoa compared with their availability in similar countries. These concerns have often been voiced by people living with cancer or their whānau, as they try to ensure they are getting the best possible treatment. It is these concerns that have motivated us to undertake this work and publish this report. We wanted to understand more about the gaps in cancer medicines funded in Aotearoa compared with Australia, to inform our work and the advice we give to Government.</w:t>
      </w:r>
    </w:p>
    <w:p w14:paraId="7D520156" w14:textId="77777777" w:rsidR="00E77F9C" w:rsidRDefault="00E77F9C" w:rsidP="00E77F9C"/>
    <w:p w14:paraId="4E0A2CBD" w14:textId="77777777" w:rsidR="00E77F9C" w:rsidRDefault="00E77F9C" w:rsidP="00E77F9C">
      <w:r>
        <w:t>The funding of cancer medicines is complicated. The rapid development of cancer drugs has created a challenge for governments to assess what added clinical benefit a new medicine may offer and how much money should be allocated towards a new medicine. The role of Pharmac is important, and not easy. We hope this report will be a useful additional resource for Pharmac in their work. At the time of publication, Pharmac is undergoing an independent review. We look forward to the outcome of that review and hope this analysis complements it.</w:t>
      </w:r>
    </w:p>
    <w:p w14:paraId="77632918" w14:textId="77777777" w:rsidR="00E77F9C" w:rsidRDefault="00E77F9C" w:rsidP="00E77F9C"/>
    <w:p w14:paraId="322C8723" w14:textId="2A8F21EE" w:rsidR="00E77F9C" w:rsidRDefault="00E77F9C" w:rsidP="00E77F9C">
      <w:r>
        <w:t>In the next 20 years, it is expected that the number of people diagnosed each year with cancer will have increased by 40</w:t>
      </w:r>
      <w:r w:rsidR="00F64599">
        <w:t> percent</w:t>
      </w:r>
      <w:r>
        <w:t>. For that reason, it is important we balance the opportunities that effective cancer medicines offer</w:t>
      </w:r>
      <w:r w:rsidR="00392168">
        <w:t xml:space="preserve">, </w:t>
      </w:r>
      <w:r>
        <w:t>with other opportunities to improve cancer outcomes and reduce cancer inequities for Aotearoa. We must continue to help prevent as many cancers as possible while also providing high-quality diagnosis and treatment services for those who have cancer.</w:t>
      </w:r>
    </w:p>
    <w:p w14:paraId="714928A5" w14:textId="77777777" w:rsidR="00E77F9C" w:rsidRDefault="00E77F9C" w:rsidP="00E77F9C"/>
    <w:p w14:paraId="501405B6" w14:textId="77777777" w:rsidR="009B1845" w:rsidRDefault="009B1845" w:rsidP="00E77F9C"/>
    <w:p w14:paraId="5270FA06" w14:textId="77777777" w:rsidR="009B1845" w:rsidRDefault="009B1845" w:rsidP="00E77F9C"/>
    <w:p w14:paraId="25DD9871" w14:textId="77777777" w:rsidR="009B1845" w:rsidRDefault="009B1845" w:rsidP="00E77F9C"/>
    <w:p w14:paraId="1EA94777" w14:textId="5334A653" w:rsidR="00E77F9C" w:rsidRDefault="00E77F9C" w:rsidP="00E77F9C">
      <w:r>
        <w:lastRenderedPageBreak/>
        <w:t>While this is a relatively detailed and technical analysis, in developing this report, we have aimed to keep people at the centre. I</w:t>
      </w:r>
      <w:r w:rsidR="00D34911">
        <w:t>’</w:t>
      </w:r>
      <w:r>
        <w:t>d like to acknowledge the team that led this work and the national and international experts who provided their wisdom and insights to inform it.</w:t>
      </w:r>
    </w:p>
    <w:p w14:paraId="5F276E14" w14:textId="77777777" w:rsidR="00E77F9C" w:rsidRDefault="00E77F9C" w:rsidP="00E77F9C"/>
    <w:p w14:paraId="06B6EAE8" w14:textId="77777777" w:rsidR="00E77F9C" w:rsidRDefault="00E77F9C" w:rsidP="00E77F9C">
      <w:pPr>
        <w:keepNext/>
      </w:pPr>
      <w:r>
        <w:t xml:space="preserve">We take seriously our responsibility at </w:t>
      </w:r>
      <w:r w:rsidR="00F64599">
        <w:t>Te Aho</w:t>
      </w:r>
      <w:r>
        <w:t xml:space="preserve"> o </w:t>
      </w:r>
      <w:r w:rsidR="00B537E2">
        <w:t>Te Kahu</w:t>
      </w:r>
      <w:r>
        <w:t xml:space="preserve"> to serve the people of Aotearoa to ensure there are fewer cancers, better survival and equity for all. We hope this report will help to inform cancer policy decisions for Aotearoa going forward – and most importantly – benefit those living with cancer.</w:t>
      </w:r>
    </w:p>
    <w:p w14:paraId="325E8080" w14:textId="77777777" w:rsidR="00E77F9C" w:rsidRDefault="00E77F9C" w:rsidP="00E77F9C">
      <w:pPr>
        <w:keepNext/>
      </w:pPr>
    </w:p>
    <w:p w14:paraId="6E748D82" w14:textId="77777777" w:rsidR="00E77F9C" w:rsidRDefault="00E77F9C" w:rsidP="00EB4AA3">
      <w:pPr>
        <w:keepNext/>
      </w:pPr>
      <w:r>
        <w:t>Mauri ora</w:t>
      </w:r>
    </w:p>
    <w:p w14:paraId="08659A5C" w14:textId="77777777" w:rsidR="00E77F9C" w:rsidRDefault="00E77F9C" w:rsidP="00E77F9C"/>
    <w:p w14:paraId="3CDF5EB7" w14:textId="77777777" w:rsidR="00E77F9C" w:rsidRDefault="00E77F9C" w:rsidP="00E77F9C">
      <w:r>
        <w:t>Professor Diana Sarfati</w:t>
      </w:r>
    </w:p>
    <w:p w14:paraId="60415B29" w14:textId="77777777" w:rsidR="00E77F9C" w:rsidRPr="00FE1139" w:rsidRDefault="00E77F9C" w:rsidP="00E77F9C">
      <w:pPr>
        <w:rPr>
          <w:b/>
          <w:bCs/>
        </w:rPr>
      </w:pPr>
      <w:r w:rsidRPr="00FE1139">
        <w:rPr>
          <w:b/>
          <w:bCs/>
        </w:rPr>
        <w:t>Chief Executive and National Director of Cancer Control</w:t>
      </w:r>
    </w:p>
    <w:p w14:paraId="46531514" w14:textId="77777777" w:rsidR="00FB0A5B" w:rsidRPr="00FE1139" w:rsidRDefault="00F64599" w:rsidP="00E77F9C">
      <w:pPr>
        <w:rPr>
          <w:b/>
          <w:bCs/>
        </w:rPr>
      </w:pPr>
      <w:r w:rsidRPr="00FE1139">
        <w:rPr>
          <w:b/>
          <w:bCs/>
        </w:rPr>
        <w:t>Te Aho</w:t>
      </w:r>
      <w:r w:rsidR="00E77F9C" w:rsidRPr="00FE1139">
        <w:rPr>
          <w:b/>
          <w:bCs/>
        </w:rPr>
        <w:t xml:space="preserve"> o </w:t>
      </w:r>
      <w:r w:rsidR="00B537E2" w:rsidRPr="00FE1139">
        <w:rPr>
          <w:b/>
          <w:bCs/>
        </w:rPr>
        <w:t>Te Kahu</w:t>
      </w:r>
      <w:r w:rsidR="00E77F9C" w:rsidRPr="00FE1139">
        <w:rPr>
          <w:b/>
          <w:bCs/>
        </w:rPr>
        <w:t>, Cancer Control Agency</w:t>
      </w:r>
    </w:p>
    <w:p w14:paraId="7C5C6A4B" w14:textId="77777777" w:rsidR="00FB0A5B" w:rsidRDefault="00FB0A5B" w:rsidP="00414C35"/>
    <w:p w14:paraId="0066AAC6" w14:textId="730D1D31" w:rsidR="00D34911" w:rsidRPr="00137A68" w:rsidRDefault="00E77F9C" w:rsidP="00E77F9C">
      <w:pPr>
        <w:pStyle w:val="Heading1"/>
        <w:rPr>
          <w:rFonts w:ascii="Montserrat" w:hAnsi="Montserrat"/>
          <w:lang w:eastAsia="en-NZ"/>
        </w:rPr>
      </w:pPr>
      <w:bookmarkStart w:id="4" w:name="_Toc100738996"/>
      <w:bookmarkStart w:id="5" w:name="_Toc101618141"/>
      <w:r w:rsidRPr="00137A68">
        <w:rPr>
          <w:rFonts w:ascii="Montserrat" w:hAnsi="Montserrat"/>
          <w:lang w:eastAsia="en-NZ"/>
        </w:rPr>
        <w:lastRenderedPageBreak/>
        <w:t xml:space="preserve">NGĀ MIHI </w:t>
      </w:r>
      <w:r w:rsidRPr="00137A68">
        <w:rPr>
          <w:rFonts w:ascii="Montserrat" w:hAnsi="Montserrat"/>
          <w:color w:val="0AB58F"/>
          <w:lang w:eastAsia="en-NZ"/>
        </w:rPr>
        <w:t>ACKNOWLEDGEMENTS</w:t>
      </w:r>
      <w:bookmarkEnd w:id="4"/>
      <w:bookmarkEnd w:id="5"/>
    </w:p>
    <w:p w14:paraId="7DB21437" w14:textId="77777777" w:rsidR="00E77F9C" w:rsidRDefault="00E77F9C" w:rsidP="00E77F9C">
      <w:pPr>
        <w:rPr>
          <w:lang w:eastAsia="en-NZ"/>
        </w:rPr>
      </w:pPr>
      <w:r w:rsidRPr="00A22D36">
        <w:rPr>
          <w:lang w:eastAsia="en-NZ"/>
        </w:rPr>
        <w:t xml:space="preserve">This </w:t>
      </w:r>
      <w:r>
        <w:rPr>
          <w:lang w:eastAsia="en-NZ"/>
        </w:rPr>
        <w:t xml:space="preserve">analysis was conducted by </w:t>
      </w:r>
      <w:r w:rsidR="00F64599">
        <w:rPr>
          <w:lang w:eastAsia="en-NZ"/>
        </w:rPr>
        <w:t>Te Aho</w:t>
      </w:r>
      <w:r>
        <w:rPr>
          <w:lang w:eastAsia="en-NZ"/>
        </w:rPr>
        <w:t xml:space="preserve"> o </w:t>
      </w:r>
      <w:r w:rsidR="00B537E2">
        <w:rPr>
          <w:lang w:eastAsia="en-NZ"/>
        </w:rPr>
        <w:t>Te Kahu</w:t>
      </w:r>
      <w:r>
        <w:rPr>
          <w:lang w:eastAsia="en-NZ"/>
        </w:rPr>
        <w:t>, Cancer Control Agency. We would like to acknowledge those who have provided considerable time and expertise in helping us with various aspects of this report.</w:t>
      </w:r>
    </w:p>
    <w:p w14:paraId="33BE7B38" w14:textId="77777777" w:rsidR="00E77F9C" w:rsidRDefault="00E77F9C" w:rsidP="00E77F9C">
      <w:pPr>
        <w:rPr>
          <w:lang w:eastAsia="en-NZ"/>
        </w:rPr>
      </w:pPr>
    </w:p>
    <w:p w14:paraId="2D89D129" w14:textId="77777777" w:rsidR="00E77F9C" w:rsidRPr="008A4C30" w:rsidRDefault="00E77F9C" w:rsidP="00E77F9C">
      <w:pPr>
        <w:rPr>
          <w:lang w:eastAsia="en-NZ"/>
        </w:rPr>
      </w:pPr>
      <w:r w:rsidRPr="008A4C30">
        <w:rPr>
          <w:lang w:eastAsia="en-NZ"/>
        </w:rPr>
        <w:t>Caroline Aberhart</w:t>
      </w:r>
    </w:p>
    <w:p w14:paraId="1B29E61E" w14:textId="77777777" w:rsidR="00E77F9C" w:rsidRDefault="00E77F9C" w:rsidP="00E77F9C">
      <w:pPr>
        <w:rPr>
          <w:lang w:eastAsia="en-NZ"/>
        </w:rPr>
      </w:pPr>
      <w:r>
        <w:rPr>
          <w:lang w:eastAsia="en-NZ"/>
        </w:rPr>
        <w:t xml:space="preserve">Pharmacist and </w:t>
      </w:r>
      <w:r w:rsidRPr="008A4C30">
        <w:rPr>
          <w:lang w:eastAsia="en-NZ"/>
        </w:rPr>
        <w:t xml:space="preserve">Team Leader </w:t>
      </w:r>
      <w:r>
        <w:rPr>
          <w:lang w:eastAsia="en-NZ"/>
        </w:rPr>
        <w:t>–</w:t>
      </w:r>
      <w:r w:rsidRPr="008A4C30">
        <w:rPr>
          <w:lang w:eastAsia="en-NZ"/>
        </w:rPr>
        <w:t xml:space="preserve"> Pharmacy</w:t>
      </w:r>
    </w:p>
    <w:p w14:paraId="316DC6AB" w14:textId="77777777" w:rsidR="00E77F9C" w:rsidRDefault="00E77F9C" w:rsidP="00E77F9C">
      <w:pPr>
        <w:rPr>
          <w:lang w:eastAsia="en-NZ"/>
        </w:rPr>
      </w:pPr>
      <w:r w:rsidRPr="008A4C30">
        <w:rPr>
          <w:lang w:eastAsia="en-NZ"/>
        </w:rPr>
        <w:t>Wairau Hospital</w:t>
      </w:r>
      <w:r>
        <w:rPr>
          <w:lang w:eastAsia="en-NZ"/>
        </w:rPr>
        <w:t xml:space="preserve">, </w:t>
      </w:r>
      <w:r w:rsidRPr="008A4C30">
        <w:rPr>
          <w:lang w:eastAsia="en-NZ"/>
        </w:rPr>
        <w:t>Nelson Marlborough District Health Board</w:t>
      </w:r>
    </w:p>
    <w:p w14:paraId="5B6B69AF" w14:textId="77777777" w:rsidR="00E77F9C" w:rsidRDefault="00E77F9C" w:rsidP="00E77F9C">
      <w:pPr>
        <w:rPr>
          <w:lang w:eastAsia="en-NZ"/>
        </w:rPr>
      </w:pPr>
    </w:p>
    <w:p w14:paraId="42C23711" w14:textId="77777777" w:rsidR="00E77F9C" w:rsidRPr="008A4C30" w:rsidRDefault="00E77F9C" w:rsidP="00E77F9C">
      <w:pPr>
        <w:rPr>
          <w:lang w:eastAsia="en-NZ"/>
        </w:rPr>
      </w:pPr>
      <w:r>
        <w:rPr>
          <w:lang w:eastAsia="en-NZ"/>
        </w:rPr>
        <w:t>Dr Christopher Booth</w:t>
      </w:r>
    </w:p>
    <w:p w14:paraId="2FC74E82" w14:textId="77777777" w:rsidR="00E77F9C" w:rsidRDefault="00E77F9C" w:rsidP="00E77F9C">
      <w:pPr>
        <w:rPr>
          <w:lang w:eastAsia="en-NZ"/>
        </w:rPr>
      </w:pPr>
      <w:r w:rsidRPr="008A4C30">
        <w:rPr>
          <w:lang w:eastAsia="en-NZ"/>
        </w:rPr>
        <w:t>Professor of Medical Oncology</w:t>
      </w:r>
      <w:r>
        <w:rPr>
          <w:lang w:eastAsia="en-NZ"/>
        </w:rPr>
        <w:t xml:space="preserve"> and </w:t>
      </w:r>
      <w:r w:rsidRPr="008A4C30">
        <w:rPr>
          <w:lang w:eastAsia="en-NZ"/>
        </w:rPr>
        <w:t>Canada Research Chair in Population Cancer Care</w:t>
      </w:r>
    </w:p>
    <w:p w14:paraId="0C1BA812" w14:textId="77777777" w:rsidR="00E77F9C" w:rsidRDefault="00E77F9C" w:rsidP="00E77F9C">
      <w:pPr>
        <w:spacing w:line="240" w:lineRule="auto"/>
        <w:textAlignment w:val="baseline"/>
      </w:pPr>
      <w:r w:rsidRPr="00E77F9C">
        <w:t>Queen</w:t>
      </w:r>
      <w:r w:rsidR="00D34911">
        <w:t>’</w:t>
      </w:r>
      <w:r w:rsidRPr="00E77F9C">
        <w:t>s University, Kingston</w:t>
      </w:r>
      <w:r>
        <w:t>, Ontario, Canada</w:t>
      </w:r>
    </w:p>
    <w:p w14:paraId="1C0B8206" w14:textId="77777777" w:rsidR="00E77F9C" w:rsidRDefault="00E77F9C" w:rsidP="00E77F9C"/>
    <w:p w14:paraId="0087DE99" w14:textId="77777777" w:rsidR="00E77F9C" w:rsidRDefault="00E77F9C" w:rsidP="00E77F9C">
      <w:r>
        <w:t>Arti Chandra</w:t>
      </w:r>
    </w:p>
    <w:p w14:paraId="777352D2" w14:textId="77777777" w:rsidR="00E77F9C" w:rsidRDefault="00E77F9C" w:rsidP="00E77F9C">
      <w:r w:rsidRPr="00A308C2">
        <w:t>Pharmacist and Healthcare Consultant</w:t>
      </w:r>
      <w:r>
        <w:t>, Auckland</w:t>
      </w:r>
    </w:p>
    <w:p w14:paraId="1E3D27D2" w14:textId="77777777" w:rsidR="00E77F9C" w:rsidRDefault="00E77F9C" w:rsidP="00E77F9C"/>
    <w:p w14:paraId="2B2D671A" w14:textId="77777777" w:rsidR="00E77F9C" w:rsidRDefault="00E77F9C" w:rsidP="00E77F9C">
      <w:r>
        <w:t>Laura Clunie</w:t>
      </w:r>
    </w:p>
    <w:p w14:paraId="07D912B0" w14:textId="77777777" w:rsidR="00E77F9C" w:rsidRDefault="00E77F9C" w:rsidP="00E77F9C">
      <w:r>
        <w:t>Clinical Pharmacist, Canopy Cancer Care, Auckland</w:t>
      </w:r>
    </w:p>
    <w:p w14:paraId="2DAE8CEE" w14:textId="77777777" w:rsidR="00E77F9C" w:rsidRDefault="00E77F9C" w:rsidP="00E77F9C"/>
    <w:p w14:paraId="1C6159A2" w14:textId="77777777" w:rsidR="00E77F9C" w:rsidRPr="008A4C30" w:rsidRDefault="00E77F9C" w:rsidP="00E77F9C">
      <w:pPr>
        <w:rPr>
          <w:lang w:eastAsia="en-NZ"/>
        </w:rPr>
      </w:pPr>
      <w:r w:rsidRPr="008A4C30">
        <w:rPr>
          <w:lang w:eastAsia="en-NZ"/>
        </w:rPr>
        <w:t>Dr Bishal Gyawali</w:t>
      </w:r>
    </w:p>
    <w:p w14:paraId="5DB86727" w14:textId="77777777" w:rsidR="00E77F9C" w:rsidRDefault="00E77F9C" w:rsidP="00E77F9C">
      <w:pPr>
        <w:rPr>
          <w:lang w:eastAsia="en-NZ"/>
        </w:rPr>
      </w:pPr>
      <w:r w:rsidRPr="008A4C30">
        <w:rPr>
          <w:lang w:eastAsia="en-NZ"/>
        </w:rPr>
        <w:t>Medical Oncologist and Associate Professor of Oncology and Public Health Sciences</w:t>
      </w:r>
    </w:p>
    <w:p w14:paraId="065A3211" w14:textId="77777777" w:rsidR="00E77F9C" w:rsidRDefault="00E77F9C" w:rsidP="00E77F9C">
      <w:pPr>
        <w:rPr>
          <w:lang w:eastAsia="en-NZ"/>
        </w:rPr>
      </w:pPr>
      <w:r w:rsidRPr="008A4C30">
        <w:rPr>
          <w:lang w:eastAsia="en-NZ"/>
        </w:rPr>
        <w:t>Queen</w:t>
      </w:r>
      <w:r w:rsidR="00D34911">
        <w:rPr>
          <w:lang w:eastAsia="en-NZ"/>
        </w:rPr>
        <w:t>’</w:t>
      </w:r>
      <w:r w:rsidRPr="008A4C30">
        <w:rPr>
          <w:lang w:eastAsia="en-NZ"/>
        </w:rPr>
        <w:t>s University, Kingston, Ontario, Canada</w:t>
      </w:r>
    </w:p>
    <w:p w14:paraId="4D3F630F" w14:textId="77777777" w:rsidR="00E77F9C" w:rsidRDefault="00E77F9C" w:rsidP="00E77F9C">
      <w:pPr>
        <w:rPr>
          <w:lang w:eastAsia="en-NZ"/>
        </w:rPr>
      </w:pPr>
    </w:p>
    <w:p w14:paraId="13C808B9" w14:textId="77777777" w:rsidR="00E77F9C" w:rsidRPr="009833FB" w:rsidRDefault="00E77F9C" w:rsidP="00E77F9C">
      <w:pPr>
        <w:rPr>
          <w:lang w:eastAsia="en-NZ"/>
        </w:rPr>
      </w:pPr>
      <w:r w:rsidRPr="009833FB">
        <w:rPr>
          <w:lang w:eastAsia="en-NZ"/>
        </w:rPr>
        <w:t>Dr Christopher GCA Jackson</w:t>
      </w:r>
    </w:p>
    <w:p w14:paraId="7C03659D" w14:textId="77777777" w:rsidR="00E77F9C" w:rsidRPr="009833FB" w:rsidRDefault="00E77F9C" w:rsidP="00E77F9C">
      <w:pPr>
        <w:rPr>
          <w:lang w:eastAsia="en-NZ"/>
        </w:rPr>
      </w:pPr>
      <w:r w:rsidRPr="009833FB">
        <w:rPr>
          <w:lang w:eastAsia="en-NZ"/>
        </w:rPr>
        <w:t>Medical Oncologist, Southern D</w:t>
      </w:r>
      <w:r>
        <w:rPr>
          <w:lang w:eastAsia="en-NZ"/>
        </w:rPr>
        <w:t xml:space="preserve">istrict </w:t>
      </w:r>
      <w:r w:rsidRPr="009833FB">
        <w:rPr>
          <w:lang w:eastAsia="en-NZ"/>
        </w:rPr>
        <w:t>H</w:t>
      </w:r>
      <w:r>
        <w:rPr>
          <w:lang w:eastAsia="en-NZ"/>
        </w:rPr>
        <w:t xml:space="preserve">ealth </w:t>
      </w:r>
      <w:r w:rsidRPr="009833FB">
        <w:rPr>
          <w:lang w:eastAsia="en-NZ"/>
        </w:rPr>
        <w:t>B</w:t>
      </w:r>
      <w:r>
        <w:rPr>
          <w:lang w:eastAsia="en-NZ"/>
        </w:rPr>
        <w:t>oard</w:t>
      </w:r>
    </w:p>
    <w:p w14:paraId="295E3205" w14:textId="77777777" w:rsidR="00E77F9C" w:rsidRDefault="00E77F9C" w:rsidP="00E77F9C">
      <w:pPr>
        <w:rPr>
          <w:lang w:eastAsia="en-NZ"/>
        </w:rPr>
      </w:pPr>
      <w:r w:rsidRPr="009833FB">
        <w:rPr>
          <w:lang w:eastAsia="en-NZ"/>
        </w:rPr>
        <w:t xml:space="preserve">Chair, Clinical Assembly, </w:t>
      </w:r>
      <w:r w:rsidR="00F64599">
        <w:rPr>
          <w:lang w:eastAsia="en-NZ"/>
        </w:rPr>
        <w:t>Te Aho</w:t>
      </w:r>
      <w:r w:rsidRPr="009833FB">
        <w:rPr>
          <w:lang w:eastAsia="en-NZ"/>
        </w:rPr>
        <w:t xml:space="preserve"> o </w:t>
      </w:r>
      <w:r w:rsidR="00B537E2">
        <w:rPr>
          <w:lang w:eastAsia="en-NZ"/>
        </w:rPr>
        <w:t>Te Kahu</w:t>
      </w:r>
    </w:p>
    <w:p w14:paraId="1DB1B892" w14:textId="77777777" w:rsidR="00E77F9C" w:rsidRDefault="00E77F9C" w:rsidP="00E77F9C">
      <w:pPr>
        <w:rPr>
          <w:lang w:eastAsia="en-NZ"/>
        </w:rPr>
      </w:pPr>
    </w:p>
    <w:p w14:paraId="460268D8" w14:textId="77777777" w:rsidR="00E77F9C" w:rsidRDefault="00E77F9C" w:rsidP="00E77F9C">
      <w:pPr>
        <w:rPr>
          <w:lang w:eastAsia="en-NZ"/>
        </w:rPr>
      </w:pPr>
      <w:r>
        <w:rPr>
          <w:lang w:eastAsia="en-NZ"/>
        </w:rPr>
        <w:t xml:space="preserve">Dr </w:t>
      </w:r>
      <w:r w:rsidRPr="23D4E199">
        <w:rPr>
          <w:lang w:eastAsia="en-NZ"/>
        </w:rPr>
        <w:t>Deme Karikios</w:t>
      </w:r>
    </w:p>
    <w:p w14:paraId="657CFBF6" w14:textId="77777777" w:rsidR="00E77F9C" w:rsidRDefault="00E77F9C" w:rsidP="00E77F9C">
      <w:pPr>
        <w:rPr>
          <w:lang w:eastAsia="en-NZ"/>
        </w:rPr>
      </w:pPr>
      <w:r w:rsidRPr="23D4E199">
        <w:rPr>
          <w:lang w:eastAsia="en-NZ"/>
        </w:rPr>
        <w:t xml:space="preserve">Medical Oncologist and Director of Clinical Trials, Nepean Cancer </w:t>
      </w:r>
      <w:r>
        <w:rPr>
          <w:lang w:eastAsia="en-NZ"/>
        </w:rPr>
        <w:t>Care</w:t>
      </w:r>
      <w:r w:rsidRPr="23D4E199">
        <w:rPr>
          <w:lang w:eastAsia="en-NZ"/>
        </w:rPr>
        <w:t xml:space="preserve"> Centre</w:t>
      </w:r>
      <w:r>
        <w:rPr>
          <w:lang w:eastAsia="en-NZ"/>
        </w:rPr>
        <w:br/>
      </w:r>
      <w:r w:rsidRPr="23D4E199">
        <w:rPr>
          <w:lang w:eastAsia="en-NZ"/>
        </w:rPr>
        <w:t>N</w:t>
      </w:r>
      <w:r>
        <w:rPr>
          <w:lang w:eastAsia="en-NZ"/>
        </w:rPr>
        <w:t xml:space="preserve">ew </w:t>
      </w:r>
      <w:r w:rsidRPr="23D4E199">
        <w:rPr>
          <w:lang w:eastAsia="en-NZ"/>
        </w:rPr>
        <w:t>S</w:t>
      </w:r>
      <w:r>
        <w:rPr>
          <w:lang w:eastAsia="en-NZ"/>
        </w:rPr>
        <w:t xml:space="preserve">outh </w:t>
      </w:r>
      <w:r w:rsidRPr="23D4E199">
        <w:rPr>
          <w:lang w:eastAsia="en-NZ"/>
        </w:rPr>
        <w:t>W</w:t>
      </w:r>
      <w:r>
        <w:rPr>
          <w:lang w:eastAsia="en-NZ"/>
        </w:rPr>
        <w:t>ales</w:t>
      </w:r>
      <w:r w:rsidRPr="23D4E199">
        <w:rPr>
          <w:lang w:eastAsia="en-NZ"/>
        </w:rPr>
        <w:t>, Australia</w:t>
      </w:r>
    </w:p>
    <w:p w14:paraId="06DAEFE0" w14:textId="77777777" w:rsidR="00E77F9C" w:rsidRDefault="00E77F9C" w:rsidP="00E77F9C">
      <w:pPr>
        <w:rPr>
          <w:lang w:eastAsia="en-NZ"/>
        </w:rPr>
      </w:pPr>
      <w:r w:rsidRPr="23D4E199">
        <w:rPr>
          <w:lang w:eastAsia="en-NZ"/>
        </w:rPr>
        <w:t xml:space="preserve">Clinical Lecturer, </w:t>
      </w:r>
      <w:r>
        <w:rPr>
          <w:lang w:eastAsia="en-NZ"/>
        </w:rPr>
        <w:t xml:space="preserve">The </w:t>
      </w:r>
      <w:r w:rsidRPr="23D4E199">
        <w:rPr>
          <w:lang w:eastAsia="en-NZ"/>
        </w:rPr>
        <w:t>University of Sydney</w:t>
      </w:r>
    </w:p>
    <w:p w14:paraId="1831203F" w14:textId="77777777" w:rsidR="00E77F9C" w:rsidRDefault="00E77F9C" w:rsidP="00E77F9C">
      <w:pPr>
        <w:rPr>
          <w:lang w:eastAsia="en-NZ"/>
        </w:rPr>
      </w:pPr>
      <w:r w:rsidRPr="23D4E199">
        <w:rPr>
          <w:lang w:eastAsia="en-NZ"/>
        </w:rPr>
        <w:t>Chair, Medical Oncology Group of Australia</w:t>
      </w:r>
    </w:p>
    <w:p w14:paraId="2FAEC962" w14:textId="77777777" w:rsidR="00E77F9C" w:rsidRDefault="00E77F9C" w:rsidP="00E77F9C">
      <w:pPr>
        <w:rPr>
          <w:lang w:eastAsia="en-NZ"/>
        </w:rPr>
      </w:pPr>
    </w:p>
    <w:p w14:paraId="5F708CCA" w14:textId="77777777" w:rsidR="00E77F9C" w:rsidRPr="00E43D5B" w:rsidRDefault="00E77F9C" w:rsidP="00E77F9C">
      <w:pPr>
        <w:rPr>
          <w:lang w:eastAsia="en-NZ"/>
        </w:rPr>
      </w:pPr>
      <w:r w:rsidRPr="00E43D5B">
        <w:rPr>
          <w:lang w:eastAsia="en-NZ"/>
        </w:rPr>
        <w:t>Dr Brendan Luey</w:t>
      </w:r>
    </w:p>
    <w:p w14:paraId="7BD61991" w14:textId="77777777" w:rsidR="00E77F9C" w:rsidRDefault="00E77F9C" w:rsidP="00E77F9C">
      <w:pPr>
        <w:rPr>
          <w:lang w:eastAsia="en-NZ"/>
        </w:rPr>
      </w:pPr>
      <w:r w:rsidRPr="00E43D5B">
        <w:rPr>
          <w:lang w:eastAsia="en-NZ"/>
        </w:rPr>
        <w:t>Clinical Leader Medical Oncology</w:t>
      </w:r>
      <w:r>
        <w:rPr>
          <w:lang w:eastAsia="en-NZ"/>
        </w:rPr>
        <w:t xml:space="preserve">, </w:t>
      </w:r>
      <w:r w:rsidRPr="00E43D5B">
        <w:rPr>
          <w:lang w:eastAsia="en-NZ"/>
        </w:rPr>
        <w:t xml:space="preserve">Capital </w:t>
      </w:r>
      <w:r>
        <w:rPr>
          <w:lang w:eastAsia="en-NZ"/>
        </w:rPr>
        <w:t>&amp;</w:t>
      </w:r>
      <w:r w:rsidRPr="00E43D5B">
        <w:rPr>
          <w:lang w:eastAsia="en-NZ"/>
        </w:rPr>
        <w:t xml:space="preserve"> Coast D</w:t>
      </w:r>
      <w:r>
        <w:rPr>
          <w:lang w:eastAsia="en-NZ"/>
        </w:rPr>
        <w:t xml:space="preserve">istrict </w:t>
      </w:r>
      <w:r w:rsidRPr="00E43D5B">
        <w:rPr>
          <w:lang w:eastAsia="en-NZ"/>
        </w:rPr>
        <w:t>H</w:t>
      </w:r>
      <w:r>
        <w:rPr>
          <w:lang w:eastAsia="en-NZ"/>
        </w:rPr>
        <w:t xml:space="preserve">ealth </w:t>
      </w:r>
      <w:r w:rsidRPr="00E43D5B">
        <w:rPr>
          <w:lang w:eastAsia="en-NZ"/>
        </w:rPr>
        <w:t>B</w:t>
      </w:r>
      <w:r>
        <w:rPr>
          <w:lang w:eastAsia="en-NZ"/>
        </w:rPr>
        <w:t>oard</w:t>
      </w:r>
    </w:p>
    <w:p w14:paraId="5F9FB700" w14:textId="77777777" w:rsidR="00E77F9C" w:rsidRDefault="00E77F9C" w:rsidP="00E77F9C">
      <w:pPr>
        <w:rPr>
          <w:lang w:eastAsia="en-NZ"/>
        </w:rPr>
      </w:pPr>
    </w:p>
    <w:p w14:paraId="0D3C676D" w14:textId="77777777" w:rsidR="00E77F9C" w:rsidRPr="009833FB" w:rsidRDefault="00E77F9C" w:rsidP="00E77F9C">
      <w:pPr>
        <w:rPr>
          <w:lang w:eastAsia="en-NZ"/>
        </w:rPr>
      </w:pPr>
      <w:r w:rsidRPr="009833FB">
        <w:rPr>
          <w:lang w:eastAsia="en-NZ"/>
        </w:rPr>
        <w:t>Dr Richard North</w:t>
      </w:r>
    </w:p>
    <w:p w14:paraId="61586DB4" w14:textId="77777777" w:rsidR="00E77F9C" w:rsidRPr="009833FB" w:rsidRDefault="00E77F9C" w:rsidP="00E77F9C">
      <w:pPr>
        <w:rPr>
          <w:lang w:eastAsia="en-NZ"/>
        </w:rPr>
      </w:pPr>
      <w:r w:rsidRPr="009833FB">
        <w:rPr>
          <w:lang w:eastAsia="en-NZ"/>
        </w:rPr>
        <w:t>Medical Oncologist</w:t>
      </w:r>
      <w:r>
        <w:rPr>
          <w:lang w:eastAsia="en-NZ"/>
        </w:rPr>
        <w:t xml:space="preserve"> and </w:t>
      </w:r>
      <w:r w:rsidRPr="009833FB">
        <w:rPr>
          <w:lang w:eastAsia="en-NZ"/>
        </w:rPr>
        <w:t>Head of Dep</w:t>
      </w:r>
      <w:r>
        <w:rPr>
          <w:lang w:eastAsia="en-NZ"/>
        </w:rPr>
        <w:t>artment of</w:t>
      </w:r>
      <w:r w:rsidRPr="009833FB">
        <w:rPr>
          <w:lang w:eastAsia="en-NZ"/>
        </w:rPr>
        <w:t xml:space="preserve"> Oncology/Haematology</w:t>
      </w:r>
      <w:r>
        <w:rPr>
          <w:lang w:eastAsia="en-NZ"/>
        </w:rPr>
        <w:br/>
        <w:t>Bay of Plenty District Health Board</w:t>
      </w:r>
    </w:p>
    <w:p w14:paraId="18757992" w14:textId="77777777" w:rsidR="00E77F9C" w:rsidRDefault="00E77F9C" w:rsidP="00E77F9C">
      <w:pPr>
        <w:rPr>
          <w:lang w:eastAsia="en-NZ"/>
        </w:rPr>
      </w:pPr>
      <w:r w:rsidRPr="009833FB">
        <w:rPr>
          <w:lang w:eastAsia="en-NZ"/>
        </w:rPr>
        <w:t>Chair</w:t>
      </w:r>
      <w:r>
        <w:rPr>
          <w:lang w:eastAsia="en-NZ"/>
        </w:rPr>
        <w:t xml:space="preserve">, </w:t>
      </w:r>
      <w:r w:rsidRPr="009833FB">
        <w:rPr>
          <w:lang w:eastAsia="en-NZ"/>
        </w:rPr>
        <w:t>Medical Oncology Work</w:t>
      </w:r>
      <w:r>
        <w:rPr>
          <w:lang w:eastAsia="en-NZ"/>
        </w:rPr>
        <w:t xml:space="preserve">ing </w:t>
      </w:r>
      <w:r w:rsidRPr="009833FB">
        <w:rPr>
          <w:lang w:eastAsia="en-NZ"/>
        </w:rPr>
        <w:t>Group</w:t>
      </w:r>
      <w:r>
        <w:rPr>
          <w:lang w:eastAsia="en-NZ"/>
        </w:rPr>
        <w:t xml:space="preserve">, </w:t>
      </w:r>
      <w:r w:rsidR="00F64599">
        <w:rPr>
          <w:lang w:eastAsia="en-NZ"/>
        </w:rPr>
        <w:t>Te Aho</w:t>
      </w:r>
      <w:r>
        <w:rPr>
          <w:lang w:eastAsia="en-NZ"/>
        </w:rPr>
        <w:t xml:space="preserve"> o </w:t>
      </w:r>
      <w:r w:rsidR="00B537E2">
        <w:rPr>
          <w:lang w:eastAsia="en-NZ"/>
        </w:rPr>
        <w:t>Te Kahu</w:t>
      </w:r>
    </w:p>
    <w:p w14:paraId="6DC58E15" w14:textId="77777777" w:rsidR="00E77F9C" w:rsidRDefault="00E77F9C" w:rsidP="00E77F9C">
      <w:pPr>
        <w:rPr>
          <w:lang w:eastAsia="en-NZ"/>
        </w:rPr>
      </w:pPr>
    </w:p>
    <w:p w14:paraId="4EE8B6BC" w14:textId="77777777" w:rsidR="00E77F9C" w:rsidRDefault="00E77F9C" w:rsidP="00E77F9C">
      <w:pPr>
        <w:keepNext/>
        <w:rPr>
          <w:lang w:eastAsia="en-NZ"/>
        </w:rPr>
      </w:pPr>
      <w:r>
        <w:rPr>
          <w:lang w:eastAsia="en-NZ"/>
        </w:rPr>
        <w:lastRenderedPageBreak/>
        <w:t>Professor Richard Sullivan</w:t>
      </w:r>
    </w:p>
    <w:p w14:paraId="50B734EB" w14:textId="77777777" w:rsidR="00E77F9C" w:rsidRDefault="00E77F9C" w:rsidP="00E77F9C">
      <w:pPr>
        <w:keepNext/>
        <w:rPr>
          <w:lang w:eastAsia="en-NZ"/>
        </w:rPr>
      </w:pPr>
      <w:r>
        <w:rPr>
          <w:lang w:eastAsia="en-NZ"/>
        </w:rPr>
        <w:t>Professor of Cancer and Global Health, Director of the Institute of Cancer Policy</w:t>
      </w:r>
      <w:r>
        <w:rPr>
          <w:lang w:eastAsia="en-NZ"/>
        </w:rPr>
        <w:br/>
        <w:t>King</w:t>
      </w:r>
      <w:r w:rsidR="00D34911">
        <w:rPr>
          <w:lang w:eastAsia="en-NZ"/>
        </w:rPr>
        <w:t>’</w:t>
      </w:r>
      <w:r>
        <w:rPr>
          <w:lang w:eastAsia="en-NZ"/>
        </w:rPr>
        <w:t>s College London</w:t>
      </w:r>
    </w:p>
    <w:p w14:paraId="1F76076C" w14:textId="77777777" w:rsidR="00E77F9C" w:rsidRDefault="00E77F9C" w:rsidP="00E77F9C">
      <w:pPr>
        <w:keepNext/>
        <w:rPr>
          <w:lang w:eastAsia="en-NZ"/>
        </w:rPr>
      </w:pPr>
    </w:p>
    <w:p w14:paraId="0E076ADE" w14:textId="77777777" w:rsidR="00E77F9C" w:rsidRDefault="00E77F9C" w:rsidP="00E77F9C">
      <w:pPr>
        <w:keepNext/>
        <w:rPr>
          <w:lang w:eastAsia="en-NZ"/>
        </w:rPr>
      </w:pPr>
      <w:r>
        <w:rPr>
          <w:lang w:eastAsia="en-NZ"/>
        </w:rPr>
        <w:t>Leslie Young</w:t>
      </w:r>
    </w:p>
    <w:p w14:paraId="4D9B75B4" w14:textId="77777777" w:rsidR="00E77F9C" w:rsidRDefault="00E77F9C" w:rsidP="00EB4AA3">
      <w:pPr>
        <w:keepNext/>
        <w:rPr>
          <w:lang w:eastAsia="en-NZ"/>
        </w:rPr>
      </w:pPr>
      <w:r w:rsidRPr="00B73EF0">
        <w:rPr>
          <w:lang w:eastAsia="en-NZ"/>
        </w:rPr>
        <w:t>Pharmacist and Pharmacy Manager, Oncology Practice and Sterile Compounding</w:t>
      </w:r>
    </w:p>
    <w:p w14:paraId="5FFF56ED" w14:textId="77777777" w:rsidR="00E77F9C" w:rsidRPr="00B73EF0" w:rsidRDefault="00E77F9C" w:rsidP="00E77F9C">
      <w:pPr>
        <w:rPr>
          <w:lang w:eastAsia="en-NZ"/>
        </w:rPr>
      </w:pPr>
      <w:r w:rsidRPr="00B73EF0">
        <w:rPr>
          <w:lang w:eastAsia="en-NZ"/>
        </w:rPr>
        <w:t>Kingston Health Sciences Centre, Ontario, Canada</w:t>
      </w:r>
    </w:p>
    <w:p w14:paraId="61B6A873" w14:textId="77777777" w:rsidR="00E77F9C" w:rsidRDefault="00E77F9C" w:rsidP="00E77F9C">
      <w:pPr>
        <w:rPr>
          <w:lang w:eastAsia="en-NZ"/>
        </w:rPr>
      </w:pPr>
    </w:p>
    <w:p w14:paraId="37692243" w14:textId="77777777" w:rsidR="00E77F9C" w:rsidRDefault="00E77F9C" w:rsidP="00E77F9C">
      <w:pPr>
        <w:rPr>
          <w:lang w:eastAsia="en-NZ"/>
        </w:rPr>
      </w:pPr>
      <w:r>
        <w:rPr>
          <w:lang w:eastAsia="en-NZ"/>
        </w:rPr>
        <w:t>We also are grateful to Pharmac and Medsafe staff for their input around specific aspects of this work.</w:t>
      </w:r>
    </w:p>
    <w:p w14:paraId="5754400D" w14:textId="77777777" w:rsidR="00E77F9C" w:rsidRPr="00B47C82" w:rsidRDefault="00E77F9C" w:rsidP="00414C35"/>
    <w:p w14:paraId="562A1926" w14:textId="77777777" w:rsidR="00414C35" w:rsidRPr="00B47C82" w:rsidRDefault="00414C35" w:rsidP="00414C35">
      <w:pPr>
        <w:sectPr w:rsidR="00414C35" w:rsidRPr="00B47C82" w:rsidSect="001D3E4E">
          <w:headerReference w:type="even" r:id="rId19"/>
          <w:headerReference w:type="default" r:id="rId20"/>
          <w:footerReference w:type="even" r:id="rId21"/>
          <w:footerReference w:type="default" r:id="rId22"/>
          <w:pgSz w:w="11907" w:h="16840" w:code="9"/>
          <w:pgMar w:top="1418" w:right="1701" w:bottom="1134" w:left="1843" w:header="284" w:footer="425" w:gutter="284"/>
          <w:pgNumType w:fmt="lowerRoman"/>
          <w:cols w:space="720"/>
        </w:sectPr>
      </w:pPr>
    </w:p>
    <w:p w14:paraId="2813AC42" w14:textId="1449ED5C" w:rsidR="00C86248" w:rsidRPr="004F0899" w:rsidRDefault="00E77F9C" w:rsidP="00025A6F">
      <w:pPr>
        <w:pStyle w:val="IntroHead"/>
        <w:rPr>
          <w:rFonts w:ascii="Montserrat" w:hAnsi="Montserrat"/>
        </w:rPr>
      </w:pPr>
      <w:r w:rsidRPr="004F0899">
        <w:rPr>
          <w:rFonts w:ascii="Montserrat" w:hAnsi="Montserrat"/>
        </w:rPr>
        <w:lastRenderedPageBreak/>
        <w:t xml:space="preserve">NGA ĪHIRANGI  </w:t>
      </w:r>
      <w:r w:rsidR="002A4216" w:rsidRPr="004F0899">
        <w:rPr>
          <w:rFonts w:ascii="Montserrat" w:hAnsi="Montserrat"/>
        </w:rPr>
        <w:t xml:space="preserve">            </w:t>
      </w:r>
      <w:r w:rsidR="00C86248" w:rsidRPr="004F0899">
        <w:rPr>
          <w:rFonts w:ascii="Montserrat" w:hAnsi="Montserrat"/>
          <w:color w:val="0AB58F"/>
        </w:rPr>
        <w:t>Contents</w:t>
      </w:r>
      <w:bookmarkEnd w:id="2"/>
      <w:bookmarkEnd w:id="3"/>
    </w:p>
    <w:p w14:paraId="6B3A22FD" w14:textId="42A1A8A5" w:rsidR="00843F3C" w:rsidRDefault="008452B8">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101618140" w:history="1">
        <w:r w:rsidR="00843F3C" w:rsidRPr="0040446F">
          <w:rPr>
            <w:rStyle w:val="Hyperlink"/>
            <w:rFonts w:ascii="Montserrat" w:hAnsi="Montserrat"/>
            <w:noProof/>
          </w:rPr>
          <w:t>HE KUPU TAKAMUA</w:t>
        </w:r>
        <w:r w:rsidR="00087D1B">
          <w:rPr>
            <w:rStyle w:val="Hyperlink"/>
            <w:rFonts w:ascii="Montserrat" w:hAnsi="Montserrat"/>
            <w:noProof/>
          </w:rPr>
          <w:t xml:space="preserve"> </w:t>
        </w:r>
        <w:r w:rsidR="00087D1B">
          <w:rPr>
            <w:rStyle w:val="Hyperlink"/>
            <w:rFonts w:ascii="Montserrat" w:hAnsi="Montserrat"/>
            <w:noProof/>
          </w:rPr>
          <w:sym w:font="Symbol" w:char="F07C"/>
        </w:r>
        <w:r w:rsidR="00087D1B">
          <w:rPr>
            <w:rStyle w:val="Hyperlink"/>
            <w:rFonts w:ascii="Montserrat" w:hAnsi="Montserrat"/>
            <w:noProof/>
          </w:rPr>
          <w:t xml:space="preserve"> </w:t>
        </w:r>
        <w:r w:rsidR="00843F3C" w:rsidRPr="0040446F">
          <w:rPr>
            <w:rStyle w:val="Hyperlink"/>
            <w:rFonts w:ascii="Montserrat" w:hAnsi="Montserrat"/>
            <w:noProof/>
          </w:rPr>
          <w:t>FOREWORD</w:t>
        </w:r>
        <w:r w:rsidR="00843F3C">
          <w:rPr>
            <w:noProof/>
            <w:webHidden/>
          </w:rPr>
          <w:tab/>
        </w:r>
        <w:r w:rsidR="00843F3C">
          <w:rPr>
            <w:noProof/>
            <w:webHidden/>
          </w:rPr>
          <w:fldChar w:fldCharType="begin"/>
        </w:r>
        <w:r w:rsidR="00843F3C">
          <w:rPr>
            <w:noProof/>
            <w:webHidden/>
          </w:rPr>
          <w:instrText xml:space="preserve"> PAGEREF _Toc101618140 \h </w:instrText>
        </w:r>
        <w:r w:rsidR="00843F3C">
          <w:rPr>
            <w:noProof/>
            <w:webHidden/>
          </w:rPr>
        </w:r>
        <w:r w:rsidR="00843F3C">
          <w:rPr>
            <w:noProof/>
            <w:webHidden/>
          </w:rPr>
          <w:fldChar w:fldCharType="separate"/>
        </w:r>
        <w:r w:rsidR="00843F3C">
          <w:rPr>
            <w:noProof/>
            <w:webHidden/>
          </w:rPr>
          <w:t>iii</w:t>
        </w:r>
        <w:r w:rsidR="00843F3C">
          <w:rPr>
            <w:noProof/>
            <w:webHidden/>
          </w:rPr>
          <w:fldChar w:fldCharType="end"/>
        </w:r>
      </w:hyperlink>
    </w:p>
    <w:p w14:paraId="305D4503" w14:textId="0D44BD15" w:rsidR="00843F3C" w:rsidRDefault="0056499C">
      <w:pPr>
        <w:pStyle w:val="TOC1"/>
        <w:rPr>
          <w:rFonts w:asciiTheme="minorHAnsi" w:eastAsiaTheme="minorEastAsia" w:hAnsiTheme="minorHAnsi" w:cstheme="minorBidi"/>
          <w:noProof/>
          <w:sz w:val="22"/>
          <w:szCs w:val="22"/>
          <w:lang w:eastAsia="en-NZ"/>
        </w:rPr>
      </w:pPr>
      <w:hyperlink w:anchor="_Toc101618141" w:history="1">
        <w:r w:rsidR="00843F3C" w:rsidRPr="0040446F">
          <w:rPr>
            <w:rStyle w:val="Hyperlink"/>
            <w:rFonts w:ascii="Montserrat" w:hAnsi="Montserrat"/>
            <w:noProof/>
            <w:lang w:eastAsia="en-NZ"/>
          </w:rPr>
          <w:t>NGĀ MIHI</w:t>
        </w:r>
        <w:r w:rsidR="00087D1B">
          <w:rPr>
            <w:rStyle w:val="Hyperlink"/>
            <w:rFonts w:ascii="Montserrat" w:hAnsi="Montserrat"/>
            <w:noProof/>
            <w:lang w:eastAsia="en-NZ"/>
          </w:rPr>
          <w:t xml:space="preserve"> </w:t>
        </w:r>
        <w:r w:rsidR="00087D1B">
          <w:rPr>
            <w:rStyle w:val="Hyperlink"/>
            <w:rFonts w:ascii="Montserrat" w:hAnsi="Montserrat"/>
            <w:noProof/>
            <w:lang w:eastAsia="en-NZ"/>
          </w:rPr>
          <w:sym w:font="Symbol" w:char="F07C"/>
        </w:r>
        <w:r w:rsidR="00843F3C" w:rsidRPr="0040446F">
          <w:rPr>
            <w:rStyle w:val="Hyperlink"/>
            <w:rFonts w:ascii="Montserrat" w:hAnsi="Montserrat"/>
            <w:noProof/>
            <w:lang w:eastAsia="en-NZ"/>
          </w:rPr>
          <w:t xml:space="preserve"> ACKNOWLEDGEMENTS</w:t>
        </w:r>
        <w:r w:rsidR="00843F3C">
          <w:rPr>
            <w:noProof/>
            <w:webHidden/>
          </w:rPr>
          <w:tab/>
        </w:r>
        <w:r w:rsidR="00843F3C">
          <w:rPr>
            <w:noProof/>
            <w:webHidden/>
          </w:rPr>
          <w:fldChar w:fldCharType="begin"/>
        </w:r>
        <w:r w:rsidR="00843F3C">
          <w:rPr>
            <w:noProof/>
            <w:webHidden/>
          </w:rPr>
          <w:instrText xml:space="preserve"> PAGEREF _Toc101618141 \h </w:instrText>
        </w:r>
        <w:r w:rsidR="00843F3C">
          <w:rPr>
            <w:noProof/>
            <w:webHidden/>
          </w:rPr>
        </w:r>
        <w:r w:rsidR="00843F3C">
          <w:rPr>
            <w:noProof/>
            <w:webHidden/>
          </w:rPr>
          <w:fldChar w:fldCharType="separate"/>
        </w:r>
        <w:r w:rsidR="00843F3C">
          <w:rPr>
            <w:noProof/>
            <w:webHidden/>
          </w:rPr>
          <w:t>v</w:t>
        </w:r>
        <w:r w:rsidR="00843F3C">
          <w:rPr>
            <w:noProof/>
            <w:webHidden/>
          </w:rPr>
          <w:fldChar w:fldCharType="end"/>
        </w:r>
      </w:hyperlink>
    </w:p>
    <w:p w14:paraId="052D5CBC" w14:textId="782270A0" w:rsidR="00843F3C" w:rsidRDefault="0056499C">
      <w:pPr>
        <w:pStyle w:val="TOC1"/>
        <w:rPr>
          <w:rFonts w:asciiTheme="minorHAnsi" w:eastAsiaTheme="minorEastAsia" w:hAnsiTheme="minorHAnsi" w:cstheme="minorBidi"/>
          <w:noProof/>
          <w:sz w:val="22"/>
          <w:szCs w:val="22"/>
          <w:lang w:eastAsia="en-NZ"/>
        </w:rPr>
      </w:pPr>
      <w:hyperlink w:anchor="_Toc101618142" w:history="1">
        <w:r w:rsidR="00843F3C" w:rsidRPr="0040446F">
          <w:rPr>
            <w:rStyle w:val="Hyperlink"/>
            <w:rFonts w:ascii="Montserrat" w:hAnsi="Montserrat"/>
            <w:noProof/>
          </w:rPr>
          <w:t>HE WHAKAMĀRAMA</w:t>
        </w:r>
        <w:r w:rsidR="00087D1B">
          <w:rPr>
            <w:rStyle w:val="Hyperlink"/>
            <w:rFonts w:ascii="Montserrat" w:hAnsi="Montserrat"/>
            <w:noProof/>
          </w:rPr>
          <w:t xml:space="preserve"> </w:t>
        </w:r>
        <w:r w:rsidR="00087D1B">
          <w:rPr>
            <w:rStyle w:val="Hyperlink"/>
            <w:rFonts w:ascii="Montserrat" w:hAnsi="Montserrat"/>
            <w:noProof/>
          </w:rPr>
          <w:sym w:font="Symbol" w:char="F07C"/>
        </w:r>
        <w:r w:rsidR="00843F3C" w:rsidRPr="0040446F">
          <w:rPr>
            <w:rStyle w:val="Hyperlink"/>
            <w:rFonts w:ascii="Montserrat" w:hAnsi="Montserrat"/>
            <w:noProof/>
          </w:rPr>
          <w:t xml:space="preserve"> DEFINITIONS</w:t>
        </w:r>
        <w:r w:rsidR="00843F3C">
          <w:rPr>
            <w:noProof/>
            <w:webHidden/>
          </w:rPr>
          <w:tab/>
        </w:r>
        <w:r w:rsidR="00843F3C">
          <w:rPr>
            <w:noProof/>
            <w:webHidden/>
          </w:rPr>
          <w:fldChar w:fldCharType="begin"/>
        </w:r>
        <w:r w:rsidR="00843F3C">
          <w:rPr>
            <w:noProof/>
            <w:webHidden/>
          </w:rPr>
          <w:instrText xml:space="preserve"> PAGEREF _Toc101618142 \h </w:instrText>
        </w:r>
        <w:r w:rsidR="00843F3C">
          <w:rPr>
            <w:noProof/>
            <w:webHidden/>
          </w:rPr>
        </w:r>
        <w:r w:rsidR="00843F3C">
          <w:rPr>
            <w:noProof/>
            <w:webHidden/>
          </w:rPr>
          <w:fldChar w:fldCharType="separate"/>
        </w:r>
        <w:r w:rsidR="00843F3C">
          <w:rPr>
            <w:noProof/>
            <w:webHidden/>
          </w:rPr>
          <w:t>x</w:t>
        </w:r>
        <w:r w:rsidR="00843F3C">
          <w:rPr>
            <w:noProof/>
            <w:webHidden/>
          </w:rPr>
          <w:fldChar w:fldCharType="end"/>
        </w:r>
      </w:hyperlink>
    </w:p>
    <w:p w14:paraId="384B4734" w14:textId="5726D6B5" w:rsidR="00843F3C" w:rsidRDefault="0056499C">
      <w:pPr>
        <w:pStyle w:val="TOC1"/>
        <w:rPr>
          <w:rFonts w:asciiTheme="minorHAnsi" w:eastAsiaTheme="minorEastAsia" w:hAnsiTheme="minorHAnsi" w:cstheme="minorBidi"/>
          <w:noProof/>
          <w:sz w:val="22"/>
          <w:szCs w:val="22"/>
          <w:lang w:eastAsia="en-NZ"/>
        </w:rPr>
      </w:pPr>
      <w:hyperlink w:anchor="_Toc101618143" w:history="1">
        <w:r w:rsidR="00843F3C" w:rsidRPr="0040446F">
          <w:rPr>
            <w:rStyle w:val="Hyperlink"/>
            <w:rFonts w:ascii="Montserrat" w:hAnsi="Montserrat"/>
            <w:noProof/>
          </w:rPr>
          <w:t>HE WHAKARĀPOPOTONGA</w:t>
        </w:r>
        <w:r w:rsidR="00A66575">
          <w:rPr>
            <w:rStyle w:val="Hyperlink"/>
            <w:rFonts w:ascii="Montserrat" w:hAnsi="Montserrat"/>
            <w:noProof/>
          </w:rPr>
          <w:t xml:space="preserve"> </w:t>
        </w:r>
        <w:r w:rsidR="00A66575">
          <w:rPr>
            <w:rStyle w:val="Hyperlink"/>
            <w:rFonts w:ascii="Montserrat" w:hAnsi="Montserrat"/>
            <w:noProof/>
          </w:rPr>
          <w:sym w:font="Symbol" w:char="F07C"/>
        </w:r>
        <w:r w:rsidR="00843F3C" w:rsidRPr="0040446F">
          <w:rPr>
            <w:rStyle w:val="Hyperlink"/>
            <w:rFonts w:ascii="Montserrat" w:hAnsi="Montserrat"/>
            <w:noProof/>
          </w:rPr>
          <w:t xml:space="preserve"> E</w:t>
        </w:r>
        <w:r w:rsidR="00A66575">
          <w:rPr>
            <w:rStyle w:val="Hyperlink"/>
            <w:rFonts w:ascii="Montserrat" w:hAnsi="Montserrat"/>
            <w:noProof/>
          </w:rPr>
          <w:t xml:space="preserve">XECUTIVE SUMMARY </w:t>
        </w:r>
        <w:r w:rsidR="00843F3C">
          <w:rPr>
            <w:noProof/>
            <w:webHidden/>
          </w:rPr>
          <w:tab/>
        </w:r>
        <w:r w:rsidR="00843F3C">
          <w:rPr>
            <w:noProof/>
            <w:webHidden/>
          </w:rPr>
          <w:fldChar w:fldCharType="begin"/>
        </w:r>
        <w:r w:rsidR="00843F3C">
          <w:rPr>
            <w:noProof/>
            <w:webHidden/>
          </w:rPr>
          <w:instrText xml:space="preserve"> PAGEREF _Toc101618143 \h </w:instrText>
        </w:r>
        <w:r w:rsidR="00843F3C">
          <w:rPr>
            <w:noProof/>
            <w:webHidden/>
          </w:rPr>
        </w:r>
        <w:r w:rsidR="00843F3C">
          <w:rPr>
            <w:noProof/>
            <w:webHidden/>
          </w:rPr>
          <w:fldChar w:fldCharType="separate"/>
        </w:r>
        <w:r w:rsidR="00843F3C">
          <w:rPr>
            <w:noProof/>
            <w:webHidden/>
          </w:rPr>
          <w:t>1</w:t>
        </w:r>
        <w:r w:rsidR="00843F3C">
          <w:rPr>
            <w:noProof/>
            <w:webHidden/>
          </w:rPr>
          <w:fldChar w:fldCharType="end"/>
        </w:r>
      </w:hyperlink>
    </w:p>
    <w:p w14:paraId="3AF7647E" w14:textId="3A42A4EE" w:rsidR="00843F3C" w:rsidRDefault="0056499C">
      <w:pPr>
        <w:pStyle w:val="TOC1"/>
        <w:rPr>
          <w:rFonts w:asciiTheme="minorHAnsi" w:eastAsiaTheme="minorEastAsia" w:hAnsiTheme="minorHAnsi" w:cstheme="minorBidi"/>
          <w:noProof/>
          <w:sz w:val="22"/>
          <w:szCs w:val="22"/>
          <w:lang w:eastAsia="en-NZ"/>
        </w:rPr>
      </w:pPr>
      <w:hyperlink w:anchor="_Toc101618144" w:history="1">
        <w:r w:rsidR="00843F3C" w:rsidRPr="0040446F">
          <w:rPr>
            <w:rStyle w:val="Hyperlink"/>
            <w:rFonts w:ascii="Montserrat" w:hAnsi="Montserrat"/>
            <w:noProof/>
          </w:rPr>
          <w:t xml:space="preserve">KŌRERO O MUA </w:t>
        </w:r>
        <w:r w:rsidR="00A66575">
          <w:rPr>
            <w:rStyle w:val="Hyperlink"/>
            <w:rFonts w:ascii="Montserrat" w:hAnsi="Montserrat"/>
            <w:noProof/>
          </w:rPr>
          <w:sym w:font="Symbol" w:char="F07C"/>
        </w:r>
        <w:r w:rsidR="00A66575">
          <w:rPr>
            <w:rStyle w:val="Hyperlink"/>
            <w:rFonts w:ascii="Montserrat" w:hAnsi="Montserrat"/>
            <w:noProof/>
          </w:rPr>
          <w:t xml:space="preserve"> </w:t>
        </w:r>
        <w:r w:rsidR="00843F3C" w:rsidRPr="0040446F">
          <w:rPr>
            <w:rStyle w:val="Hyperlink"/>
            <w:rFonts w:ascii="Montserrat" w:hAnsi="Montserrat"/>
            <w:noProof/>
          </w:rPr>
          <w:t>BACKGROUND –  The opportunities and challenges of cancer medicines</w:t>
        </w:r>
        <w:r w:rsidR="00843F3C">
          <w:rPr>
            <w:noProof/>
            <w:webHidden/>
          </w:rPr>
          <w:tab/>
        </w:r>
        <w:r w:rsidR="00843F3C">
          <w:rPr>
            <w:noProof/>
            <w:webHidden/>
          </w:rPr>
          <w:fldChar w:fldCharType="begin"/>
        </w:r>
        <w:r w:rsidR="00843F3C">
          <w:rPr>
            <w:noProof/>
            <w:webHidden/>
          </w:rPr>
          <w:instrText xml:space="preserve"> PAGEREF _Toc101618144 \h </w:instrText>
        </w:r>
        <w:r w:rsidR="00843F3C">
          <w:rPr>
            <w:noProof/>
            <w:webHidden/>
          </w:rPr>
        </w:r>
        <w:r w:rsidR="00843F3C">
          <w:rPr>
            <w:noProof/>
            <w:webHidden/>
          </w:rPr>
          <w:fldChar w:fldCharType="separate"/>
        </w:r>
        <w:r w:rsidR="00843F3C">
          <w:rPr>
            <w:noProof/>
            <w:webHidden/>
          </w:rPr>
          <w:t>4</w:t>
        </w:r>
        <w:r w:rsidR="00843F3C">
          <w:rPr>
            <w:noProof/>
            <w:webHidden/>
          </w:rPr>
          <w:fldChar w:fldCharType="end"/>
        </w:r>
      </w:hyperlink>
    </w:p>
    <w:p w14:paraId="3FD6FE01" w14:textId="71A1CFB9" w:rsidR="00843F3C" w:rsidRDefault="0056499C">
      <w:pPr>
        <w:pStyle w:val="TOC2"/>
        <w:rPr>
          <w:rFonts w:asciiTheme="minorHAnsi" w:eastAsiaTheme="minorEastAsia" w:hAnsiTheme="minorHAnsi" w:cstheme="minorBidi"/>
          <w:noProof/>
          <w:sz w:val="22"/>
          <w:szCs w:val="22"/>
          <w:lang w:eastAsia="en-NZ"/>
        </w:rPr>
      </w:pPr>
      <w:hyperlink w:anchor="_Toc101618145" w:history="1">
        <w:r w:rsidR="00843F3C" w:rsidRPr="0040446F">
          <w:rPr>
            <w:rStyle w:val="Hyperlink"/>
            <w:noProof/>
          </w:rPr>
          <w:t>Cancer medicines are critical to high</w:t>
        </w:r>
        <w:r w:rsidR="00843F3C" w:rsidRPr="0040446F">
          <w:rPr>
            <w:rStyle w:val="Hyperlink"/>
            <w:noProof/>
          </w:rPr>
          <w:noBreakHyphen/>
          <w:t>quality cancer care</w:t>
        </w:r>
        <w:r w:rsidR="00843F3C">
          <w:rPr>
            <w:noProof/>
            <w:webHidden/>
          </w:rPr>
          <w:tab/>
        </w:r>
        <w:r w:rsidR="00843F3C">
          <w:rPr>
            <w:noProof/>
            <w:webHidden/>
          </w:rPr>
          <w:fldChar w:fldCharType="begin"/>
        </w:r>
        <w:r w:rsidR="00843F3C">
          <w:rPr>
            <w:noProof/>
            <w:webHidden/>
          </w:rPr>
          <w:instrText xml:space="preserve"> PAGEREF _Toc101618145 \h </w:instrText>
        </w:r>
        <w:r w:rsidR="00843F3C">
          <w:rPr>
            <w:noProof/>
            <w:webHidden/>
          </w:rPr>
        </w:r>
        <w:r w:rsidR="00843F3C">
          <w:rPr>
            <w:noProof/>
            <w:webHidden/>
          </w:rPr>
          <w:fldChar w:fldCharType="separate"/>
        </w:r>
        <w:r w:rsidR="00843F3C">
          <w:rPr>
            <w:noProof/>
            <w:webHidden/>
          </w:rPr>
          <w:t>4</w:t>
        </w:r>
        <w:r w:rsidR="00843F3C">
          <w:rPr>
            <w:noProof/>
            <w:webHidden/>
          </w:rPr>
          <w:fldChar w:fldCharType="end"/>
        </w:r>
      </w:hyperlink>
    </w:p>
    <w:p w14:paraId="35DB4A19" w14:textId="3FDE0880" w:rsidR="00843F3C" w:rsidRDefault="0056499C">
      <w:pPr>
        <w:pStyle w:val="TOC2"/>
        <w:rPr>
          <w:rFonts w:asciiTheme="minorHAnsi" w:eastAsiaTheme="minorEastAsia" w:hAnsiTheme="minorHAnsi" w:cstheme="minorBidi"/>
          <w:noProof/>
          <w:sz w:val="22"/>
          <w:szCs w:val="22"/>
          <w:lang w:eastAsia="en-NZ"/>
        </w:rPr>
      </w:pPr>
      <w:hyperlink w:anchor="_Toc101618146" w:history="1">
        <w:r w:rsidR="00843F3C" w:rsidRPr="0040446F">
          <w:rPr>
            <w:rStyle w:val="Hyperlink"/>
            <w:noProof/>
          </w:rPr>
          <w:t>Availability and accessibility of cancer medicines is a challenge in Aotearoa and internationally</w:t>
        </w:r>
        <w:r w:rsidR="00843F3C">
          <w:rPr>
            <w:noProof/>
            <w:webHidden/>
          </w:rPr>
          <w:tab/>
        </w:r>
        <w:r w:rsidR="00843F3C">
          <w:rPr>
            <w:noProof/>
            <w:webHidden/>
          </w:rPr>
          <w:fldChar w:fldCharType="begin"/>
        </w:r>
        <w:r w:rsidR="00843F3C">
          <w:rPr>
            <w:noProof/>
            <w:webHidden/>
          </w:rPr>
          <w:instrText xml:space="preserve"> PAGEREF _Toc101618146 \h </w:instrText>
        </w:r>
        <w:r w:rsidR="00843F3C">
          <w:rPr>
            <w:noProof/>
            <w:webHidden/>
          </w:rPr>
        </w:r>
        <w:r w:rsidR="00843F3C">
          <w:rPr>
            <w:noProof/>
            <w:webHidden/>
          </w:rPr>
          <w:fldChar w:fldCharType="separate"/>
        </w:r>
        <w:r w:rsidR="00843F3C">
          <w:rPr>
            <w:noProof/>
            <w:webHidden/>
          </w:rPr>
          <w:t>5</w:t>
        </w:r>
        <w:r w:rsidR="00843F3C">
          <w:rPr>
            <w:noProof/>
            <w:webHidden/>
          </w:rPr>
          <w:fldChar w:fldCharType="end"/>
        </w:r>
      </w:hyperlink>
    </w:p>
    <w:p w14:paraId="38B683D7" w14:textId="68CD8737" w:rsidR="00843F3C" w:rsidRDefault="0056499C">
      <w:pPr>
        <w:pStyle w:val="TOC2"/>
        <w:rPr>
          <w:rFonts w:asciiTheme="minorHAnsi" w:eastAsiaTheme="minorEastAsia" w:hAnsiTheme="minorHAnsi" w:cstheme="minorBidi"/>
          <w:noProof/>
          <w:sz w:val="22"/>
          <w:szCs w:val="22"/>
          <w:lang w:eastAsia="en-NZ"/>
        </w:rPr>
      </w:pPr>
      <w:hyperlink w:anchor="_Toc101618147" w:history="1">
        <w:r w:rsidR="00843F3C" w:rsidRPr="0040446F">
          <w:rPr>
            <w:rStyle w:val="Hyperlink"/>
            <w:noProof/>
          </w:rPr>
          <w:t>There are some tools to help assess the added clinical benefit of cancer medicines</w:t>
        </w:r>
        <w:r w:rsidR="00843F3C">
          <w:rPr>
            <w:noProof/>
            <w:webHidden/>
          </w:rPr>
          <w:tab/>
        </w:r>
        <w:r w:rsidR="00843F3C">
          <w:rPr>
            <w:noProof/>
            <w:webHidden/>
          </w:rPr>
          <w:fldChar w:fldCharType="begin"/>
        </w:r>
        <w:r w:rsidR="00843F3C">
          <w:rPr>
            <w:noProof/>
            <w:webHidden/>
          </w:rPr>
          <w:instrText xml:space="preserve"> PAGEREF _Toc101618147 \h </w:instrText>
        </w:r>
        <w:r w:rsidR="00843F3C">
          <w:rPr>
            <w:noProof/>
            <w:webHidden/>
          </w:rPr>
        </w:r>
        <w:r w:rsidR="00843F3C">
          <w:rPr>
            <w:noProof/>
            <w:webHidden/>
          </w:rPr>
          <w:fldChar w:fldCharType="separate"/>
        </w:r>
        <w:r w:rsidR="00843F3C">
          <w:rPr>
            <w:noProof/>
            <w:webHidden/>
          </w:rPr>
          <w:t>7</w:t>
        </w:r>
        <w:r w:rsidR="00843F3C">
          <w:rPr>
            <w:noProof/>
            <w:webHidden/>
          </w:rPr>
          <w:fldChar w:fldCharType="end"/>
        </w:r>
      </w:hyperlink>
    </w:p>
    <w:p w14:paraId="4CEC9204" w14:textId="4E2BD26D" w:rsidR="00843F3C" w:rsidRDefault="0056499C">
      <w:pPr>
        <w:pStyle w:val="TOC2"/>
        <w:rPr>
          <w:rFonts w:asciiTheme="minorHAnsi" w:eastAsiaTheme="minorEastAsia" w:hAnsiTheme="minorHAnsi" w:cstheme="minorBidi"/>
          <w:noProof/>
          <w:sz w:val="22"/>
          <w:szCs w:val="22"/>
          <w:lang w:eastAsia="en-NZ"/>
        </w:rPr>
      </w:pPr>
      <w:hyperlink w:anchor="_Toc101618148" w:history="1">
        <w:r w:rsidR="00843F3C" w:rsidRPr="0040446F">
          <w:rPr>
            <w:rStyle w:val="Hyperlink"/>
            <w:rFonts w:eastAsiaTheme="majorEastAsia"/>
            <w:noProof/>
          </w:rPr>
          <w:t>Countries make decisions about the value of cancer medicines differently</w:t>
        </w:r>
        <w:r w:rsidR="00843F3C">
          <w:rPr>
            <w:noProof/>
            <w:webHidden/>
          </w:rPr>
          <w:tab/>
        </w:r>
        <w:r w:rsidR="00843F3C">
          <w:rPr>
            <w:noProof/>
            <w:webHidden/>
          </w:rPr>
          <w:fldChar w:fldCharType="begin"/>
        </w:r>
        <w:r w:rsidR="00843F3C">
          <w:rPr>
            <w:noProof/>
            <w:webHidden/>
          </w:rPr>
          <w:instrText xml:space="preserve"> PAGEREF _Toc101618148 \h </w:instrText>
        </w:r>
        <w:r w:rsidR="00843F3C">
          <w:rPr>
            <w:noProof/>
            <w:webHidden/>
          </w:rPr>
        </w:r>
        <w:r w:rsidR="00843F3C">
          <w:rPr>
            <w:noProof/>
            <w:webHidden/>
          </w:rPr>
          <w:fldChar w:fldCharType="separate"/>
        </w:r>
        <w:r w:rsidR="00843F3C">
          <w:rPr>
            <w:noProof/>
            <w:webHidden/>
          </w:rPr>
          <w:t>9</w:t>
        </w:r>
        <w:r w:rsidR="00843F3C">
          <w:rPr>
            <w:noProof/>
            <w:webHidden/>
          </w:rPr>
          <w:fldChar w:fldCharType="end"/>
        </w:r>
      </w:hyperlink>
    </w:p>
    <w:p w14:paraId="2AAA8529" w14:textId="041E105E" w:rsidR="00843F3C" w:rsidRDefault="0056499C">
      <w:pPr>
        <w:pStyle w:val="TOC2"/>
        <w:rPr>
          <w:rFonts w:asciiTheme="minorHAnsi" w:eastAsiaTheme="minorEastAsia" w:hAnsiTheme="minorHAnsi" w:cstheme="minorBidi"/>
          <w:noProof/>
          <w:sz w:val="22"/>
          <w:szCs w:val="22"/>
          <w:lang w:eastAsia="en-NZ"/>
        </w:rPr>
      </w:pPr>
      <w:hyperlink w:anchor="_Toc101618149" w:history="1">
        <w:r w:rsidR="00843F3C" w:rsidRPr="0040446F">
          <w:rPr>
            <w:rStyle w:val="Hyperlink"/>
            <w:noProof/>
          </w:rPr>
          <w:t>What this analysis sets out to achieve</w:t>
        </w:r>
        <w:r w:rsidR="00843F3C">
          <w:rPr>
            <w:noProof/>
            <w:webHidden/>
          </w:rPr>
          <w:tab/>
        </w:r>
        <w:r w:rsidR="00843F3C">
          <w:rPr>
            <w:noProof/>
            <w:webHidden/>
          </w:rPr>
          <w:fldChar w:fldCharType="begin"/>
        </w:r>
        <w:r w:rsidR="00843F3C">
          <w:rPr>
            <w:noProof/>
            <w:webHidden/>
          </w:rPr>
          <w:instrText xml:space="preserve"> PAGEREF _Toc101618149 \h </w:instrText>
        </w:r>
        <w:r w:rsidR="00843F3C">
          <w:rPr>
            <w:noProof/>
            <w:webHidden/>
          </w:rPr>
        </w:r>
        <w:r w:rsidR="00843F3C">
          <w:rPr>
            <w:noProof/>
            <w:webHidden/>
          </w:rPr>
          <w:fldChar w:fldCharType="separate"/>
        </w:r>
        <w:r w:rsidR="00843F3C">
          <w:rPr>
            <w:noProof/>
            <w:webHidden/>
          </w:rPr>
          <w:t>13</w:t>
        </w:r>
        <w:r w:rsidR="00843F3C">
          <w:rPr>
            <w:noProof/>
            <w:webHidden/>
          </w:rPr>
          <w:fldChar w:fldCharType="end"/>
        </w:r>
      </w:hyperlink>
    </w:p>
    <w:p w14:paraId="6AC34A56" w14:textId="5AED04C4" w:rsidR="00843F3C" w:rsidRDefault="0056499C">
      <w:pPr>
        <w:pStyle w:val="TOC1"/>
        <w:rPr>
          <w:rFonts w:asciiTheme="minorHAnsi" w:eastAsiaTheme="minorEastAsia" w:hAnsiTheme="minorHAnsi" w:cstheme="minorBidi"/>
          <w:noProof/>
          <w:sz w:val="22"/>
          <w:szCs w:val="22"/>
          <w:lang w:eastAsia="en-NZ"/>
        </w:rPr>
      </w:pPr>
      <w:hyperlink w:anchor="_Toc101618150" w:history="1">
        <w:r w:rsidR="00843F3C" w:rsidRPr="0040446F">
          <w:rPr>
            <w:rStyle w:val="Hyperlink"/>
            <w:rFonts w:ascii="Montserrat" w:hAnsi="Montserrat"/>
            <w:noProof/>
          </w:rPr>
          <w:t>NGĀ TUKANGA</w:t>
        </w:r>
        <w:r w:rsidR="00C25681">
          <w:rPr>
            <w:rStyle w:val="Hyperlink"/>
            <w:rFonts w:ascii="Montserrat" w:hAnsi="Montserrat"/>
            <w:noProof/>
          </w:rPr>
          <w:t xml:space="preserve"> </w:t>
        </w:r>
        <w:r w:rsidR="00C25681">
          <w:rPr>
            <w:rStyle w:val="Hyperlink"/>
            <w:rFonts w:ascii="Montserrat" w:hAnsi="Montserrat"/>
            <w:noProof/>
          </w:rPr>
          <w:sym w:font="Symbol" w:char="F07C"/>
        </w:r>
        <w:r w:rsidR="00C25681">
          <w:rPr>
            <w:rStyle w:val="Hyperlink"/>
            <w:rFonts w:ascii="Montserrat" w:hAnsi="Montserrat"/>
            <w:noProof/>
          </w:rPr>
          <w:t xml:space="preserve"> </w:t>
        </w:r>
        <w:r w:rsidR="00843F3C" w:rsidRPr="0040446F">
          <w:rPr>
            <w:rStyle w:val="Hyperlink"/>
            <w:rFonts w:ascii="Montserrat" w:hAnsi="Montserrat"/>
            <w:noProof/>
          </w:rPr>
          <w:t>METHODS</w:t>
        </w:r>
        <w:r w:rsidR="00843F3C">
          <w:rPr>
            <w:noProof/>
            <w:webHidden/>
          </w:rPr>
          <w:tab/>
        </w:r>
        <w:r w:rsidR="00843F3C">
          <w:rPr>
            <w:noProof/>
            <w:webHidden/>
          </w:rPr>
          <w:fldChar w:fldCharType="begin"/>
        </w:r>
        <w:r w:rsidR="00843F3C">
          <w:rPr>
            <w:noProof/>
            <w:webHidden/>
          </w:rPr>
          <w:instrText xml:space="preserve"> PAGEREF _Toc101618150 \h </w:instrText>
        </w:r>
        <w:r w:rsidR="00843F3C">
          <w:rPr>
            <w:noProof/>
            <w:webHidden/>
          </w:rPr>
        </w:r>
        <w:r w:rsidR="00843F3C">
          <w:rPr>
            <w:noProof/>
            <w:webHidden/>
          </w:rPr>
          <w:fldChar w:fldCharType="separate"/>
        </w:r>
        <w:r w:rsidR="00843F3C">
          <w:rPr>
            <w:noProof/>
            <w:webHidden/>
          </w:rPr>
          <w:t>14</w:t>
        </w:r>
        <w:r w:rsidR="00843F3C">
          <w:rPr>
            <w:noProof/>
            <w:webHidden/>
          </w:rPr>
          <w:fldChar w:fldCharType="end"/>
        </w:r>
      </w:hyperlink>
    </w:p>
    <w:p w14:paraId="6107BA47" w14:textId="011FED40" w:rsidR="00843F3C" w:rsidRDefault="0056499C">
      <w:pPr>
        <w:pStyle w:val="TOC2"/>
        <w:rPr>
          <w:rFonts w:asciiTheme="minorHAnsi" w:eastAsiaTheme="minorEastAsia" w:hAnsiTheme="minorHAnsi" w:cstheme="minorBidi"/>
          <w:noProof/>
          <w:sz w:val="22"/>
          <w:szCs w:val="22"/>
          <w:lang w:eastAsia="en-NZ"/>
        </w:rPr>
      </w:pPr>
      <w:hyperlink w:anchor="_Toc101618151" w:history="1">
        <w:r w:rsidR="00843F3C" w:rsidRPr="0040446F">
          <w:rPr>
            <w:rStyle w:val="Hyperlink"/>
            <w:noProof/>
          </w:rPr>
          <w:t>Overview of the analysis</w:t>
        </w:r>
        <w:r w:rsidR="00843F3C">
          <w:rPr>
            <w:noProof/>
            <w:webHidden/>
          </w:rPr>
          <w:tab/>
        </w:r>
        <w:r w:rsidR="00843F3C">
          <w:rPr>
            <w:noProof/>
            <w:webHidden/>
          </w:rPr>
          <w:fldChar w:fldCharType="begin"/>
        </w:r>
        <w:r w:rsidR="00843F3C">
          <w:rPr>
            <w:noProof/>
            <w:webHidden/>
          </w:rPr>
          <w:instrText xml:space="preserve"> PAGEREF _Toc101618151 \h </w:instrText>
        </w:r>
        <w:r w:rsidR="00843F3C">
          <w:rPr>
            <w:noProof/>
            <w:webHidden/>
          </w:rPr>
        </w:r>
        <w:r w:rsidR="00843F3C">
          <w:rPr>
            <w:noProof/>
            <w:webHidden/>
          </w:rPr>
          <w:fldChar w:fldCharType="separate"/>
        </w:r>
        <w:r w:rsidR="00843F3C">
          <w:rPr>
            <w:noProof/>
            <w:webHidden/>
          </w:rPr>
          <w:t>14</w:t>
        </w:r>
        <w:r w:rsidR="00843F3C">
          <w:rPr>
            <w:noProof/>
            <w:webHidden/>
          </w:rPr>
          <w:fldChar w:fldCharType="end"/>
        </w:r>
      </w:hyperlink>
    </w:p>
    <w:p w14:paraId="00822B5C" w14:textId="79CC15A4" w:rsidR="00843F3C" w:rsidRDefault="0056499C">
      <w:pPr>
        <w:pStyle w:val="TOC2"/>
        <w:rPr>
          <w:rFonts w:asciiTheme="minorHAnsi" w:eastAsiaTheme="minorEastAsia" w:hAnsiTheme="minorHAnsi" w:cstheme="minorBidi"/>
          <w:noProof/>
          <w:sz w:val="22"/>
          <w:szCs w:val="22"/>
          <w:lang w:eastAsia="en-NZ"/>
        </w:rPr>
      </w:pPr>
      <w:hyperlink w:anchor="_Toc101618152" w:history="1">
        <w:r w:rsidR="00843F3C" w:rsidRPr="0040446F">
          <w:rPr>
            <w:rStyle w:val="Hyperlink"/>
            <w:noProof/>
          </w:rPr>
          <w:t>Comparison with the World Health Organization’s Essential Medicines List</w:t>
        </w:r>
        <w:r w:rsidR="00843F3C">
          <w:rPr>
            <w:noProof/>
            <w:webHidden/>
          </w:rPr>
          <w:tab/>
        </w:r>
        <w:r w:rsidR="00843F3C">
          <w:rPr>
            <w:noProof/>
            <w:webHidden/>
          </w:rPr>
          <w:fldChar w:fldCharType="begin"/>
        </w:r>
        <w:r w:rsidR="00843F3C">
          <w:rPr>
            <w:noProof/>
            <w:webHidden/>
          </w:rPr>
          <w:instrText xml:space="preserve"> PAGEREF _Toc101618152 \h </w:instrText>
        </w:r>
        <w:r w:rsidR="00843F3C">
          <w:rPr>
            <w:noProof/>
            <w:webHidden/>
          </w:rPr>
        </w:r>
        <w:r w:rsidR="00843F3C">
          <w:rPr>
            <w:noProof/>
            <w:webHidden/>
          </w:rPr>
          <w:fldChar w:fldCharType="separate"/>
        </w:r>
        <w:r w:rsidR="00843F3C">
          <w:rPr>
            <w:noProof/>
            <w:webHidden/>
          </w:rPr>
          <w:t>17</w:t>
        </w:r>
        <w:r w:rsidR="00843F3C">
          <w:rPr>
            <w:noProof/>
            <w:webHidden/>
          </w:rPr>
          <w:fldChar w:fldCharType="end"/>
        </w:r>
      </w:hyperlink>
    </w:p>
    <w:p w14:paraId="1CC61BAD" w14:textId="0F8E2B74" w:rsidR="00843F3C" w:rsidRDefault="0056499C">
      <w:pPr>
        <w:pStyle w:val="TOC2"/>
        <w:rPr>
          <w:rFonts w:asciiTheme="minorHAnsi" w:eastAsiaTheme="minorEastAsia" w:hAnsiTheme="minorHAnsi" w:cstheme="minorBidi"/>
          <w:noProof/>
          <w:sz w:val="22"/>
          <w:szCs w:val="22"/>
          <w:lang w:eastAsia="en-NZ"/>
        </w:rPr>
      </w:pPr>
      <w:hyperlink w:anchor="_Toc101618153" w:history="1">
        <w:r w:rsidR="00843F3C" w:rsidRPr="0040446F">
          <w:rPr>
            <w:rStyle w:val="Hyperlink"/>
            <w:noProof/>
          </w:rPr>
          <w:t>Comparison with Australia’s Pharmaceutical Benefits Scheme</w:t>
        </w:r>
        <w:r w:rsidR="00843F3C">
          <w:rPr>
            <w:noProof/>
            <w:webHidden/>
          </w:rPr>
          <w:tab/>
        </w:r>
        <w:r w:rsidR="00843F3C">
          <w:rPr>
            <w:noProof/>
            <w:webHidden/>
          </w:rPr>
          <w:fldChar w:fldCharType="begin"/>
        </w:r>
        <w:r w:rsidR="00843F3C">
          <w:rPr>
            <w:noProof/>
            <w:webHidden/>
          </w:rPr>
          <w:instrText xml:space="preserve"> PAGEREF _Toc101618153 \h </w:instrText>
        </w:r>
        <w:r w:rsidR="00843F3C">
          <w:rPr>
            <w:noProof/>
            <w:webHidden/>
          </w:rPr>
        </w:r>
        <w:r w:rsidR="00843F3C">
          <w:rPr>
            <w:noProof/>
            <w:webHidden/>
          </w:rPr>
          <w:fldChar w:fldCharType="separate"/>
        </w:r>
        <w:r w:rsidR="00843F3C">
          <w:rPr>
            <w:noProof/>
            <w:webHidden/>
          </w:rPr>
          <w:t>17</w:t>
        </w:r>
        <w:r w:rsidR="00843F3C">
          <w:rPr>
            <w:noProof/>
            <w:webHidden/>
          </w:rPr>
          <w:fldChar w:fldCharType="end"/>
        </w:r>
      </w:hyperlink>
    </w:p>
    <w:p w14:paraId="7720789D" w14:textId="6BC16ADE" w:rsidR="00843F3C" w:rsidRDefault="0056499C">
      <w:pPr>
        <w:pStyle w:val="TOC2"/>
        <w:rPr>
          <w:rFonts w:asciiTheme="minorHAnsi" w:eastAsiaTheme="minorEastAsia" w:hAnsiTheme="minorHAnsi" w:cstheme="minorBidi"/>
          <w:noProof/>
          <w:sz w:val="22"/>
          <w:szCs w:val="22"/>
          <w:lang w:eastAsia="en-NZ"/>
        </w:rPr>
      </w:pPr>
      <w:hyperlink w:anchor="_Toc101618154" w:history="1">
        <w:r w:rsidR="00843F3C" w:rsidRPr="0040446F">
          <w:rPr>
            <w:rStyle w:val="Hyperlink"/>
            <w:noProof/>
            <w:lang w:eastAsia="en-NZ"/>
          </w:rPr>
          <w:t>Comparison with Ontario, Canada</w:t>
        </w:r>
        <w:r w:rsidR="00843F3C">
          <w:rPr>
            <w:noProof/>
            <w:webHidden/>
          </w:rPr>
          <w:tab/>
        </w:r>
        <w:r w:rsidR="00843F3C">
          <w:rPr>
            <w:noProof/>
            <w:webHidden/>
          </w:rPr>
          <w:fldChar w:fldCharType="begin"/>
        </w:r>
        <w:r w:rsidR="00843F3C">
          <w:rPr>
            <w:noProof/>
            <w:webHidden/>
          </w:rPr>
          <w:instrText xml:space="preserve"> PAGEREF _Toc101618154 \h </w:instrText>
        </w:r>
        <w:r w:rsidR="00843F3C">
          <w:rPr>
            <w:noProof/>
            <w:webHidden/>
          </w:rPr>
        </w:r>
        <w:r w:rsidR="00843F3C">
          <w:rPr>
            <w:noProof/>
            <w:webHidden/>
          </w:rPr>
          <w:fldChar w:fldCharType="separate"/>
        </w:r>
        <w:r w:rsidR="00843F3C">
          <w:rPr>
            <w:noProof/>
            <w:webHidden/>
          </w:rPr>
          <w:t>21</w:t>
        </w:r>
        <w:r w:rsidR="00843F3C">
          <w:rPr>
            <w:noProof/>
            <w:webHidden/>
          </w:rPr>
          <w:fldChar w:fldCharType="end"/>
        </w:r>
      </w:hyperlink>
    </w:p>
    <w:p w14:paraId="33C0104A" w14:textId="1D56E919" w:rsidR="00843F3C" w:rsidRDefault="0056499C">
      <w:pPr>
        <w:pStyle w:val="TOC1"/>
        <w:rPr>
          <w:rFonts w:asciiTheme="minorHAnsi" w:eastAsiaTheme="minorEastAsia" w:hAnsiTheme="minorHAnsi" w:cstheme="minorBidi"/>
          <w:noProof/>
          <w:sz w:val="22"/>
          <w:szCs w:val="22"/>
          <w:lang w:eastAsia="en-NZ"/>
        </w:rPr>
      </w:pPr>
      <w:hyperlink w:anchor="_Toc101618155" w:history="1">
        <w:r w:rsidR="00843F3C" w:rsidRPr="0040446F">
          <w:rPr>
            <w:rStyle w:val="Hyperlink"/>
            <w:rFonts w:ascii="Montserrat" w:hAnsi="Montserrat"/>
            <w:noProof/>
          </w:rPr>
          <w:t xml:space="preserve">NGĀ HUA </w:t>
        </w:r>
        <w:r w:rsidR="00C25681">
          <w:rPr>
            <w:rStyle w:val="Hyperlink"/>
            <w:rFonts w:ascii="Montserrat" w:hAnsi="Montserrat"/>
            <w:noProof/>
          </w:rPr>
          <w:sym w:font="Symbol" w:char="F07C"/>
        </w:r>
        <w:r w:rsidR="00C25681">
          <w:rPr>
            <w:rStyle w:val="Hyperlink"/>
            <w:rFonts w:ascii="Montserrat" w:hAnsi="Montserrat"/>
            <w:noProof/>
          </w:rPr>
          <w:t xml:space="preserve"> </w:t>
        </w:r>
        <w:r w:rsidR="00843F3C" w:rsidRPr="0040446F">
          <w:rPr>
            <w:rStyle w:val="Hyperlink"/>
            <w:rFonts w:ascii="Montserrat" w:hAnsi="Montserrat"/>
            <w:noProof/>
          </w:rPr>
          <w:t>RESULTS</w:t>
        </w:r>
        <w:r w:rsidR="00843F3C">
          <w:rPr>
            <w:noProof/>
            <w:webHidden/>
          </w:rPr>
          <w:tab/>
        </w:r>
        <w:r w:rsidR="00843F3C">
          <w:rPr>
            <w:noProof/>
            <w:webHidden/>
          </w:rPr>
          <w:fldChar w:fldCharType="begin"/>
        </w:r>
        <w:r w:rsidR="00843F3C">
          <w:rPr>
            <w:noProof/>
            <w:webHidden/>
          </w:rPr>
          <w:instrText xml:space="preserve"> PAGEREF _Toc101618155 \h </w:instrText>
        </w:r>
        <w:r w:rsidR="00843F3C">
          <w:rPr>
            <w:noProof/>
            <w:webHidden/>
          </w:rPr>
        </w:r>
        <w:r w:rsidR="00843F3C">
          <w:rPr>
            <w:noProof/>
            <w:webHidden/>
          </w:rPr>
          <w:fldChar w:fldCharType="separate"/>
        </w:r>
        <w:r w:rsidR="00843F3C">
          <w:rPr>
            <w:noProof/>
            <w:webHidden/>
          </w:rPr>
          <w:t>22</w:t>
        </w:r>
        <w:r w:rsidR="00843F3C">
          <w:rPr>
            <w:noProof/>
            <w:webHidden/>
          </w:rPr>
          <w:fldChar w:fldCharType="end"/>
        </w:r>
      </w:hyperlink>
    </w:p>
    <w:p w14:paraId="6A3DC2AB" w14:textId="1DDC5120" w:rsidR="00843F3C" w:rsidRDefault="0056499C">
      <w:pPr>
        <w:pStyle w:val="TOC2"/>
        <w:rPr>
          <w:rFonts w:asciiTheme="minorHAnsi" w:eastAsiaTheme="minorEastAsia" w:hAnsiTheme="minorHAnsi" w:cstheme="minorBidi"/>
          <w:noProof/>
          <w:sz w:val="22"/>
          <w:szCs w:val="22"/>
          <w:lang w:eastAsia="en-NZ"/>
        </w:rPr>
      </w:pPr>
      <w:hyperlink w:anchor="_Toc101618156" w:history="1">
        <w:r w:rsidR="00843F3C" w:rsidRPr="0040446F">
          <w:rPr>
            <w:rStyle w:val="Hyperlink"/>
            <w:noProof/>
          </w:rPr>
          <w:t>Comparison with the World Health Organization’s Essential Medicines List</w:t>
        </w:r>
        <w:r w:rsidR="00843F3C">
          <w:rPr>
            <w:noProof/>
            <w:webHidden/>
          </w:rPr>
          <w:tab/>
        </w:r>
        <w:r w:rsidR="00843F3C">
          <w:rPr>
            <w:noProof/>
            <w:webHidden/>
          </w:rPr>
          <w:fldChar w:fldCharType="begin"/>
        </w:r>
        <w:r w:rsidR="00843F3C">
          <w:rPr>
            <w:noProof/>
            <w:webHidden/>
          </w:rPr>
          <w:instrText xml:space="preserve"> PAGEREF _Toc101618156 \h </w:instrText>
        </w:r>
        <w:r w:rsidR="00843F3C">
          <w:rPr>
            <w:noProof/>
            <w:webHidden/>
          </w:rPr>
        </w:r>
        <w:r w:rsidR="00843F3C">
          <w:rPr>
            <w:noProof/>
            <w:webHidden/>
          </w:rPr>
          <w:fldChar w:fldCharType="separate"/>
        </w:r>
        <w:r w:rsidR="00843F3C">
          <w:rPr>
            <w:noProof/>
            <w:webHidden/>
          </w:rPr>
          <w:t>22</w:t>
        </w:r>
        <w:r w:rsidR="00843F3C">
          <w:rPr>
            <w:noProof/>
            <w:webHidden/>
          </w:rPr>
          <w:fldChar w:fldCharType="end"/>
        </w:r>
      </w:hyperlink>
    </w:p>
    <w:p w14:paraId="5E620784" w14:textId="22977AF2" w:rsidR="00843F3C" w:rsidRDefault="0056499C">
      <w:pPr>
        <w:pStyle w:val="TOC2"/>
        <w:rPr>
          <w:rFonts w:asciiTheme="minorHAnsi" w:eastAsiaTheme="minorEastAsia" w:hAnsiTheme="minorHAnsi" w:cstheme="minorBidi"/>
          <w:noProof/>
          <w:sz w:val="22"/>
          <w:szCs w:val="22"/>
          <w:lang w:eastAsia="en-NZ"/>
        </w:rPr>
      </w:pPr>
      <w:hyperlink w:anchor="_Toc101618157" w:history="1">
        <w:r w:rsidR="00843F3C" w:rsidRPr="0040446F">
          <w:rPr>
            <w:rStyle w:val="Hyperlink"/>
            <w:noProof/>
          </w:rPr>
          <w:t>Comparison with Australia’s Pharmaceutical Benefits Scheme</w:t>
        </w:r>
        <w:r w:rsidR="00843F3C">
          <w:rPr>
            <w:noProof/>
            <w:webHidden/>
          </w:rPr>
          <w:tab/>
        </w:r>
        <w:r w:rsidR="00843F3C">
          <w:rPr>
            <w:noProof/>
            <w:webHidden/>
          </w:rPr>
          <w:fldChar w:fldCharType="begin"/>
        </w:r>
        <w:r w:rsidR="00843F3C">
          <w:rPr>
            <w:noProof/>
            <w:webHidden/>
          </w:rPr>
          <w:instrText xml:space="preserve"> PAGEREF _Toc101618157 \h </w:instrText>
        </w:r>
        <w:r w:rsidR="00843F3C">
          <w:rPr>
            <w:noProof/>
            <w:webHidden/>
          </w:rPr>
        </w:r>
        <w:r w:rsidR="00843F3C">
          <w:rPr>
            <w:noProof/>
            <w:webHidden/>
          </w:rPr>
          <w:fldChar w:fldCharType="separate"/>
        </w:r>
        <w:r w:rsidR="00843F3C">
          <w:rPr>
            <w:noProof/>
            <w:webHidden/>
          </w:rPr>
          <w:t>22</w:t>
        </w:r>
        <w:r w:rsidR="00843F3C">
          <w:rPr>
            <w:noProof/>
            <w:webHidden/>
          </w:rPr>
          <w:fldChar w:fldCharType="end"/>
        </w:r>
      </w:hyperlink>
    </w:p>
    <w:p w14:paraId="71C73448" w14:textId="1D4CDC47" w:rsidR="00843F3C" w:rsidRDefault="0056499C">
      <w:pPr>
        <w:pStyle w:val="TOC2"/>
        <w:rPr>
          <w:rFonts w:asciiTheme="minorHAnsi" w:eastAsiaTheme="minorEastAsia" w:hAnsiTheme="minorHAnsi" w:cstheme="minorBidi"/>
          <w:noProof/>
          <w:sz w:val="22"/>
          <w:szCs w:val="22"/>
          <w:lang w:eastAsia="en-NZ"/>
        </w:rPr>
      </w:pPr>
      <w:hyperlink w:anchor="_Toc101618158" w:history="1">
        <w:r w:rsidR="00843F3C" w:rsidRPr="0040446F">
          <w:rPr>
            <w:rStyle w:val="Hyperlink"/>
            <w:rFonts w:eastAsiaTheme="majorEastAsia"/>
            <w:noProof/>
          </w:rPr>
          <w:t>Comparison with Ontario, Canada</w:t>
        </w:r>
        <w:r w:rsidR="00843F3C">
          <w:rPr>
            <w:noProof/>
            <w:webHidden/>
          </w:rPr>
          <w:tab/>
        </w:r>
        <w:r w:rsidR="00843F3C">
          <w:rPr>
            <w:noProof/>
            <w:webHidden/>
          </w:rPr>
          <w:fldChar w:fldCharType="begin"/>
        </w:r>
        <w:r w:rsidR="00843F3C">
          <w:rPr>
            <w:noProof/>
            <w:webHidden/>
          </w:rPr>
          <w:instrText xml:space="preserve"> PAGEREF _Toc101618158 \h </w:instrText>
        </w:r>
        <w:r w:rsidR="00843F3C">
          <w:rPr>
            <w:noProof/>
            <w:webHidden/>
          </w:rPr>
        </w:r>
        <w:r w:rsidR="00843F3C">
          <w:rPr>
            <w:noProof/>
            <w:webHidden/>
          </w:rPr>
          <w:fldChar w:fldCharType="separate"/>
        </w:r>
        <w:r w:rsidR="00843F3C">
          <w:rPr>
            <w:noProof/>
            <w:webHidden/>
          </w:rPr>
          <w:t>36</w:t>
        </w:r>
        <w:r w:rsidR="00843F3C">
          <w:rPr>
            <w:noProof/>
            <w:webHidden/>
          </w:rPr>
          <w:fldChar w:fldCharType="end"/>
        </w:r>
      </w:hyperlink>
    </w:p>
    <w:p w14:paraId="022DAC7D" w14:textId="6BF612DC" w:rsidR="00843F3C" w:rsidRDefault="0056499C">
      <w:pPr>
        <w:pStyle w:val="TOC1"/>
        <w:rPr>
          <w:rFonts w:asciiTheme="minorHAnsi" w:eastAsiaTheme="minorEastAsia" w:hAnsiTheme="minorHAnsi" w:cstheme="minorBidi"/>
          <w:noProof/>
          <w:sz w:val="22"/>
          <w:szCs w:val="22"/>
          <w:lang w:eastAsia="en-NZ"/>
        </w:rPr>
      </w:pPr>
      <w:hyperlink w:anchor="_Toc101618159" w:history="1">
        <w:r w:rsidR="00843F3C" w:rsidRPr="0040446F">
          <w:rPr>
            <w:rStyle w:val="Hyperlink"/>
            <w:rFonts w:ascii="Montserrat" w:hAnsi="Montserrat"/>
            <w:noProof/>
          </w:rPr>
          <w:t xml:space="preserve">HE KŌRERO </w:t>
        </w:r>
        <w:r w:rsidR="00C25681">
          <w:rPr>
            <w:rStyle w:val="Hyperlink"/>
            <w:rFonts w:ascii="Montserrat" w:hAnsi="Montserrat"/>
            <w:noProof/>
          </w:rPr>
          <w:sym w:font="Symbol" w:char="F07C"/>
        </w:r>
        <w:r w:rsidR="00C25681">
          <w:rPr>
            <w:rStyle w:val="Hyperlink"/>
            <w:rFonts w:ascii="Montserrat" w:hAnsi="Montserrat"/>
            <w:noProof/>
          </w:rPr>
          <w:t xml:space="preserve"> </w:t>
        </w:r>
        <w:r w:rsidR="00843F3C" w:rsidRPr="0040446F">
          <w:rPr>
            <w:rStyle w:val="Hyperlink"/>
            <w:rFonts w:ascii="Montserrat" w:hAnsi="Montserrat"/>
            <w:noProof/>
          </w:rPr>
          <w:t>DISCUSSION</w:t>
        </w:r>
        <w:r w:rsidR="00843F3C">
          <w:rPr>
            <w:noProof/>
            <w:webHidden/>
          </w:rPr>
          <w:tab/>
        </w:r>
        <w:r w:rsidR="00843F3C">
          <w:rPr>
            <w:noProof/>
            <w:webHidden/>
          </w:rPr>
          <w:fldChar w:fldCharType="begin"/>
        </w:r>
        <w:r w:rsidR="00843F3C">
          <w:rPr>
            <w:noProof/>
            <w:webHidden/>
          </w:rPr>
          <w:instrText xml:space="preserve"> PAGEREF _Toc101618159 \h </w:instrText>
        </w:r>
        <w:r w:rsidR="00843F3C">
          <w:rPr>
            <w:noProof/>
            <w:webHidden/>
          </w:rPr>
        </w:r>
        <w:r w:rsidR="00843F3C">
          <w:rPr>
            <w:noProof/>
            <w:webHidden/>
          </w:rPr>
          <w:fldChar w:fldCharType="separate"/>
        </w:r>
        <w:r w:rsidR="00843F3C">
          <w:rPr>
            <w:noProof/>
            <w:webHidden/>
          </w:rPr>
          <w:t>37</w:t>
        </w:r>
        <w:r w:rsidR="00843F3C">
          <w:rPr>
            <w:noProof/>
            <w:webHidden/>
          </w:rPr>
          <w:fldChar w:fldCharType="end"/>
        </w:r>
      </w:hyperlink>
    </w:p>
    <w:p w14:paraId="2D3EF47A" w14:textId="539A1A56" w:rsidR="00843F3C" w:rsidRDefault="0056499C">
      <w:pPr>
        <w:pStyle w:val="TOC2"/>
        <w:rPr>
          <w:rFonts w:asciiTheme="minorHAnsi" w:eastAsiaTheme="minorEastAsia" w:hAnsiTheme="minorHAnsi" w:cstheme="minorBidi"/>
          <w:noProof/>
          <w:sz w:val="22"/>
          <w:szCs w:val="22"/>
          <w:lang w:eastAsia="en-NZ"/>
        </w:rPr>
      </w:pPr>
      <w:hyperlink w:anchor="_Toc101618160" w:history="1">
        <w:r w:rsidR="00843F3C" w:rsidRPr="0040446F">
          <w:rPr>
            <w:rStyle w:val="Hyperlink"/>
            <w:noProof/>
          </w:rPr>
          <w:t>Summary of main findings</w:t>
        </w:r>
        <w:r w:rsidR="00843F3C">
          <w:rPr>
            <w:noProof/>
            <w:webHidden/>
          </w:rPr>
          <w:tab/>
        </w:r>
        <w:r w:rsidR="00843F3C">
          <w:rPr>
            <w:noProof/>
            <w:webHidden/>
          </w:rPr>
          <w:fldChar w:fldCharType="begin"/>
        </w:r>
        <w:r w:rsidR="00843F3C">
          <w:rPr>
            <w:noProof/>
            <w:webHidden/>
          </w:rPr>
          <w:instrText xml:space="preserve"> PAGEREF _Toc101618160 \h </w:instrText>
        </w:r>
        <w:r w:rsidR="00843F3C">
          <w:rPr>
            <w:noProof/>
            <w:webHidden/>
          </w:rPr>
        </w:r>
        <w:r w:rsidR="00843F3C">
          <w:rPr>
            <w:noProof/>
            <w:webHidden/>
          </w:rPr>
          <w:fldChar w:fldCharType="separate"/>
        </w:r>
        <w:r w:rsidR="00843F3C">
          <w:rPr>
            <w:noProof/>
            <w:webHidden/>
          </w:rPr>
          <w:t>37</w:t>
        </w:r>
        <w:r w:rsidR="00843F3C">
          <w:rPr>
            <w:noProof/>
            <w:webHidden/>
          </w:rPr>
          <w:fldChar w:fldCharType="end"/>
        </w:r>
      </w:hyperlink>
    </w:p>
    <w:p w14:paraId="6335C795" w14:textId="5EA9CC63" w:rsidR="00843F3C" w:rsidRDefault="0056499C">
      <w:pPr>
        <w:pStyle w:val="TOC2"/>
        <w:rPr>
          <w:rFonts w:asciiTheme="minorHAnsi" w:eastAsiaTheme="minorEastAsia" w:hAnsiTheme="minorHAnsi" w:cstheme="minorBidi"/>
          <w:noProof/>
          <w:sz w:val="22"/>
          <w:szCs w:val="22"/>
          <w:lang w:eastAsia="en-NZ"/>
        </w:rPr>
      </w:pPr>
      <w:hyperlink w:anchor="_Toc101618161" w:history="1">
        <w:r w:rsidR="00843F3C" w:rsidRPr="0040446F">
          <w:rPr>
            <w:rStyle w:val="Hyperlink"/>
            <w:noProof/>
          </w:rPr>
          <w:t>Context matters for gaps in cancer medicine funding</w:t>
        </w:r>
        <w:r w:rsidR="00843F3C">
          <w:rPr>
            <w:noProof/>
            <w:webHidden/>
          </w:rPr>
          <w:tab/>
        </w:r>
        <w:r w:rsidR="00843F3C">
          <w:rPr>
            <w:noProof/>
            <w:webHidden/>
          </w:rPr>
          <w:fldChar w:fldCharType="begin"/>
        </w:r>
        <w:r w:rsidR="00843F3C">
          <w:rPr>
            <w:noProof/>
            <w:webHidden/>
          </w:rPr>
          <w:instrText xml:space="preserve"> PAGEREF _Toc101618161 \h </w:instrText>
        </w:r>
        <w:r w:rsidR="00843F3C">
          <w:rPr>
            <w:noProof/>
            <w:webHidden/>
          </w:rPr>
        </w:r>
        <w:r w:rsidR="00843F3C">
          <w:rPr>
            <w:noProof/>
            <w:webHidden/>
          </w:rPr>
          <w:fldChar w:fldCharType="separate"/>
        </w:r>
        <w:r w:rsidR="00843F3C">
          <w:rPr>
            <w:noProof/>
            <w:webHidden/>
          </w:rPr>
          <w:t>38</w:t>
        </w:r>
        <w:r w:rsidR="00843F3C">
          <w:rPr>
            <w:noProof/>
            <w:webHidden/>
          </w:rPr>
          <w:fldChar w:fldCharType="end"/>
        </w:r>
      </w:hyperlink>
    </w:p>
    <w:p w14:paraId="2136991D" w14:textId="12B4B1D7" w:rsidR="00843F3C" w:rsidRDefault="0056499C">
      <w:pPr>
        <w:pStyle w:val="TOC2"/>
        <w:rPr>
          <w:rFonts w:asciiTheme="minorHAnsi" w:eastAsiaTheme="minorEastAsia" w:hAnsiTheme="minorHAnsi" w:cstheme="minorBidi"/>
          <w:noProof/>
          <w:sz w:val="22"/>
          <w:szCs w:val="22"/>
          <w:lang w:eastAsia="en-NZ"/>
        </w:rPr>
      </w:pPr>
      <w:hyperlink w:anchor="_Toc101618162" w:history="1">
        <w:r w:rsidR="00843F3C" w:rsidRPr="0040446F">
          <w:rPr>
            <w:rStyle w:val="Hyperlink"/>
            <w:noProof/>
          </w:rPr>
          <w:t>Te Tiriti o Waitangi responsibilities and cancer medicines</w:t>
        </w:r>
        <w:r w:rsidR="00843F3C">
          <w:rPr>
            <w:noProof/>
            <w:webHidden/>
          </w:rPr>
          <w:tab/>
        </w:r>
        <w:r w:rsidR="00843F3C">
          <w:rPr>
            <w:noProof/>
            <w:webHidden/>
          </w:rPr>
          <w:fldChar w:fldCharType="begin"/>
        </w:r>
        <w:r w:rsidR="00843F3C">
          <w:rPr>
            <w:noProof/>
            <w:webHidden/>
          </w:rPr>
          <w:instrText xml:space="preserve"> PAGEREF _Toc101618162 \h </w:instrText>
        </w:r>
        <w:r w:rsidR="00843F3C">
          <w:rPr>
            <w:noProof/>
            <w:webHidden/>
          </w:rPr>
        </w:r>
        <w:r w:rsidR="00843F3C">
          <w:rPr>
            <w:noProof/>
            <w:webHidden/>
          </w:rPr>
          <w:fldChar w:fldCharType="separate"/>
        </w:r>
        <w:r w:rsidR="00843F3C">
          <w:rPr>
            <w:noProof/>
            <w:webHidden/>
          </w:rPr>
          <w:t>39</w:t>
        </w:r>
        <w:r w:rsidR="00843F3C">
          <w:rPr>
            <w:noProof/>
            <w:webHidden/>
          </w:rPr>
          <w:fldChar w:fldCharType="end"/>
        </w:r>
      </w:hyperlink>
    </w:p>
    <w:p w14:paraId="469CBC49" w14:textId="4086D053" w:rsidR="00843F3C" w:rsidRDefault="0056499C">
      <w:pPr>
        <w:pStyle w:val="TOC2"/>
        <w:rPr>
          <w:rFonts w:asciiTheme="minorHAnsi" w:eastAsiaTheme="minorEastAsia" w:hAnsiTheme="minorHAnsi" w:cstheme="minorBidi"/>
          <w:noProof/>
          <w:sz w:val="22"/>
          <w:szCs w:val="22"/>
          <w:lang w:eastAsia="en-NZ"/>
        </w:rPr>
      </w:pPr>
      <w:hyperlink w:anchor="_Toc101618163" w:history="1">
        <w:r w:rsidR="00843F3C" w:rsidRPr="0040446F">
          <w:rPr>
            <w:rStyle w:val="Hyperlink"/>
            <w:noProof/>
          </w:rPr>
          <w:t>Equity considerations for cancer medicines</w:t>
        </w:r>
        <w:r w:rsidR="00843F3C">
          <w:rPr>
            <w:noProof/>
            <w:webHidden/>
          </w:rPr>
          <w:tab/>
        </w:r>
        <w:r w:rsidR="00843F3C">
          <w:rPr>
            <w:noProof/>
            <w:webHidden/>
          </w:rPr>
          <w:fldChar w:fldCharType="begin"/>
        </w:r>
        <w:r w:rsidR="00843F3C">
          <w:rPr>
            <w:noProof/>
            <w:webHidden/>
          </w:rPr>
          <w:instrText xml:space="preserve"> PAGEREF _Toc101618163 \h </w:instrText>
        </w:r>
        <w:r w:rsidR="00843F3C">
          <w:rPr>
            <w:noProof/>
            <w:webHidden/>
          </w:rPr>
        </w:r>
        <w:r w:rsidR="00843F3C">
          <w:rPr>
            <w:noProof/>
            <w:webHidden/>
          </w:rPr>
          <w:fldChar w:fldCharType="separate"/>
        </w:r>
        <w:r w:rsidR="00843F3C">
          <w:rPr>
            <w:noProof/>
            <w:webHidden/>
          </w:rPr>
          <w:t>40</w:t>
        </w:r>
        <w:r w:rsidR="00843F3C">
          <w:rPr>
            <w:noProof/>
            <w:webHidden/>
          </w:rPr>
          <w:fldChar w:fldCharType="end"/>
        </w:r>
      </w:hyperlink>
    </w:p>
    <w:p w14:paraId="05F012B1" w14:textId="4C74FB6E" w:rsidR="00843F3C" w:rsidRDefault="0056499C">
      <w:pPr>
        <w:pStyle w:val="TOC2"/>
        <w:rPr>
          <w:rFonts w:asciiTheme="minorHAnsi" w:eastAsiaTheme="minorEastAsia" w:hAnsiTheme="minorHAnsi" w:cstheme="minorBidi"/>
          <w:noProof/>
          <w:sz w:val="22"/>
          <w:szCs w:val="22"/>
          <w:lang w:eastAsia="en-NZ"/>
        </w:rPr>
      </w:pPr>
      <w:hyperlink w:anchor="_Toc101618164" w:history="1">
        <w:r w:rsidR="00843F3C" w:rsidRPr="0040446F">
          <w:rPr>
            <w:rStyle w:val="Hyperlink"/>
            <w:noProof/>
          </w:rPr>
          <w:t>Cancer medicines must be accessible, and availability is not a guarantee of accessibility</w:t>
        </w:r>
        <w:r w:rsidR="00843F3C">
          <w:rPr>
            <w:noProof/>
            <w:webHidden/>
          </w:rPr>
          <w:tab/>
        </w:r>
        <w:r w:rsidR="00843F3C">
          <w:rPr>
            <w:noProof/>
            <w:webHidden/>
          </w:rPr>
          <w:fldChar w:fldCharType="begin"/>
        </w:r>
        <w:r w:rsidR="00843F3C">
          <w:rPr>
            <w:noProof/>
            <w:webHidden/>
          </w:rPr>
          <w:instrText xml:space="preserve"> PAGEREF _Toc101618164 \h </w:instrText>
        </w:r>
        <w:r w:rsidR="00843F3C">
          <w:rPr>
            <w:noProof/>
            <w:webHidden/>
          </w:rPr>
        </w:r>
        <w:r w:rsidR="00843F3C">
          <w:rPr>
            <w:noProof/>
            <w:webHidden/>
          </w:rPr>
          <w:fldChar w:fldCharType="separate"/>
        </w:r>
        <w:r w:rsidR="00843F3C">
          <w:rPr>
            <w:noProof/>
            <w:webHidden/>
          </w:rPr>
          <w:t>41</w:t>
        </w:r>
        <w:r w:rsidR="00843F3C">
          <w:rPr>
            <w:noProof/>
            <w:webHidden/>
          </w:rPr>
          <w:fldChar w:fldCharType="end"/>
        </w:r>
      </w:hyperlink>
    </w:p>
    <w:p w14:paraId="6609BF6E" w14:textId="7E8959FA" w:rsidR="00843F3C" w:rsidRDefault="0056499C">
      <w:pPr>
        <w:pStyle w:val="TOC2"/>
        <w:rPr>
          <w:rFonts w:asciiTheme="minorHAnsi" w:eastAsiaTheme="minorEastAsia" w:hAnsiTheme="minorHAnsi" w:cstheme="minorBidi"/>
          <w:noProof/>
          <w:sz w:val="22"/>
          <w:szCs w:val="22"/>
          <w:lang w:eastAsia="en-NZ"/>
        </w:rPr>
      </w:pPr>
      <w:hyperlink w:anchor="_Toc101618165" w:history="1">
        <w:r w:rsidR="00843F3C" w:rsidRPr="0040446F">
          <w:rPr>
            <w:rStyle w:val="Hyperlink"/>
            <w:noProof/>
          </w:rPr>
          <w:t>Implementation of cancer medicines once funded</w:t>
        </w:r>
        <w:r w:rsidR="00843F3C">
          <w:rPr>
            <w:noProof/>
            <w:webHidden/>
          </w:rPr>
          <w:tab/>
        </w:r>
        <w:r w:rsidR="00843F3C">
          <w:rPr>
            <w:noProof/>
            <w:webHidden/>
          </w:rPr>
          <w:fldChar w:fldCharType="begin"/>
        </w:r>
        <w:r w:rsidR="00843F3C">
          <w:rPr>
            <w:noProof/>
            <w:webHidden/>
          </w:rPr>
          <w:instrText xml:space="preserve"> PAGEREF _Toc101618165 \h </w:instrText>
        </w:r>
        <w:r w:rsidR="00843F3C">
          <w:rPr>
            <w:noProof/>
            <w:webHidden/>
          </w:rPr>
        </w:r>
        <w:r w:rsidR="00843F3C">
          <w:rPr>
            <w:noProof/>
            <w:webHidden/>
          </w:rPr>
          <w:fldChar w:fldCharType="separate"/>
        </w:r>
        <w:r w:rsidR="00843F3C">
          <w:rPr>
            <w:noProof/>
            <w:webHidden/>
          </w:rPr>
          <w:t>41</w:t>
        </w:r>
        <w:r w:rsidR="00843F3C">
          <w:rPr>
            <w:noProof/>
            <w:webHidden/>
          </w:rPr>
          <w:fldChar w:fldCharType="end"/>
        </w:r>
      </w:hyperlink>
    </w:p>
    <w:p w14:paraId="1F01C278" w14:textId="40F6FB38" w:rsidR="00843F3C" w:rsidRDefault="0056499C">
      <w:pPr>
        <w:pStyle w:val="TOC2"/>
        <w:rPr>
          <w:rFonts w:asciiTheme="minorHAnsi" w:eastAsiaTheme="minorEastAsia" w:hAnsiTheme="minorHAnsi" w:cstheme="minorBidi"/>
          <w:noProof/>
          <w:sz w:val="22"/>
          <w:szCs w:val="22"/>
          <w:lang w:eastAsia="en-NZ"/>
        </w:rPr>
      </w:pPr>
      <w:hyperlink w:anchor="_Toc101618166" w:history="1">
        <w:r w:rsidR="00843F3C" w:rsidRPr="0040446F">
          <w:rPr>
            <w:rStyle w:val="Hyperlink"/>
            <w:noProof/>
          </w:rPr>
          <w:t>Strengths of this analysis</w:t>
        </w:r>
        <w:r w:rsidR="00843F3C">
          <w:rPr>
            <w:noProof/>
            <w:webHidden/>
          </w:rPr>
          <w:tab/>
        </w:r>
        <w:r w:rsidR="00843F3C">
          <w:rPr>
            <w:noProof/>
            <w:webHidden/>
          </w:rPr>
          <w:fldChar w:fldCharType="begin"/>
        </w:r>
        <w:r w:rsidR="00843F3C">
          <w:rPr>
            <w:noProof/>
            <w:webHidden/>
          </w:rPr>
          <w:instrText xml:space="preserve"> PAGEREF _Toc101618166 \h </w:instrText>
        </w:r>
        <w:r w:rsidR="00843F3C">
          <w:rPr>
            <w:noProof/>
            <w:webHidden/>
          </w:rPr>
        </w:r>
        <w:r w:rsidR="00843F3C">
          <w:rPr>
            <w:noProof/>
            <w:webHidden/>
          </w:rPr>
          <w:fldChar w:fldCharType="separate"/>
        </w:r>
        <w:r w:rsidR="00843F3C">
          <w:rPr>
            <w:noProof/>
            <w:webHidden/>
          </w:rPr>
          <w:t>42</w:t>
        </w:r>
        <w:r w:rsidR="00843F3C">
          <w:rPr>
            <w:noProof/>
            <w:webHidden/>
          </w:rPr>
          <w:fldChar w:fldCharType="end"/>
        </w:r>
      </w:hyperlink>
    </w:p>
    <w:p w14:paraId="218E3177" w14:textId="51DECC91" w:rsidR="00843F3C" w:rsidRDefault="0056499C">
      <w:pPr>
        <w:pStyle w:val="TOC2"/>
        <w:rPr>
          <w:rFonts w:asciiTheme="minorHAnsi" w:eastAsiaTheme="minorEastAsia" w:hAnsiTheme="minorHAnsi" w:cstheme="minorBidi"/>
          <w:noProof/>
          <w:sz w:val="22"/>
          <w:szCs w:val="22"/>
          <w:lang w:eastAsia="en-NZ"/>
        </w:rPr>
      </w:pPr>
      <w:hyperlink w:anchor="_Toc101618167" w:history="1">
        <w:r w:rsidR="00843F3C" w:rsidRPr="0040446F">
          <w:rPr>
            <w:rStyle w:val="Hyperlink"/>
            <w:noProof/>
          </w:rPr>
          <w:t>Considerations when interpreting this analysis</w:t>
        </w:r>
        <w:r w:rsidR="00843F3C">
          <w:rPr>
            <w:noProof/>
            <w:webHidden/>
          </w:rPr>
          <w:tab/>
        </w:r>
        <w:r w:rsidR="00843F3C">
          <w:rPr>
            <w:noProof/>
            <w:webHidden/>
          </w:rPr>
          <w:fldChar w:fldCharType="begin"/>
        </w:r>
        <w:r w:rsidR="00843F3C">
          <w:rPr>
            <w:noProof/>
            <w:webHidden/>
          </w:rPr>
          <w:instrText xml:space="preserve"> PAGEREF _Toc101618167 \h </w:instrText>
        </w:r>
        <w:r w:rsidR="00843F3C">
          <w:rPr>
            <w:noProof/>
            <w:webHidden/>
          </w:rPr>
        </w:r>
        <w:r w:rsidR="00843F3C">
          <w:rPr>
            <w:noProof/>
            <w:webHidden/>
          </w:rPr>
          <w:fldChar w:fldCharType="separate"/>
        </w:r>
        <w:r w:rsidR="00843F3C">
          <w:rPr>
            <w:noProof/>
            <w:webHidden/>
          </w:rPr>
          <w:t>42</w:t>
        </w:r>
        <w:r w:rsidR="00843F3C">
          <w:rPr>
            <w:noProof/>
            <w:webHidden/>
          </w:rPr>
          <w:fldChar w:fldCharType="end"/>
        </w:r>
      </w:hyperlink>
    </w:p>
    <w:p w14:paraId="670C5AB9" w14:textId="19F3E0AC" w:rsidR="00843F3C" w:rsidRDefault="0056499C">
      <w:pPr>
        <w:pStyle w:val="TOC1"/>
        <w:rPr>
          <w:rFonts w:asciiTheme="minorHAnsi" w:eastAsiaTheme="minorEastAsia" w:hAnsiTheme="minorHAnsi" w:cstheme="minorBidi"/>
          <w:noProof/>
          <w:sz w:val="22"/>
          <w:szCs w:val="22"/>
          <w:lang w:eastAsia="en-NZ"/>
        </w:rPr>
      </w:pPr>
      <w:hyperlink w:anchor="_Toc101618168" w:history="1">
        <w:r w:rsidR="00843F3C" w:rsidRPr="0040446F">
          <w:rPr>
            <w:rStyle w:val="Hyperlink"/>
            <w:rFonts w:ascii="Montserrat" w:hAnsi="Montserrat"/>
            <w:noProof/>
          </w:rPr>
          <w:t>HE KUPU WHAKAKAPI</w:t>
        </w:r>
        <w:r w:rsidR="00C25681">
          <w:rPr>
            <w:rStyle w:val="Hyperlink"/>
            <w:rFonts w:ascii="Montserrat" w:hAnsi="Montserrat"/>
            <w:noProof/>
          </w:rPr>
          <w:t xml:space="preserve"> </w:t>
        </w:r>
        <w:r w:rsidR="00C25681">
          <w:rPr>
            <w:rStyle w:val="Hyperlink"/>
            <w:rFonts w:ascii="Montserrat" w:hAnsi="Montserrat"/>
            <w:noProof/>
          </w:rPr>
          <w:sym w:font="Symbol" w:char="F07C"/>
        </w:r>
        <w:r w:rsidR="00C25681">
          <w:rPr>
            <w:rStyle w:val="Hyperlink"/>
            <w:rFonts w:ascii="Montserrat" w:hAnsi="Montserrat"/>
            <w:noProof/>
          </w:rPr>
          <w:t xml:space="preserve"> </w:t>
        </w:r>
        <w:r w:rsidR="00843F3C" w:rsidRPr="0040446F">
          <w:rPr>
            <w:rStyle w:val="Hyperlink"/>
            <w:rFonts w:ascii="Montserrat" w:hAnsi="Montserrat"/>
            <w:noProof/>
          </w:rPr>
          <w:t>CONCLUSION</w:t>
        </w:r>
        <w:r w:rsidR="00843F3C">
          <w:rPr>
            <w:noProof/>
            <w:webHidden/>
          </w:rPr>
          <w:tab/>
        </w:r>
        <w:r w:rsidR="00843F3C">
          <w:rPr>
            <w:noProof/>
            <w:webHidden/>
          </w:rPr>
          <w:fldChar w:fldCharType="begin"/>
        </w:r>
        <w:r w:rsidR="00843F3C">
          <w:rPr>
            <w:noProof/>
            <w:webHidden/>
          </w:rPr>
          <w:instrText xml:space="preserve"> PAGEREF _Toc101618168 \h </w:instrText>
        </w:r>
        <w:r w:rsidR="00843F3C">
          <w:rPr>
            <w:noProof/>
            <w:webHidden/>
          </w:rPr>
        </w:r>
        <w:r w:rsidR="00843F3C">
          <w:rPr>
            <w:noProof/>
            <w:webHidden/>
          </w:rPr>
          <w:fldChar w:fldCharType="separate"/>
        </w:r>
        <w:r w:rsidR="00843F3C">
          <w:rPr>
            <w:noProof/>
            <w:webHidden/>
          </w:rPr>
          <w:t>44</w:t>
        </w:r>
        <w:r w:rsidR="00843F3C">
          <w:rPr>
            <w:noProof/>
            <w:webHidden/>
          </w:rPr>
          <w:fldChar w:fldCharType="end"/>
        </w:r>
      </w:hyperlink>
    </w:p>
    <w:p w14:paraId="600169C2" w14:textId="19F96A2F" w:rsidR="00843F3C" w:rsidRDefault="0056499C">
      <w:pPr>
        <w:pStyle w:val="TOC1"/>
        <w:rPr>
          <w:rFonts w:asciiTheme="minorHAnsi" w:eastAsiaTheme="minorEastAsia" w:hAnsiTheme="minorHAnsi" w:cstheme="minorBidi"/>
          <w:noProof/>
          <w:sz w:val="22"/>
          <w:szCs w:val="22"/>
          <w:lang w:eastAsia="en-NZ"/>
        </w:rPr>
      </w:pPr>
      <w:hyperlink w:anchor="_Toc101618169" w:history="1">
        <w:r w:rsidR="00843F3C" w:rsidRPr="0040446F">
          <w:rPr>
            <w:rStyle w:val="Hyperlink"/>
            <w:rFonts w:ascii="Montserrat" w:hAnsi="Montserrat"/>
            <w:noProof/>
          </w:rPr>
          <w:t>NGĀ ĀPITIHANGA</w:t>
        </w:r>
        <w:r w:rsidR="00C25681">
          <w:rPr>
            <w:rStyle w:val="Hyperlink"/>
            <w:rFonts w:ascii="Montserrat" w:hAnsi="Montserrat"/>
            <w:noProof/>
          </w:rPr>
          <w:t xml:space="preserve"> </w:t>
        </w:r>
        <w:r w:rsidR="00C25681">
          <w:rPr>
            <w:rStyle w:val="Hyperlink"/>
            <w:rFonts w:ascii="Montserrat" w:hAnsi="Montserrat"/>
            <w:noProof/>
          </w:rPr>
          <w:sym w:font="Symbol" w:char="F07C"/>
        </w:r>
        <w:r w:rsidR="00C25681">
          <w:rPr>
            <w:rStyle w:val="Hyperlink"/>
            <w:rFonts w:ascii="Montserrat" w:hAnsi="Montserrat"/>
            <w:noProof/>
          </w:rPr>
          <w:t xml:space="preserve"> </w:t>
        </w:r>
        <w:r w:rsidR="00843F3C" w:rsidRPr="0040446F">
          <w:rPr>
            <w:rStyle w:val="Hyperlink"/>
            <w:rFonts w:ascii="Montserrat" w:hAnsi="Montserrat"/>
            <w:noProof/>
          </w:rPr>
          <w:t>APPENDICES</w:t>
        </w:r>
        <w:r w:rsidR="00843F3C">
          <w:rPr>
            <w:noProof/>
            <w:webHidden/>
          </w:rPr>
          <w:tab/>
        </w:r>
        <w:r w:rsidR="00843F3C">
          <w:rPr>
            <w:noProof/>
            <w:webHidden/>
          </w:rPr>
          <w:fldChar w:fldCharType="begin"/>
        </w:r>
        <w:r w:rsidR="00843F3C">
          <w:rPr>
            <w:noProof/>
            <w:webHidden/>
          </w:rPr>
          <w:instrText xml:space="preserve"> PAGEREF _Toc101618169 \h </w:instrText>
        </w:r>
        <w:r w:rsidR="00843F3C">
          <w:rPr>
            <w:noProof/>
            <w:webHidden/>
          </w:rPr>
        </w:r>
        <w:r w:rsidR="00843F3C">
          <w:rPr>
            <w:noProof/>
            <w:webHidden/>
          </w:rPr>
          <w:fldChar w:fldCharType="separate"/>
        </w:r>
        <w:r w:rsidR="00843F3C">
          <w:rPr>
            <w:noProof/>
            <w:webHidden/>
          </w:rPr>
          <w:t>45</w:t>
        </w:r>
        <w:r w:rsidR="00843F3C">
          <w:rPr>
            <w:noProof/>
            <w:webHidden/>
          </w:rPr>
          <w:fldChar w:fldCharType="end"/>
        </w:r>
      </w:hyperlink>
    </w:p>
    <w:p w14:paraId="31432FAA" w14:textId="28A000B4" w:rsidR="00843F3C" w:rsidRDefault="0056499C">
      <w:pPr>
        <w:pStyle w:val="TOC2"/>
        <w:rPr>
          <w:rFonts w:asciiTheme="minorHAnsi" w:eastAsiaTheme="minorEastAsia" w:hAnsiTheme="minorHAnsi" w:cstheme="minorBidi"/>
          <w:noProof/>
          <w:sz w:val="22"/>
          <w:szCs w:val="22"/>
          <w:lang w:eastAsia="en-NZ"/>
        </w:rPr>
      </w:pPr>
      <w:hyperlink w:anchor="_Toc101618170" w:history="1">
        <w:r w:rsidR="00843F3C" w:rsidRPr="0040446F">
          <w:rPr>
            <w:rStyle w:val="Hyperlink"/>
            <w:noProof/>
          </w:rPr>
          <w:t>Appendix 1: Key sources of information</w:t>
        </w:r>
        <w:r w:rsidR="00843F3C">
          <w:rPr>
            <w:noProof/>
            <w:webHidden/>
          </w:rPr>
          <w:tab/>
        </w:r>
        <w:r w:rsidR="00843F3C">
          <w:rPr>
            <w:noProof/>
            <w:webHidden/>
          </w:rPr>
          <w:fldChar w:fldCharType="begin"/>
        </w:r>
        <w:r w:rsidR="00843F3C">
          <w:rPr>
            <w:noProof/>
            <w:webHidden/>
          </w:rPr>
          <w:instrText xml:space="preserve"> PAGEREF _Toc101618170 \h </w:instrText>
        </w:r>
        <w:r w:rsidR="00843F3C">
          <w:rPr>
            <w:noProof/>
            <w:webHidden/>
          </w:rPr>
        </w:r>
        <w:r w:rsidR="00843F3C">
          <w:rPr>
            <w:noProof/>
            <w:webHidden/>
          </w:rPr>
          <w:fldChar w:fldCharType="separate"/>
        </w:r>
        <w:r w:rsidR="00843F3C">
          <w:rPr>
            <w:noProof/>
            <w:webHidden/>
          </w:rPr>
          <w:t>45</w:t>
        </w:r>
        <w:r w:rsidR="00843F3C">
          <w:rPr>
            <w:noProof/>
            <w:webHidden/>
          </w:rPr>
          <w:fldChar w:fldCharType="end"/>
        </w:r>
      </w:hyperlink>
    </w:p>
    <w:p w14:paraId="79884DB8" w14:textId="2A68CFA3" w:rsidR="00843F3C" w:rsidRDefault="0056499C">
      <w:pPr>
        <w:pStyle w:val="TOC2"/>
        <w:rPr>
          <w:rFonts w:asciiTheme="minorHAnsi" w:eastAsiaTheme="minorEastAsia" w:hAnsiTheme="minorHAnsi" w:cstheme="minorBidi"/>
          <w:noProof/>
          <w:sz w:val="22"/>
          <w:szCs w:val="22"/>
          <w:lang w:eastAsia="en-NZ"/>
        </w:rPr>
      </w:pPr>
      <w:hyperlink w:anchor="_Toc101618171" w:history="1">
        <w:r w:rsidR="00843F3C" w:rsidRPr="0040446F">
          <w:rPr>
            <w:rStyle w:val="Hyperlink"/>
            <w:noProof/>
          </w:rPr>
          <w:t>Appendix 2: Results table from the comparison with the World Health Organization’s Essential Medicines List</w:t>
        </w:r>
        <w:r w:rsidR="00843F3C">
          <w:rPr>
            <w:noProof/>
            <w:webHidden/>
          </w:rPr>
          <w:tab/>
        </w:r>
        <w:r w:rsidR="00843F3C">
          <w:rPr>
            <w:noProof/>
            <w:webHidden/>
          </w:rPr>
          <w:fldChar w:fldCharType="begin"/>
        </w:r>
        <w:r w:rsidR="00843F3C">
          <w:rPr>
            <w:noProof/>
            <w:webHidden/>
          </w:rPr>
          <w:instrText xml:space="preserve"> PAGEREF _Toc101618171 \h </w:instrText>
        </w:r>
        <w:r w:rsidR="00843F3C">
          <w:rPr>
            <w:noProof/>
            <w:webHidden/>
          </w:rPr>
        </w:r>
        <w:r w:rsidR="00843F3C">
          <w:rPr>
            <w:noProof/>
            <w:webHidden/>
          </w:rPr>
          <w:fldChar w:fldCharType="separate"/>
        </w:r>
        <w:r w:rsidR="00843F3C">
          <w:rPr>
            <w:noProof/>
            <w:webHidden/>
          </w:rPr>
          <w:t>46</w:t>
        </w:r>
        <w:r w:rsidR="00843F3C">
          <w:rPr>
            <w:noProof/>
            <w:webHidden/>
          </w:rPr>
          <w:fldChar w:fldCharType="end"/>
        </w:r>
      </w:hyperlink>
    </w:p>
    <w:p w14:paraId="7D1A7830" w14:textId="547E43B5" w:rsidR="00843F3C" w:rsidRDefault="0056499C">
      <w:pPr>
        <w:pStyle w:val="TOC2"/>
        <w:rPr>
          <w:rFonts w:asciiTheme="minorHAnsi" w:eastAsiaTheme="minorEastAsia" w:hAnsiTheme="minorHAnsi" w:cstheme="minorBidi"/>
          <w:noProof/>
          <w:sz w:val="22"/>
          <w:szCs w:val="22"/>
          <w:lang w:eastAsia="en-NZ"/>
        </w:rPr>
      </w:pPr>
      <w:hyperlink w:anchor="_Toc101618172" w:history="1">
        <w:r w:rsidR="00843F3C" w:rsidRPr="0040446F">
          <w:rPr>
            <w:rStyle w:val="Hyperlink"/>
            <w:noProof/>
          </w:rPr>
          <w:t>Appendix 3: Results table from the comparison with the Australian Pharmaceutical Benefits Schedule (PBS)</w:t>
        </w:r>
        <w:r w:rsidR="00843F3C" w:rsidRPr="0040446F">
          <w:rPr>
            <w:rStyle w:val="Hyperlink"/>
            <w:bCs/>
            <w:noProof/>
          </w:rPr>
          <w:t xml:space="preserve"> – medicines funded in both countries</w:t>
        </w:r>
        <w:r w:rsidR="00843F3C">
          <w:rPr>
            <w:noProof/>
            <w:webHidden/>
          </w:rPr>
          <w:tab/>
        </w:r>
        <w:r w:rsidR="00843F3C">
          <w:rPr>
            <w:noProof/>
            <w:webHidden/>
          </w:rPr>
          <w:fldChar w:fldCharType="begin"/>
        </w:r>
        <w:r w:rsidR="00843F3C">
          <w:rPr>
            <w:noProof/>
            <w:webHidden/>
          </w:rPr>
          <w:instrText xml:space="preserve"> PAGEREF _Toc101618172 \h </w:instrText>
        </w:r>
        <w:r w:rsidR="00843F3C">
          <w:rPr>
            <w:noProof/>
            <w:webHidden/>
          </w:rPr>
        </w:r>
        <w:r w:rsidR="00843F3C">
          <w:rPr>
            <w:noProof/>
            <w:webHidden/>
          </w:rPr>
          <w:fldChar w:fldCharType="separate"/>
        </w:r>
        <w:r w:rsidR="00843F3C">
          <w:rPr>
            <w:noProof/>
            <w:webHidden/>
          </w:rPr>
          <w:t>54</w:t>
        </w:r>
        <w:r w:rsidR="00843F3C">
          <w:rPr>
            <w:noProof/>
            <w:webHidden/>
          </w:rPr>
          <w:fldChar w:fldCharType="end"/>
        </w:r>
      </w:hyperlink>
    </w:p>
    <w:p w14:paraId="7B81BC73" w14:textId="41BF7F9D" w:rsidR="00843F3C" w:rsidRDefault="0056499C">
      <w:pPr>
        <w:pStyle w:val="TOC2"/>
        <w:rPr>
          <w:rFonts w:asciiTheme="minorHAnsi" w:eastAsiaTheme="minorEastAsia" w:hAnsiTheme="minorHAnsi" w:cstheme="minorBidi"/>
          <w:noProof/>
          <w:sz w:val="22"/>
          <w:szCs w:val="22"/>
          <w:lang w:eastAsia="en-NZ"/>
        </w:rPr>
      </w:pPr>
      <w:hyperlink w:anchor="_Toc101618173" w:history="1">
        <w:r w:rsidR="00843F3C" w:rsidRPr="0040446F">
          <w:rPr>
            <w:rStyle w:val="Hyperlink"/>
            <w:noProof/>
          </w:rPr>
          <w:t>Appendix 4: Results table from the comparison with the Australian Pharmaceutical Benefits Schedule (PBS) – medicines funded in Aotearoa but not Australia</w:t>
        </w:r>
        <w:r w:rsidR="00843F3C">
          <w:rPr>
            <w:noProof/>
            <w:webHidden/>
          </w:rPr>
          <w:tab/>
        </w:r>
        <w:r w:rsidR="00843F3C">
          <w:rPr>
            <w:noProof/>
            <w:webHidden/>
          </w:rPr>
          <w:fldChar w:fldCharType="begin"/>
        </w:r>
        <w:r w:rsidR="00843F3C">
          <w:rPr>
            <w:noProof/>
            <w:webHidden/>
          </w:rPr>
          <w:instrText xml:space="preserve"> PAGEREF _Toc101618173 \h </w:instrText>
        </w:r>
        <w:r w:rsidR="00843F3C">
          <w:rPr>
            <w:noProof/>
            <w:webHidden/>
          </w:rPr>
        </w:r>
        <w:r w:rsidR="00843F3C">
          <w:rPr>
            <w:noProof/>
            <w:webHidden/>
          </w:rPr>
          <w:fldChar w:fldCharType="separate"/>
        </w:r>
        <w:r w:rsidR="00843F3C">
          <w:rPr>
            <w:noProof/>
            <w:webHidden/>
          </w:rPr>
          <w:t>58</w:t>
        </w:r>
        <w:r w:rsidR="00843F3C">
          <w:rPr>
            <w:noProof/>
            <w:webHidden/>
          </w:rPr>
          <w:fldChar w:fldCharType="end"/>
        </w:r>
      </w:hyperlink>
    </w:p>
    <w:p w14:paraId="3B278116" w14:textId="1A6A9335" w:rsidR="00843F3C" w:rsidRDefault="0056499C">
      <w:pPr>
        <w:pStyle w:val="TOC2"/>
        <w:rPr>
          <w:rFonts w:asciiTheme="minorHAnsi" w:eastAsiaTheme="minorEastAsia" w:hAnsiTheme="minorHAnsi" w:cstheme="minorBidi"/>
          <w:noProof/>
          <w:sz w:val="22"/>
          <w:szCs w:val="22"/>
          <w:lang w:eastAsia="en-NZ"/>
        </w:rPr>
      </w:pPr>
      <w:hyperlink w:anchor="_Toc101618174" w:history="1">
        <w:r w:rsidR="00843F3C" w:rsidRPr="0040446F">
          <w:rPr>
            <w:rStyle w:val="Hyperlink"/>
            <w:noProof/>
          </w:rPr>
          <w:t>Appendix 5: Results tables from the comparison with the Australian Pharmaceutical Benefits Schedule (PBS) – medicines funded in Australia but not in Aotearoa</w:t>
        </w:r>
        <w:r w:rsidR="00843F3C">
          <w:rPr>
            <w:noProof/>
            <w:webHidden/>
          </w:rPr>
          <w:tab/>
        </w:r>
        <w:r w:rsidR="00843F3C">
          <w:rPr>
            <w:noProof/>
            <w:webHidden/>
          </w:rPr>
          <w:fldChar w:fldCharType="begin"/>
        </w:r>
        <w:r w:rsidR="00843F3C">
          <w:rPr>
            <w:noProof/>
            <w:webHidden/>
          </w:rPr>
          <w:instrText xml:space="preserve"> PAGEREF _Toc101618174 \h </w:instrText>
        </w:r>
        <w:r w:rsidR="00843F3C">
          <w:rPr>
            <w:noProof/>
            <w:webHidden/>
          </w:rPr>
        </w:r>
        <w:r w:rsidR="00843F3C">
          <w:rPr>
            <w:noProof/>
            <w:webHidden/>
          </w:rPr>
          <w:fldChar w:fldCharType="separate"/>
        </w:r>
        <w:r w:rsidR="00843F3C">
          <w:rPr>
            <w:noProof/>
            <w:webHidden/>
          </w:rPr>
          <w:t>59</w:t>
        </w:r>
        <w:r w:rsidR="00843F3C">
          <w:rPr>
            <w:noProof/>
            <w:webHidden/>
          </w:rPr>
          <w:fldChar w:fldCharType="end"/>
        </w:r>
      </w:hyperlink>
    </w:p>
    <w:p w14:paraId="759005D3" w14:textId="6CD1497A" w:rsidR="00843F3C" w:rsidRDefault="0056499C">
      <w:pPr>
        <w:pStyle w:val="TOC2"/>
        <w:rPr>
          <w:rFonts w:asciiTheme="minorHAnsi" w:eastAsiaTheme="minorEastAsia" w:hAnsiTheme="minorHAnsi" w:cstheme="minorBidi"/>
          <w:noProof/>
          <w:sz w:val="22"/>
          <w:szCs w:val="22"/>
          <w:lang w:eastAsia="en-NZ"/>
        </w:rPr>
      </w:pPr>
      <w:hyperlink w:anchor="_Toc101618175" w:history="1">
        <w:r w:rsidR="00843F3C" w:rsidRPr="0040446F">
          <w:rPr>
            <w:rStyle w:val="Hyperlink"/>
            <w:noProof/>
          </w:rPr>
          <w:t>Appendix 6: Results table from comparison with Ontario, Canada</w:t>
        </w:r>
        <w:r w:rsidR="00843F3C">
          <w:rPr>
            <w:noProof/>
            <w:webHidden/>
          </w:rPr>
          <w:tab/>
        </w:r>
        <w:r w:rsidR="00843F3C">
          <w:rPr>
            <w:noProof/>
            <w:webHidden/>
          </w:rPr>
          <w:fldChar w:fldCharType="begin"/>
        </w:r>
        <w:r w:rsidR="00843F3C">
          <w:rPr>
            <w:noProof/>
            <w:webHidden/>
          </w:rPr>
          <w:instrText xml:space="preserve"> PAGEREF _Toc101618175 \h </w:instrText>
        </w:r>
        <w:r w:rsidR="00843F3C">
          <w:rPr>
            <w:noProof/>
            <w:webHidden/>
          </w:rPr>
        </w:r>
        <w:r w:rsidR="00843F3C">
          <w:rPr>
            <w:noProof/>
            <w:webHidden/>
          </w:rPr>
          <w:fldChar w:fldCharType="separate"/>
        </w:r>
        <w:r w:rsidR="00843F3C">
          <w:rPr>
            <w:noProof/>
            <w:webHidden/>
          </w:rPr>
          <w:t>84</w:t>
        </w:r>
        <w:r w:rsidR="00843F3C">
          <w:rPr>
            <w:noProof/>
            <w:webHidden/>
          </w:rPr>
          <w:fldChar w:fldCharType="end"/>
        </w:r>
      </w:hyperlink>
    </w:p>
    <w:p w14:paraId="313C71E1" w14:textId="058C463D" w:rsidR="00843F3C" w:rsidRDefault="0056499C">
      <w:pPr>
        <w:pStyle w:val="TOC2"/>
        <w:rPr>
          <w:rFonts w:asciiTheme="minorHAnsi" w:eastAsiaTheme="minorEastAsia" w:hAnsiTheme="minorHAnsi" w:cstheme="minorBidi"/>
          <w:noProof/>
          <w:sz w:val="22"/>
          <w:szCs w:val="22"/>
          <w:lang w:eastAsia="en-NZ"/>
        </w:rPr>
      </w:pPr>
      <w:hyperlink w:anchor="_Toc101618176" w:history="1">
        <w:r w:rsidR="00843F3C" w:rsidRPr="0040446F">
          <w:rPr>
            <w:rStyle w:val="Hyperlink"/>
            <w:noProof/>
          </w:rPr>
          <w:t>Appendix 7: Detailed descriptions of each identified gap associated with substantial clinical benefit</w:t>
        </w:r>
        <w:r w:rsidR="00843F3C">
          <w:rPr>
            <w:noProof/>
            <w:webHidden/>
          </w:rPr>
          <w:tab/>
        </w:r>
        <w:r w:rsidR="00843F3C">
          <w:rPr>
            <w:noProof/>
            <w:webHidden/>
          </w:rPr>
          <w:fldChar w:fldCharType="begin"/>
        </w:r>
        <w:r w:rsidR="00843F3C">
          <w:rPr>
            <w:noProof/>
            <w:webHidden/>
          </w:rPr>
          <w:instrText xml:space="preserve"> PAGEREF _Toc101618176 \h </w:instrText>
        </w:r>
        <w:r w:rsidR="00843F3C">
          <w:rPr>
            <w:noProof/>
            <w:webHidden/>
          </w:rPr>
        </w:r>
        <w:r w:rsidR="00843F3C">
          <w:rPr>
            <w:noProof/>
            <w:webHidden/>
          </w:rPr>
          <w:fldChar w:fldCharType="separate"/>
        </w:r>
        <w:r w:rsidR="00843F3C">
          <w:rPr>
            <w:noProof/>
            <w:webHidden/>
          </w:rPr>
          <w:t>87</w:t>
        </w:r>
        <w:r w:rsidR="00843F3C">
          <w:rPr>
            <w:noProof/>
            <w:webHidden/>
          </w:rPr>
          <w:fldChar w:fldCharType="end"/>
        </w:r>
      </w:hyperlink>
    </w:p>
    <w:p w14:paraId="76E992E3" w14:textId="6454C221" w:rsidR="00843F3C" w:rsidRDefault="0056499C">
      <w:pPr>
        <w:pStyle w:val="TOC1"/>
        <w:rPr>
          <w:rFonts w:asciiTheme="minorHAnsi" w:eastAsiaTheme="minorEastAsia" w:hAnsiTheme="minorHAnsi" w:cstheme="minorBidi"/>
          <w:noProof/>
          <w:sz w:val="22"/>
          <w:szCs w:val="22"/>
          <w:lang w:eastAsia="en-NZ"/>
        </w:rPr>
      </w:pPr>
      <w:hyperlink w:anchor="_Toc101618177" w:history="1">
        <w:r w:rsidR="00843F3C" w:rsidRPr="0040446F">
          <w:rPr>
            <w:rStyle w:val="Hyperlink"/>
            <w:rFonts w:ascii="Montserrat" w:hAnsi="Montserrat"/>
            <w:noProof/>
          </w:rPr>
          <w:t xml:space="preserve">NGĀ TOHUTORO </w:t>
        </w:r>
        <w:r w:rsidR="000E214A">
          <w:rPr>
            <w:rStyle w:val="Hyperlink"/>
            <w:rFonts w:ascii="Montserrat" w:hAnsi="Montserrat"/>
            <w:noProof/>
          </w:rPr>
          <w:sym w:font="Symbol" w:char="F07C"/>
        </w:r>
        <w:r w:rsidR="000E214A">
          <w:rPr>
            <w:rStyle w:val="Hyperlink"/>
            <w:rFonts w:ascii="Montserrat" w:hAnsi="Montserrat"/>
            <w:noProof/>
          </w:rPr>
          <w:t xml:space="preserve"> </w:t>
        </w:r>
        <w:r w:rsidR="00843F3C" w:rsidRPr="0040446F">
          <w:rPr>
            <w:rStyle w:val="Hyperlink"/>
            <w:rFonts w:ascii="Montserrat" w:hAnsi="Montserrat"/>
            <w:noProof/>
          </w:rPr>
          <w:t>REFERENCES</w:t>
        </w:r>
        <w:r w:rsidR="00843F3C">
          <w:rPr>
            <w:noProof/>
            <w:webHidden/>
          </w:rPr>
          <w:tab/>
        </w:r>
        <w:r w:rsidR="00843F3C">
          <w:rPr>
            <w:noProof/>
            <w:webHidden/>
          </w:rPr>
          <w:fldChar w:fldCharType="begin"/>
        </w:r>
        <w:r w:rsidR="00843F3C">
          <w:rPr>
            <w:noProof/>
            <w:webHidden/>
          </w:rPr>
          <w:instrText xml:space="preserve"> PAGEREF _Toc101618177 \h </w:instrText>
        </w:r>
        <w:r w:rsidR="00843F3C">
          <w:rPr>
            <w:noProof/>
            <w:webHidden/>
          </w:rPr>
        </w:r>
        <w:r w:rsidR="00843F3C">
          <w:rPr>
            <w:noProof/>
            <w:webHidden/>
          </w:rPr>
          <w:fldChar w:fldCharType="separate"/>
        </w:r>
        <w:r w:rsidR="00843F3C">
          <w:rPr>
            <w:noProof/>
            <w:webHidden/>
          </w:rPr>
          <w:t>139</w:t>
        </w:r>
        <w:r w:rsidR="00843F3C">
          <w:rPr>
            <w:noProof/>
            <w:webHidden/>
          </w:rPr>
          <w:fldChar w:fldCharType="end"/>
        </w:r>
      </w:hyperlink>
    </w:p>
    <w:p w14:paraId="5299F8F6" w14:textId="6A2AC901" w:rsidR="00C86248" w:rsidRDefault="008452B8" w:rsidP="00AF1A99">
      <w:r>
        <w:rPr>
          <w:rFonts w:ascii="Segoe UI Semibold" w:hAnsi="Segoe UI Semibold"/>
          <w:b/>
          <w:sz w:val="24"/>
        </w:rPr>
        <w:fldChar w:fldCharType="end"/>
      </w:r>
    </w:p>
    <w:p w14:paraId="77F0D44C" w14:textId="77777777" w:rsidR="00AF1A99" w:rsidRPr="005F299B" w:rsidRDefault="00AF1A99" w:rsidP="00AF1A99">
      <w:pPr>
        <w:pStyle w:val="TOC1"/>
        <w:keepNext/>
        <w:rPr>
          <w:rFonts w:ascii="Montserrat" w:hAnsi="Montserrat"/>
        </w:rPr>
      </w:pPr>
      <w:r w:rsidRPr="005F299B">
        <w:rPr>
          <w:rFonts w:ascii="Montserrat" w:hAnsi="Montserrat"/>
        </w:rPr>
        <w:t>List of Figures</w:t>
      </w:r>
    </w:p>
    <w:p w14:paraId="6D0D6D21" w14:textId="72E28A70" w:rsidR="00AF1A99" w:rsidRDefault="00AF1A99" w:rsidP="00AF1A99">
      <w:pPr>
        <w:pStyle w:val="TOC3"/>
        <w:rPr>
          <w:rFonts w:asciiTheme="minorHAnsi" w:eastAsiaTheme="minorEastAsia" w:hAnsiTheme="minorHAnsi" w:cstheme="minorBidi"/>
          <w:noProof/>
          <w:sz w:val="22"/>
          <w:szCs w:val="22"/>
          <w:lang w:eastAsia="en-NZ"/>
        </w:rPr>
      </w:pPr>
      <w:r w:rsidRPr="00B47C82">
        <w:fldChar w:fldCharType="begin"/>
      </w:r>
      <w:r w:rsidRPr="00B47C82">
        <w:instrText xml:space="preserve"> TOC \t "Figure,3" </w:instrText>
      </w:r>
      <w:r w:rsidRPr="00B47C82">
        <w:fldChar w:fldCharType="separate"/>
      </w:r>
      <w:r>
        <w:rPr>
          <w:noProof/>
        </w:rPr>
        <w:t>Figure 1:</w:t>
      </w:r>
      <w:r>
        <w:rPr>
          <w:noProof/>
        </w:rPr>
        <w:tab/>
        <w:t>Categories according to the ESMO-MCBS in the curative (left) and non</w:t>
      </w:r>
      <w:r w:rsidR="001A0A93">
        <w:rPr>
          <w:noProof/>
        </w:rPr>
        <w:noBreakHyphen/>
      </w:r>
      <w:r>
        <w:rPr>
          <w:noProof/>
        </w:rPr>
        <w:t>curative (right) settings</w:t>
      </w:r>
      <w:r>
        <w:rPr>
          <w:noProof/>
        </w:rPr>
        <w:tab/>
      </w:r>
      <w:r>
        <w:rPr>
          <w:noProof/>
        </w:rPr>
        <w:fldChar w:fldCharType="begin"/>
      </w:r>
      <w:r>
        <w:rPr>
          <w:noProof/>
        </w:rPr>
        <w:instrText xml:space="preserve"> PAGEREF _Toc101365637 \h </w:instrText>
      </w:r>
      <w:r>
        <w:rPr>
          <w:noProof/>
        </w:rPr>
      </w:r>
      <w:r>
        <w:rPr>
          <w:noProof/>
        </w:rPr>
        <w:fldChar w:fldCharType="separate"/>
      </w:r>
      <w:r w:rsidR="00A56E89">
        <w:rPr>
          <w:noProof/>
        </w:rPr>
        <w:t>8</w:t>
      </w:r>
      <w:r>
        <w:rPr>
          <w:noProof/>
        </w:rPr>
        <w:fldChar w:fldCharType="end"/>
      </w:r>
    </w:p>
    <w:p w14:paraId="37207F34" w14:textId="77E5D6BB" w:rsidR="00AF1A99" w:rsidRDefault="00AF1A99" w:rsidP="00AF1A99">
      <w:pPr>
        <w:pStyle w:val="TOC3"/>
        <w:rPr>
          <w:rFonts w:asciiTheme="minorHAnsi" w:eastAsiaTheme="minorEastAsia" w:hAnsiTheme="minorHAnsi" w:cstheme="minorBidi"/>
          <w:noProof/>
          <w:sz w:val="22"/>
          <w:szCs w:val="22"/>
          <w:lang w:eastAsia="en-NZ"/>
        </w:rPr>
      </w:pPr>
      <w:r>
        <w:rPr>
          <w:noProof/>
        </w:rPr>
        <w:t>Figure 2:</w:t>
      </w:r>
      <w:r>
        <w:rPr>
          <w:noProof/>
        </w:rPr>
        <w:tab/>
        <w:t>Process for comparing solid tumour cancer medicines’ availability in Aotearoa and Australia</w:t>
      </w:r>
      <w:r>
        <w:rPr>
          <w:noProof/>
        </w:rPr>
        <w:tab/>
      </w:r>
      <w:r>
        <w:rPr>
          <w:noProof/>
        </w:rPr>
        <w:fldChar w:fldCharType="begin"/>
      </w:r>
      <w:r>
        <w:rPr>
          <w:noProof/>
        </w:rPr>
        <w:instrText xml:space="preserve"> PAGEREF _Toc101365638 \h </w:instrText>
      </w:r>
      <w:r>
        <w:rPr>
          <w:noProof/>
        </w:rPr>
      </w:r>
      <w:r>
        <w:rPr>
          <w:noProof/>
        </w:rPr>
        <w:fldChar w:fldCharType="separate"/>
      </w:r>
      <w:r w:rsidR="00A56E89">
        <w:rPr>
          <w:noProof/>
        </w:rPr>
        <w:t>20</w:t>
      </w:r>
      <w:r>
        <w:rPr>
          <w:noProof/>
        </w:rPr>
        <w:fldChar w:fldCharType="end"/>
      </w:r>
    </w:p>
    <w:p w14:paraId="74BCBD3D" w14:textId="77777777" w:rsidR="00AF1A99" w:rsidRPr="00B47C82" w:rsidRDefault="00AF1A99">
      <w:r w:rsidRPr="00B47C82">
        <w:fldChar w:fldCharType="end"/>
      </w:r>
    </w:p>
    <w:p w14:paraId="07B4B4B7" w14:textId="77777777" w:rsidR="002B76A7" w:rsidRPr="005F299B" w:rsidRDefault="002B76A7" w:rsidP="00AF1A99">
      <w:pPr>
        <w:pStyle w:val="TOC1"/>
        <w:keepNext/>
        <w:rPr>
          <w:rFonts w:ascii="Montserrat" w:hAnsi="Montserrat"/>
        </w:rPr>
      </w:pPr>
      <w:r w:rsidRPr="005F299B">
        <w:rPr>
          <w:rFonts w:ascii="Montserrat" w:hAnsi="Montserrat"/>
        </w:rPr>
        <w:t>List of Tables</w:t>
      </w:r>
    </w:p>
    <w:p w14:paraId="3A858528" w14:textId="476BC170" w:rsidR="00AF1A99" w:rsidRDefault="002B76A7" w:rsidP="00AF1A99">
      <w:pPr>
        <w:pStyle w:val="TOC3"/>
        <w:keepNext/>
        <w:rPr>
          <w:rFonts w:asciiTheme="minorHAnsi" w:eastAsiaTheme="minorEastAsia" w:hAnsiTheme="minorHAnsi" w:cstheme="minorBidi"/>
          <w:noProof/>
          <w:sz w:val="22"/>
          <w:szCs w:val="22"/>
          <w:lang w:eastAsia="en-NZ"/>
        </w:rPr>
      </w:pPr>
      <w:r w:rsidRPr="00B47C82">
        <w:fldChar w:fldCharType="begin"/>
      </w:r>
      <w:r w:rsidRPr="00B47C82">
        <w:instrText xml:space="preserve"> TOC \t "Table,3" </w:instrText>
      </w:r>
      <w:r w:rsidRPr="00B47C82">
        <w:fldChar w:fldCharType="separate"/>
      </w:r>
      <w:r w:rsidR="00AF1A99">
        <w:rPr>
          <w:noProof/>
        </w:rPr>
        <w:t>Table 1:</w:t>
      </w:r>
      <w:r w:rsidR="00AF1A99">
        <w:rPr>
          <w:noProof/>
        </w:rPr>
        <w:tab/>
        <w:t>Summary of entities responsible for the regulation, value assessment, funding and procurement of new medicines, by country</w:t>
      </w:r>
      <w:r w:rsidR="00AF1A99">
        <w:rPr>
          <w:noProof/>
        </w:rPr>
        <w:tab/>
      </w:r>
      <w:r w:rsidR="00AF1A99">
        <w:rPr>
          <w:noProof/>
        </w:rPr>
        <w:fldChar w:fldCharType="begin"/>
      </w:r>
      <w:r w:rsidR="00AF1A99">
        <w:rPr>
          <w:noProof/>
        </w:rPr>
        <w:instrText xml:space="preserve"> PAGEREF _Toc101365595 \h </w:instrText>
      </w:r>
      <w:r w:rsidR="00AF1A99">
        <w:rPr>
          <w:noProof/>
        </w:rPr>
      </w:r>
      <w:r w:rsidR="00AF1A99">
        <w:rPr>
          <w:noProof/>
        </w:rPr>
        <w:fldChar w:fldCharType="separate"/>
      </w:r>
      <w:r w:rsidR="00A56E89">
        <w:rPr>
          <w:noProof/>
        </w:rPr>
        <w:t>13</w:t>
      </w:r>
      <w:r w:rsidR="00AF1A99">
        <w:rPr>
          <w:noProof/>
        </w:rPr>
        <w:fldChar w:fldCharType="end"/>
      </w:r>
    </w:p>
    <w:p w14:paraId="2F521D9C" w14:textId="0BE8C91F" w:rsidR="00AF1A99" w:rsidRDefault="00AF1A99" w:rsidP="00AF1A99">
      <w:pPr>
        <w:pStyle w:val="TOC3"/>
        <w:keepNext/>
        <w:rPr>
          <w:rFonts w:asciiTheme="minorHAnsi" w:eastAsiaTheme="minorEastAsia" w:hAnsiTheme="minorHAnsi" w:cstheme="minorBidi"/>
          <w:noProof/>
          <w:sz w:val="22"/>
          <w:szCs w:val="22"/>
          <w:lang w:eastAsia="en-NZ"/>
        </w:rPr>
      </w:pPr>
      <w:r>
        <w:rPr>
          <w:noProof/>
        </w:rPr>
        <w:t>Table 2</w:t>
      </w:r>
      <w:r>
        <w:rPr>
          <w:noProof/>
          <w:shd w:val="clear" w:color="auto" w:fill="FFFFFF"/>
        </w:rPr>
        <w:t>:</w:t>
      </w:r>
      <w:r>
        <w:rPr>
          <w:noProof/>
          <w:shd w:val="clear" w:color="auto" w:fill="FFFFFF"/>
        </w:rPr>
        <w:tab/>
      </w:r>
      <w:r w:rsidRPr="00A3017E">
        <w:rPr>
          <w:noProof/>
          <w:shd w:val="clear" w:color="auto" w:fill="FFFFFF"/>
        </w:rPr>
        <w:t>Assessment of differences between Aotearoa and WHO-EML</w:t>
      </w:r>
      <w:r>
        <w:rPr>
          <w:noProof/>
        </w:rPr>
        <w:tab/>
      </w:r>
      <w:r>
        <w:rPr>
          <w:noProof/>
        </w:rPr>
        <w:fldChar w:fldCharType="begin"/>
      </w:r>
      <w:r>
        <w:rPr>
          <w:noProof/>
        </w:rPr>
        <w:instrText xml:space="preserve"> PAGEREF _Toc101365596 \h </w:instrText>
      </w:r>
      <w:r>
        <w:rPr>
          <w:noProof/>
        </w:rPr>
      </w:r>
      <w:r>
        <w:rPr>
          <w:noProof/>
        </w:rPr>
        <w:fldChar w:fldCharType="separate"/>
      </w:r>
      <w:r w:rsidR="00A56E89">
        <w:rPr>
          <w:noProof/>
        </w:rPr>
        <w:t>22</w:t>
      </w:r>
      <w:r>
        <w:rPr>
          <w:noProof/>
        </w:rPr>
        <w:fldChar w:fldCharType="end"/>
      </w:r>
    </w:p>
    <w:p w14:paraId="7C46A77C" w14:textId="7C785F28" w:rsidR="00AF1A99" w:rsidRDefault="00AF1A99" w:rsidP="00AF1A99">
      <w:pPr>
        <w:pStyle w:val="TOC3"/>
        <w:keepNext/>
        <w:rPr>
          <w:rFonts w:asciiTheme="minorHAnsi" w:eastAsiaTheme="minorEastAsia" w:hAnsiTheme="minorHAnsi" w:cstheme="minorBidi"/>
          <w:noProof/>
          <w:sz w:val="22"/>
          <w:szCs w:val="22"/>
          <w:lang w:eastAsia="en-NZ"/>
        </w:rPr>
      </w:pPr>
      <w:r>
        <w:rPr>
          <w:noProof/>
        </w:rPr>
        <w:t>Table 3:</w:t>
      </w:r>
      <w:r>
        <w:rPr>
          <w:noProof/>
        </w:rPr>
        <w:tab/>
        <w:t>Lung cancer gaps</w:t>
      </w:r>
      <w:r>
        <w:rPr>
          <w:noProof/>
        </w:rPr>
        <w:tab/>
      </w:r>
      <w:r>
        <w:rPr>
          <w:noProof/>
        </w:rPr>
        <w:fldChar w:fldCharType="begin"/>
      </w:r>
      <w:r>
        <w:rPr>
          <w:noProof/>
        </w:rPr>
        <w:instrText xml:space="preserve"> PAGEREF _Toc101365597 \h </w:instrText>
      </w:r>
      <w:r>
        <w:rPr>
          <w:noProof/>
        </w:rPr>
      </w:r>
      <w:r>
        <w:rPr>
          <w:noProof/>
        </w:rPr>
        <w:fldChar w:fldCharType="separate"/>
      </w:r>
      <w:r w:rsidR="00A56E89">
        <w:rPr>
          <w:noProof/>
        </w:rPr>
        <w:t>26</w:t>
      </w:r>
      <w:r>
        <w:rPr>
          <w:noProof/>
        </w:rPr>
        <w:fldChar w:fldCharType="end"/>
      </w:r>
    </w:p>
    <w:p w14:paraId="3D943AA1" w14:textId="30E78AE0" w:rsidR="00AF1A99" w:rsidRDefault="00AF1A99" w:rsidP="00AF1A99">
      <w:pPr>
        <w:pStyle w:val="TOC3"/>
        <w:keepNext/>
        <w:rPr>
          <w:rFonts w:asciiTheme="minorHAnsi" w:eastAsiaTheme="minorEastAsia" w:hAnsiTheme="minorHAnsi" w:cstheme="minorBidi"/>
          <w:noProof/>
          <w:sz w:val="22"/>
          <w:szCs w:val="22"/>
          <w:lang w:eastAsia="en-NZ"/>
        </w:rPr>
      </w:pPr>
      <w:r>
        <w:rPr>
          <w:noProof/>
        </w:rPr>
        <w:t>Table 4:</w:t>
      </w:r>
      <w:r>
        <w:rPr>
          <w:noProof/>
        </w:rPr>
        <w:tab/>
        <w:t>Breast cancer gap</w:t>
      </w:r>
      <w:r>
        <w:rPr>
          <w:noProof/>
        </w:rPr>
        <w:tab/>
      </w:r>
      <w:r>
        <w:rPr>
          <w:noProof/>
        </w:rPr>
        <w:fldChar w:fldCharType="begin"/>
      </w:r>
      <w:r>
        <w:rPr>
          <w:noProof/>
        </w:rPr>
        <w:instrText xml:space="preserve"> PAGEREF _Toc101365598 \h </w:instrText>
      </w:r>
      <w:r>
        <w:rPr>
          <w:noProof/>
        </w:rPr>
      </w:r>
      <w:r>
        <w:rPr>
          <w:noProof/>
        </w:rPr>
        <w:fldChar w:fldCharType="separate"/>
      </w:r>
      <w:r w:rsidR="00A56E89">
        <w:rPr>
          <w:noProof/>
        </w:rPr>
        <w:t>28</w:t>
      </w:r>
      <w:r>
        <w:rPr>
          <w:noProof/>
        </w:rPr>
        <w:fldChar w:fldCharType="end"/>
      </w:r>
    </w:p>
    <w:p w14:paraId="7A9A129E" w14:textId="3DC78B44" w:rsidR="00AF1A99" w:rsidRDefault="00AF1A99">
      <w:pPr>
        <w:pStyle w:val="TOC3"/>
        <w:rPr>
          <w:rFonts w:asciiTheme="minorHAnsi" w:eastAsiaTheme="minorEastAsia" w:hAnsiTheme="minorHAnsi" w:cstheme="minorBidi"/>
          <w:noProof/>
          <w:sz w:val="22"/>
          <w:szCs w:val="22"/>
          <w:lang w:eastAsia="en-NZ"/>
        </w:rPr>
      </w:pPr>
      <w:r>
        <w:rPr>
          <w:noProof/>
        </w:rPr>
        <w:t>Table 5:</w:t>
      </w:r>
      <w:r>
        <w:rPr>
          <w:noProof/>
        </w:rPr>
        <w:tab/>
        <w:t>Liver cancer gap</w:t>
      </w:r>
      <w:r>
        <w:rPr>
          <w:noProof/>
        </w:rPr>
        <w:tab/>
      </w:r>
      <w:r>
        <w:rPr>
          <w:noProof/>
        </w:rPr>
        <w:fldChar w:fldCharType="begin"/>
      </w:r>
      <w:r>
        <w:rPr>
          <w:noProof/>
        </w:rPr>
        <w:instrText xml:space="preserve"> PAGEREF _Toc101365599 \h </w:instrText>
      </w:r>
      <w:r>
        <w:rPr>
          <w:noProof/>
        </w:rPr>
      </w:r>
      <w:r>
        <w:rPr>
          <w:noProof/>
        </w:rPr>
        <w:fldChar w:fldCharType="separate"/>
      </w:r>
      <w:r w:rsidR="00A56E89">
        <w:rPr>
          <w:noProof/>
        </w:rPr>
        <w:t>29</w:t>
      </w:r>
      <w:r>
        <w:rPr>
          <w:noProof/>
        </w:rPr>
        <w:fldChar w:fldCharType="end"/>
      </w:r>
    </w:p>
    <w:p w14:paraId="03C93954" w14:textId="2B368C04" w:rsidR="00AF1A99" w:rsidRDefault="00AF1A99">
      <w:pPr>
        <w:pStyle w:val="TOC3"/>
        <w:rPr>
          <w:rFonts w:asciiTheme="minorHAnsi" w:eastAsiaTheme="minorEastAsia" w:hAnsiTheme="minorHAnsi" w:cstheme="minorBidi"/>
          <w:noProof/>
          <w:sz w:val="22"/>
          <w:szCs w:val="22"/>
          <w:lang w:eastAsia="en-NZ"/>
        </w:rPr>
      </w:pPr>
      <w:r>
        <w:rPr>
          <w:noProof/>
        </w:rPr>
        <w:t>Table 6:</w:t>
      </w:r>
      <w:r>
        <w:rPr>
          <w:noProof/>
        </w:rPr>
        <w:tab/>
        <w:t>Bowel cancer gaps</w:t>
      </w:r>
      <w:r>
        <w:rPr>
          <w:noProof/>
        </w:rPr>
        <w:tab/>
      </w:r>
      <w:r>
        <w:rPr>
          <w:noProof/>
        </w:rPr>
        <w:fldChar w:fldCharType="begin"/>
      </w:r>
      <w:r>
        <w:rPr>
          <w:noProof/>
        </w:rPr>
        <w:instrText xml:space="preserve"> PAGEREF _Toc101365600 \h </w:instrText>
      </w:r>
      <w:r>
        <w:rPr>
          <w:noProof/>
        </w:rPr>
      </w:r>
      <w:r>
        <w:rPr>
          <w:noProof/>
        </w:rPr>
        <w:fldChar w:fldCharType="separate"/>
      </w:r>
      <w:r w:rsidR="00A56E89">
        <w:rPr>
          <w:noProof/>
        </w:rPr>
        <w:t>30</w:t>
      </w:r>
      <w:r>
        <w:rPr>
          <w:noProof/>
        </w:rPr>
        <w:fldChar w:fldCharType="end"/>
      </w:r>
    </w:p>
    <w:p w14:paraId="59A8FDCB" w14:textId="66A646E6" w:rsidR="00AF1A99" w:rsidRDefault="00AF1A99">
      <w:pPr>
        <w:pStyle w:val="TOC3"/>
        <w:rPr>
          <w:rFonts w:asciiTheme="minorHAnsi" w:eastAsiaTheme="minorEastAsia" w:hAnsiTheme="minorHAnsi" w:cstheme="minorBidi"/>
          <w:noProof/>
          <w:sz w:val="22"/>
          <w:szCs w:val="22"/>
          <w:lang w:eastAsia="en-NZ"/>
        </w:rPr>
      </w:pPr>
      <w:r>
        <w:rPr>
          <w:noProof/>
        </w:rPr>
        <w:t>Table 7:</w:t>
      </w:r>
      <w:r>
        <w:rPr>
          <w:noProof/>
        </w:rPr>
        <w:tab/>
        <w:t>Kidney cancer gaps</w:t>
      </w:r>
      <w:r>
        <w:rPr>
          <w:noProof/>
        </w:rPr>
        <w:tab/>
      </w:r>
      <w:r>
        <w:rPr>
          <w:noProof/>
        </w:rPr>
        <w:fldChar w:fldCharType="begin"/>
      </w:r>
      <w:r>
        <w:rPr>
          <w:noProof/>
        </w:rPr>
        <w:instrText xml:space="preserve"> PAGEREF _Toc101365601 \h </w:instrText>
      </w:r>
      <w:r>
        <w:rPr>
          <w:noProof/>
        </w:rPr>
      </w:r>
      <w:r>
        <w:rPr>
          <w:noProof/>
        </w:rPr>
        <w:fldChar w:fldCharType="separate"/>
      </w:r>
      <w:r w:rsidR="00A56E89">
        <w:rPr>
          <w:noProof/>
        </w:rPr>
        <w:t>31</w:t>
      </w:r>
      <w:r>
        <w:rPr>
          <w:noProof/>
        </w:rPr>
        <w:fldChar w:fldCharType="end"/>
      </w:r>
    </w:p>
    <w:p w14:paraId="431D2A04" w14:textId="13FAD068" w:rsidR="00AF1A99" w:rsidRDefault="00AF1A99">
      <w:pPr>
        <w:pStyle w:val="TOC3"/>
        <w:rPr>
          <w:rFonts w:asciiTheme="minorHAnsi" w:eastAsiaTheme="minorEastAsia" w:hAnsiTheme="minorHAnsi" w:cstheme="minorBidi"/>
          <w:noProof/>
          <w:sz w:val="22"/>
          <w:szCs w:val="22"/>
          <w:lang w:eastAsia="en-NZ"/>
        </w:rPr>
      </w:pPr>
      <w:r>
        <w:rPr>
          <w:noProof/>
        </w:rPr>
        <w:t>Table 8:</w:t>
      </w:r>
      <w:r>
        <w:rPr>
          <w:noProof/>
        </w:rPr>
        <w:tab/>
        <w:t>Bladder cancer gap</w:t>
      </w:r>
      <w:r>
        <w:rPr>
          <w:noProof/>
        </w:rPr>
        <w:tab/>
      </w:r>
      <w:r>
        <w:rPr>
          <w:noProof/>
        </w:rPr>
        <w:fldChar w:fldCharType="begin"/>
      </w:r>
      <w:r>
        <w:rPr>
          <w:noProof/>
        </w:rPr>
        <w:instrText xml:space="preserve"> PAGEREF _Toc101365602 \h </w:instrText>
      </w:r>
      <w:r>
        <w:rPr>
          <w:noProof/>
        </w:rPr>
      </w:r>
      <w:r>
        <w:rPr>
          <w:noProof/>
        </w:rPr>
        <w:fldChar w:fldCharType="separate"/>
      </w:r>
      <w:r w:rsidR="00A56E89">
        <w:rPr>
          <w:noProof/>
        </w:rPr>
        <w:t>32</w:t>
      </w:r>
      <w:r>
        <w:rPr>
          <w:noProof/>
        </w:rPr>
        <w:fldChar w:fldCharType="end"/>
      </w:r>
    </w:p>
    <w:p w14:paraId="50E1AA0D" w14:textId="1819DA02" w:rsidR="00AF1A99" w:rsidRDefault="00AF1A99">
      <w:pPr>
        <w:pStyle w:val="TOC3"/>
        <w:rPr>
          <w:rFonts w:asciiTheme="minorHAnsi" w:eastAsiaTheme="minorEastAsia" w:hAnsiTheme="minorHAnsi" w:cstheme="minorBidi"/>
          <w:noProof/>
          <w:sz w:val="22"/>
          <w:szCs w:val="22"/>
          <w:lang w:eastAsia="en-NZ"/>
        </w:rPr>
      </w:pPr>
      <w:r>
        <w:rPr>
          <w:noProof/>
        </w:rPr>
        <w:t>Table 9:</w:t>
      </w:r>
      <w:r>
        <w:rPr>
          <w:noProof/>
        </w:rPr>
        <w:tab/>
        <w:t>Ovarian cancer gaps</w:t>
      </w:r>
      <w:r>
        <w:rPr>
          <w:noProof/>
        </w:rPr>
        <w:tab/>
      </w:r>
      <w:r>
        <w:rPr>
          <w:noProof/>
        </w:rPr>
        <w:fldChar w:fldCharType="begin"/>
      </w:r>
      <w:r>
        <w:rPr>
          <w:noProof/>
        </w:rPr>
        <w:instrText xml:space="preserve"> PAGEREF _Toc101365603 \h </w:instrText>
      </w:r>
      <w:r>
        <w:rPr>
          <w:noProof/>
        </w:rPr>
      </w:r>
      <w:r>
        <w:rPr>
          <w:noProof/>
        </w:rPr>
        <w:fldChar w:fldCharType="separate"/>
      </w:r>
      <w:r w:rsidR="00A56E89">
        <w:rPr>
          <w:noProof/>
        </w:rPr>
        <w:t>33</w:t>
      </w:r>
      <w:r>
        <w:rPr>
          <w:noProof/>
        </w:rPr>
        <w:fldChar w:fldCharType="end"/>
      </w:r>
    </w:p>
    <w:p w14:paraId="7C45A350" w14:textId="32CD495B" w:rsidR="00AF1A99" w:rsidRDefault="00AF1A99">
      <w:pPr>
        <w:pStyle w:val="TOC3"/>
        <w:rPr>
          <w:rFonts w:asciiTheme="minorHAnsi" w:eastAsiaTheme="minorEastAsia" w:hAnsiTheme="minorHAnsi" w:cstheme="minorBidi"/>
          <w:noProof/>
          <w:sz w:val="22"/>
          <w:szCs w:val="22"/>
          <w:lang w:eastAsia="en-NZ"/>
        </w:rPr>
      </w:pPr>
      <w:r>
        <w:rPr>
          <w:noProof/>
        </w:rPr>
        <w:t>Table 10:</w:t>
      </w:r>
      <w:r>
        <w:rPr>
          <w:noProof/>
        </w:rPr>
        <w:tab/>
        <w:t>Head and neck cancer gap</w:t>
      </w:r>
      <w:r>
        <w:rPr>
          <w:noProof/>
        </w:rPr>
        <w:tab/>
      </w:r>
      <w:r>
        <w:rPr>
          <w:noProof/>
        </w:rPr>
        <w:fldChar w:fldCharType="begin"/>
      </w:r>
      <w:r>
        <w:rPr>
          <w:noProof/>
        </w:rPr>
        <w:instrText xml:space="preserve"> PAGEREF _Toc101365604 \h </w:instrText>
      </w:r>
      <w:r>
        <w:rPr>
          <w:noProof/>
        </w:rPr>
      </w:r>
      <w:r>
        <w:rPr>
          <w:noProof/>
        </w:rPr>
        <w:fldChar w:fldCharType="separate"/>
      </w:r>
      <w:r w:rsidR="00A56E89">
        <w:rPr>
          <w:noProof/>
        </w:rPr>
        <w:t>34</w:t>
      </w:r>
      <w:r>
        <w:rPr>
          <w:noProof/>
        </w:rPr>
        <w:fldChar w:fldCharType="end"/>
      </w:r>
    </w:p>
    <w:p w14:paraId="1697382A" w14:textId="0883FE9B" w:rsidR="00AF1A99" w:rsidRDefault="00AF1A99">
      <w:pPr>
        <w:pStyle w:val="TOC3"/>
        <w:rPr>
          <w:rFonts w:asciiTheme="minorHAnsi" w:eastAsiaTheme="minorEastAsia" w:hAnsiTheme="minorHAnsi" w:cstheme="minorBidi"/>
          <w:noProof/>
          <w:sz w:val="22"/>
          <w:szCs w:val="22"/>
          <w:lang w:eastAsia="en-NZ"/>
        </w:rPr>
      </w:pPr>
      <w:r>
        <w:rPr>
          <w:noProof/>
        </w:rPr>
        <w:t>Table 11:</w:t>
      </w:r>
      <w:r>
        <w:rPr>
          <w:noProof/>
        </w:rPr>
        <w:tab/>
        <w:t>Skin cancer gaps</w:t>
      </w:r>
      <w:r>
        <w:rPr>
          <w:noProof/>
        </w:rPr>
        <w:tab/>
      </w:r>
      <w:r>
        <w:rPr>
          <w:noProof/>
        </w:rPr>
        <w:fldChar w:fldCharType="begin"/>
      </w:r>
      <w:r>
        <w:rPr>
          <w:noProof/>
        </w:rPr>
        <w:instrText xml:space="preserve"> PAGEREF _Toc101365605 \h </w:instrText>
      </w:r>
      <w:r>
        <w:rPr>
          <w:noProof/>
        </w:rPr>
      </w:r>
      <w:r>
        <w:rPr>
          <w:noProof/>
        </w:rPr>
        <w:fldChar w:fldCharType="separate"/>
      </w:r>
      <w:r w:rsidR="00A56E89">
        <w:rPr>
          <w:noProof/>
        </w:rPr>
        <w:t>35</w:t>
      </w:r>
      <w:r>
        <w:rPr>
          <w:noProof/>
        </w:rPr>
        <w:fldChar w:fldCharType="end"/>
      </w:r>
    </w:p>
    <w:p w14:paraId="42525FBA" w14:textId="4ACB2BEB" w:rsidR="00AF1A99" w:rsidRDefault="00AF1A99">
      <w:pPr>
        <w:pStyle w:val="TOC3"/>
        <w:rPr>
          <w:rFonts w:asciiTheme="minorHAnsi" w:eastAsiaTheme="minorEastAsia" w:hAnsiTheme="minorHAnsi" w:cstheme="minorBidi"/>
          <w:noProof/>
          <w:sz w:val="22"/>
          <w:szCs w:val="22"/>
          <w:lang w:eastAsia="en-NZ"/>
        </w:rPr>
      </w:pPr>
      <w:r>
        <w:rPr>
          <w:noProof/>
        </w:rPr>
        <w:lastRenderedPageBreak/>
        <w:t>Table 2.1:</w:t>
      </w:r>
      <w:r>
        <w:rPr>
          <w:noProof/>
        </w:rPr>
        <w:tab/>
        <w:t>Medicines included in the WHO-EML</w:t>
      </w:r>
      <w:r>
        <w:rPr>
          <w:noProof/>
        </w:rPr>
        <w:tab/>
      </w:r>
      <w:r>
        <w:rPr>
          <w:noProof/>
        </w:rPr>
        <w:fldChar w:fldCharType="begin"/>
      </w:r>
      <w:r>
        <w:rPr>
          <w:noProof/>
        </w:rPr>
        <w:instrText xml:space="preserve"> PAGEREF _Toc101365606 \h </w:instrText>
      </w:r>
      <w:r>
        <w:rPr>
          <w:noProof/>
        </w:rPr>
      </w:r>
      <w:r>
        <w:rPr>
          <w:noProof/>
        </w:rPr>
        <w:fldChar w:fldCharType="separate"/>
      </w:r>
      <w:r w:rsidR="00A56E89">
        <w:rPr>
          <w:noProof/>
        </w:rPr>
        <w:t>46</w:t>
      </w:r>
      <w:r>
        <w:rPr>
          <w:noProof/>
        </w:rPr>
        <w:fldChar w:fldCharType="end"/>
      </w:r>
    </w:p>
    <w:p w14:paraId="6D2F2C72" w14:textId="6F60A545" w:rsidR="00AF1A99" w:rsidRDefault="00AF1A99">
      <w:pPr>
        <w:pStyle w:val="TOC3"/>
        <w:rPr>
          <w:rFonts w:asciiTheme="minorHAnsi" w:eastAsiaTheme="minorEastAsia" w:hAnsiTheme="minorHAnsi" w:cstheme="minorBidi"/>
          <w:noProof/>
          <w:sz w:val="22"/>
          <w:szCs w:val="22"/>
          <w:lang w:eastAsia="en-NZ"/>
        </w:rPr>
      </w:pPr>
      <w:r>
        <w:rPr>
          <w:noProof/>
        </w:rPr>
        <w:t>Table 3.1:</w:t>
      </w:r>
      <w:r>
        <w:rPr>
          <w:noProof/>
        </w:rPr>
        <w:tab/>
        <w:t>Medicines funded in both Aotearoa and Australia (including for haematology indications)</w:t>
      </w:r>
      <w:r>
        <w:rPr>
          <w:noProof/>
        </w:rPr>
        <w:tab/>
      </w:r>
      <w:r>
        <w:rPr>
          <w:noProof/>
        </w:rPr>
        <w:fldChar w:fldCharType="begin"/>
      </w:r>
      <w:r>
        <w:rPr>
          <w:noProof/>
        </w:rPr>
        <w:instrText xml:space="preserve"> PAGEREF _Toc101365607 \h </w:instrText>
      </w:r>
      <w:r>
        <w:rPr>
          <w:noProof/>
        </w:rPr>
      </w:r>
      <w:r>
        <w:rPr>
          <w:noProof/>
        </w:rPr>
        <w:fldChar w:fldCharType="separate"/>
      </w:r>
      <w:r w:rsidR="00A56E89">
        <w:rPr>
          <w:noProof/>
        </w:rPr>
        <w:t>54</w:t>
      </w:r>
      <w:r>
        <w:rPr>
          <w:noProof/>
        </w:rPr>
        <w:fldChar w:fldCharType="end"/>
      </w:r>
    </w:p>
    <w:p w14:paraId="45C9155D" w14:textId="69B12C2B" w:rsidR="00AF1A99" w:rsidRDefault="00AF1A99">
      <w:pPr>
        <w:pStyle w:val="TOC3"/>
        <w:rPr>
          <w:rFonts w:asciiTheme="minorHAnsi" w:eastAsiaTheme="minorEastAsia" w:hAnsiTheme="minorHAnsi" w:cstheme="minorBidi"/>
          <w:noProof/>
          <w:sz w:val="22"/>
          <w:szCs w:val="22"/>
          <w:lang w:eastAsia="en-NZ"/>
        </w:rPr>
      </w:pPr>
      <w:r>
        <w:rPr>
          <w:noProof/>
        </w:rPr>
        <w:t>Table 4.1:</w:t>
      </w:r>
      <w:r>
        <w:rPr>
          <w:noProof/>
        </w:rPr>
        <w:tab/>
        <w:t>Medicines funded in Aotearoa but not in Australia</w:t>
      </w:r>
      <w:r>
        <w:rPr>
          <w:noProof/>
        </w:rPr>
        <w:tab/>
      </w:r>
      <w:r>
        <w:rPr>
          <w:noProof/>
        </w:rPr>
        <w:fldChar w:fldCharType="begin"/>
      </w:r>
      <w:r>
        <w:rPr>
          <w:noProof/>
        </w:rPr>
        <w:instrText xml:space="preserve"> PAGEREF _Toc101365608 \h </w:instrText>
      </w:r>
      <w:r>
        <w:rPr>
          <w:noProof/>
        </w:rPr>
      </w:r>
      <w:r>
        <w:rPr>
          <w:noProof/>
        </w:rPr>
        <w:fldChar w:fldCharType="separate"/>
      </w:r>
      <w:r w:rsidR="00A56E89">
        <w:rPr>
          <w:noProof/>
        </w:rPr>
        <w:t>58</w:t>
      </w:r>
      <w:r>
        <w:rPr>
          <w:noProof/>
        </w:rPr>
        <w:fldChar w:fldCharType="end"/>
      </w:r>
    </w:p>
    <w:p w14:paraId="4E4565AE" w14:textId="4CF8613C" w:rsidR="00AF1A99" w:rsidRDefault="00AF1A99">
      <w:pPr>
        <w:pStyle w:val="TOC3"/>
        <w:rPr>
          <w:rFonts w:asciiTheme="minorHAnsi" w:eastAsiaTheme="minorEastAsia" w:hAnsiTheme="minorHAnsi" w:cstheme="minorBidi"/>
          <w:noProof/>
          <w:sz w:val="22"/>
          <w:szCs w:val="22"/>
          <w:lang w:eastAsia="en-NZ"/>
        </w:rPr>
      </w:pPr>
      <w:r w:rsidRPr="00A3017E">
        <w:rPr>
          <w:noProof/>
          <w:spacing w:val="-2"/>
        </w:rPr>
        <w:t>Table 5.1</w:t>
      </w:r>
      <w:r>
        <w:rPr>
          <w:noProof/>
          <w:spacing w:val="-2"/>
        </w:rPr>
        <w:t>:</w:t>
      </w:r>
      <w:r>
        <w:rPr>
          <w:noProof/>
          <w:spacing w:val="-2"/>
        </w:rPr>
        <w:tab/>
      </w:r>
      <w:r w:rsidRPr="00A3017E">
        <w:rPr>
          <w:noProof/>
          <w:spacing w:val="-2"/>
        </w:rPr>
        <w:t>Medicines funded in Australia but not in Aotearoa with an ESMO-MCBS score of A</w:t>
      </w:r>
      <w:r>
        <w:rPr>
          <w:noProof/>
        </w:rPr>
        <w:tab/>
      </w:r>
      <w:r>
        <w:rPr>
          <w:noProof/>
        </w:rPr>
        <w:fldChar w:fldCharType="begin"/>
      </w:r>
      <w:r>
        <w:rPr>
          <w:noProof/>
        </w:rPr>
        <w:instrText xml:space="preserve"> PAGEREF _Toc101365609 \h </w:instrText>
      </w:r>
      <w:r>
        <w:rPr>
          <w:noProof/>
        </w:rPr>
      </w:r>
      <w:r>
        <w:rPr>
          <w:noProof/>
        </w:rPr>
        <w:fldChar w:fldCharType="separate"/>
      </w:r>
      <w:r w:rsidR="00A56E89">
        <w:rPr>
          <w:noProof/>
        </w:rPr>
        <w:t>59</w:t>
      </w:r>
      <w:r>
        <w:rPr>
          <w:noProof/>
        </w:rPr>
        <w:fldChar w:fldCharType="end"/>
      </w:r>
    </w:p>
    <w:p w14:paraId="575A9655" w14:textId="6FB71F0C" w:rsidR="00AF1A99" w:rsidRDefault="00AF1A99">
      <w:pPr>
        <w:pStyle w:val="TOC3"/>
        <w:rPr>
          <w:rFonts w:asciiTheme="minorHAnsi" w:eastAsiaTheme="minorEastAsia" w:hAnsiTheme="minorHAnsi" w:cstheme="minorBidi"/>
          <w:noProof/>
          <w:sz w:val="22"/>
          <w:szCs w:val="22"/>
          <w:lang w:eastAsia="en-NZ"/>
        </w:rPr>
      </w:pPr>
      <w:r>
        <w:rPr>
          <w:noProof/>
        </w:rPr>
        <w:t>Table 5.2:</w:t>
      </w:r>
      <w:r>
        <w:rPr>
          <w:noProof/>
        </w:rPr>
        <w:tab/>
        <w:t>Medicines funded in Australia and not in Aotearoa – ESMO-MCBS score of 5</w:t>
      </w:r>
      <w:r>
        <w:rPr>
          <w:noProof/>
        </w:rPr>
        <w:tab/>
      </w:r>
      <w:r>
        <w:rPr>
          <w:noProof/>
        </w:rPr>
        <w:fldChar w:fldCharType="begin"/>
      </w:r>
      <w:r>
        <w:rPr>
          <w:noProof/>
        </w:rPr>
        <w:instrText xml:space="preserve"> PAGEREF _Toc101365610 \h </w:instrText>
      </w:r>
      <w:r>
        <w:rPr>
          <w:noProof/>
        </w:rPr>
      </w:r>
      <w:r>
        <w:rPr>
          <w:noProof/>
        </w:rPr>
        <w:fldChar w:fldCharType="separate"/>
      </w:r>
      <w:r w:rsidR="00A56E89">
        <w:rPr>
          <w:noProof/>
        </w:rPr>
        <w:t>60</w:t>
      </w:r>
      <w:r>
        <w:rPr>
          <w:noProof/>
        </w:rPr>
        <w:fldChar w:fldCharType="end"/>
      </w:r>
    </w:p>
    <w:p w14:paraId="494617B7" w14:textId="5F2F10E9" w:rsidR="00AF1A99" w:rsidRDefault="00AF1A99">
      <w:pPr>
        <w:pStyle w:val="TOC3"/>
        <w:rPr>
          <w:rFonts w:asciiTheme="minorHAnsi" w:eastAsiaTheme="minorEastAsia" w:hAnsiTheme="minorHAnsi" w:cstheme="minorBidi"/>
          <w:noProof/>
          <w:sz w:val="22"/>
          <w:szCs w:val="22"/>
          <w:lang w:eastAsia="en-NZ"/>
        </w:rPr>
      </w:pPr>
      <w:r>
        <w:rPr>
          <w:noProof/>
        </w:rPr>
        <w:t>Table 5.3:</w:t>
      </w:r>
      <w:r>
        <w:rPr>
          <w:noProof/>
        </w:rPr>
        <w:tab/>
        <w:t>Medicines funded in Australia and not in Aotearoa – ESMO-MCBS score of 4</w:t>
      </w:r>
      <w:r>
        <w:rPr>
          <w:noProof/>
        </w:rPr>
        <w:tab/>
      </w:r>
      <w:r>
        <w:rPr>
          <w:noProof/>
        </w:rPr>
        <w:fldChar w:fldCharType="begin"/>
      </w:r>
      <w:r>
        <w:rPr>
          <w:noProof/>
        </w:rPr>
        <w:instrText xml:space="preserve"> PAGEREF _Toc101365611 \h </w:instrText>
      </w:r>
      <w:r>
        <w:rPr>
          <w:noProof/>
        </w:rPr>
      </w:r>
      <w:r>
        <w:rPr>
          <w:noProof/>
        </w:rPr>
        <w:fldChar w:fldCharType="separate"/>
      </w:r>
      <w:r w:rsidR="00A56E89">
        <w:rPr>
          <w:noProof/>
        </w:rPr>
        <w:t>63</w:t>
      </w:r>
      <w:r>
        <w:rPr>
          <w:noProof/>
        </w:rPr>
        <w:fldChar w:fldCharType="end"/>
      </w:r>
    </w:p>
    <w:p w14:paraId="2108A358" w14:textId="2BA896BC" w:rsidR="00AF1A99" w:rsidRDefault="00AF1A99">
      <w:pPr>
        <w:pStyle w:val="TOC3"/>
        <w:rPr>
          <w:rFonts w:asciiTheme="minorHAnsi" w:eastAsiaTheme="minorEastAsia" w:hAnsiTheme="minorHAnsi" w:cstheme="minorBidi"/>
          <w:noProof/>
          <w:sz w:val="22"/>
          <w:szCs w:val="22"/>
          <w:lang w:eastAsia="en-NZ"/>
        </w:rPr>
      </w:pPr>
      <w:r>
        <w:rPr>
          <w:noProof/>
        </w:rPr>
        <w:t>Table 5.4:</w:t>
      </w:r>
      <w:r>
        <w:rPr>
          <w:noProof/>
        </w:rPr>
        <w:tab/>
        <w:t>Medicines funded in Australia and not in Aotearoa – ESMO-MCBS score of 3</w:t>
      </w:r>
      <w:r>
        <w:rPr>
          <w:noProof/>
        </w:rPr>
        <w:tab/>
      </w:r>
      <w:r>
        <w:rPr>
          <w:noProof/>
        </w:rPr>
        <w:fldChar w:fldCharType="begin"/>
      </w:r>
      <w:r>
        <w:rPr>
          <w:noProof/>
        </w:rPr>
        <w:instrText xml:space="preserve"> PAGEREF _Toc101365612 \h </w:instrText>
      </w:r>
      <w:r>
        <w:rPr>
          <w:noProof/>
        </w:rPr>
      </w:r>
      <w:r>
        <w:rPr>
          <w:noProof/>
        </w:rPr>
        <w:fldChar w:fldCharType="separate"/>
      </w:r>
      <w:r w:rsidR="00A56E89">
        <w:rPr>
          <w:noProof/>
        </w:rPr>
        <w:t>69</w:t>
      </w:r>
      <w:r>
        <w:rPr>
          <w:noProof/>
        </w:rPr>
        <w:fldChar w:fldCharType="end"/>
      </w:r>
    </w:p>
    <w:p w14:paraId="636F34F8" w14:textId="7DAB66D6" w:rsidR="00AF1A99" w:rsidRDefault="00AF1A99">
      <w:pPr>
        <w:pStyle w:val="TOC3"/>
        <w:rPr>
          <w:rFonts w:asciiTheme="minorHAnsi" w:eastAsiaTheme="minorEastAsia" w:hAnsiTheme="minorHAnsi" w:cstheme="minorBidi"/>
          <w:noProof/>
          <w:sz w:val="22"/>
          <w:szCs w:val="22"/>
          <w:lang w:eastAsia="en-NZ"/>
        </w:rPr>
      </w:pPr>
      <w:r>
        <w:rPr>
          <w:noProof/>
        </w:rPr>
        <w:t>Table 5.5:</w:t>
      </w:r>
      <w:r>
        <w:rPr>
          <w:noProof/>
        </w:rPr>
        <w:tab/>
        <w:t>Medicines funded in Australia and not in Aotearoa – ESMO-MCBS score of 2</w:t>
      </w:r>
      <w:r>
        <w:rPr>
          <w:noProof/>
        </w:rPr>
        <w:tab/>
      </w:r>
      <w:r>
        <w:rPr>
          <w:noProof/>
        </w:rPr>
        <w:fldChar w:fldCharType="begin"/>
      </w:r>
      <w:r>
        <w:rPr>
          <w:noProof/>
        </w:rPr>
        <w:instrText xml:space="preserve"> PAGEREF _Toc101365613 \h </w:instrText>
      </w:r>
      <w:r>
        <w:rPr>
          <w:noProof/>
        </w:rPr>
      </w:r>
      <w:r>
        <w:rPr>
          <w:noProof/>
        </w:rPr>
        <w:fldChar w:fldCharType="separate"/>
      </w:r>
      <w:r w:rsidR="00A56E89">
        <w:rPr>
          <w:noProof/>
        </w:rPr>
        <w:t>72</w:t>
      </w:r>
      <w:r>
        <w:rPr>
          <w:noProof/>
        </w:rPr>
        <w:fldChar w:fldCharType="end"/>
      </w:r>
    </w:p>
    <w:p w14:paraId="3C4FEB4E" w14:textId="339516F4" w:rsidR="00AF1A99" w:rsidRDefault="00AF1A99">
      <w:pPr>
        <w:pStyle w:val="TOC3"/>
        <w:rPr>
          <w:rFonts w:asciiTheme="minorHAnsi" w:eastAsiaTheme="minorEastAsia" w:hAnsiTheme="minorHAnsi" w:cstheme="minorBidi"/>
          <w:noProof/>
          <w:sz w:val="22"/>
          <w:szCs w:val="22"/>
          <w:lang w:eastAsia="en-NZ"/>
        </w:rPr>
      </w:pPr>
      <w:r>
        <w:rPr>
          <w:noProof/>
        </w:rPr>
        <w:t>Table 5.6:</w:t>
      </w:r>
      <w:r>
        <w:rPr>
          <w:noProof/>
        </w:rPr>
        <w:tab/>
        <w:t>Medicines funded in Australia and not in Aotearoa – ESMO-MCBS score not available for the funded indication</w:t>
      </w:r>
      <w:r>
        <w:rPr>
          <w:noProof/>
        </w:rPr>
        <w:tab/>
      </w:r>
      <w:r>
        <w:rPr>
          <w:noProof/>
        </w:rPr>
        <w:fldChar w:fldCharType="begin"/>
      </w:r>
      <w:r>
        <w:rPr>
          <w:noProof/>
        </w:rPr>
        <w:instrText xml:space="preserve"> PAGEREF _Toc101365614 \h </w:instrText>
      </w:r>
      <w:r>
        <w:rPr>
          <w:noProof/>
        </w:rPr>
      </w:r>
      <w:r>
        <w:rPr>
          <w:noProof/>
        </w:rPr>
        <w:fldChar w:fldCharType="separate"/>
      </w:r>
      <w:r w:rsidR="00A56E89">
        <w:rPr>
          <w:noProof/>
        </w:rPr>
        <w:t>73</w:t>
      </w:r>
      <w:r>
        <w:rPr>
          <w:noProof/>
        </w:rPr>
        <w:fldChar w:fldCharType="end"/>
      </w:r>
    </w:p>
    <w:p w14:paraId="6102E7AD" w14:textId="799E682D" w:rsidR="00AF1A99" w:rsidRDefault="00AF1A99">
      <w:pPr>
        <w:pStyle w:val="TOC3"/>
        <w:rPr>
          <w:rFonts w:asciiTheme="minorHAnsi" w:eastAsiaTheme="minorEastAsia" w:hAnsiTheme="minorHAnsi" w:cstheme="minorBidi"/>
          <w:noProof/>
          <w:sz w:val="22"/>
          <w:szCs w:val="22"/>
          <w:lang w:eastAsia="en-NZ"/>
        </w:rPr>
      </w:pPr>
      <w:r>
        <w:rPr>
          <w:noProof/>
        </w:rPr>
        <w:t>Table 5.7:</w:t>
      </w:r>
      <w:r>
        <w:rPr>
          <w:noProof/>
        </w:rPr>
        <w:tab/>
        <w:t>Medicines funded in Australia and not in Aotearoa – haematology indications</w:t>
      </w:r>
      <w:r>
        <w:rPr>
          <w:noProof/>
        </w:rPr>
        <w:tab/>
      </w:r>
      <w:r>
        <w:rPr>
          <w:noProof/>
        </w:rPr>
        <w:fldChar w:fldCharType="begin"/>
      </w:r>
      <w:r>
        <w:rPr>
          <w:noProof/>
        </w:rPr>
        <w:instrText xml:space="preserve"> PAGEREF _Toc101365615 \h </w:instrText>
      </w:r>
      <w:r>
        <w:rPr>
          <w:noProof/>
        </w:rPr>
      </w:r>
      <w:r>
        <w:rPr>
          <w:noProof/>
        </w:rPr>
        <w:fldChar w:fldCharType="separate"/>
      </w:r>
      <w:r w:rsidR="00A56E89">
        <w:rPr>
          <w:noProof/>
        </w:rPr>
        <w:t>76</w:t>
      </w:r>
      <w:r>
        <w:rPr>
          <w:noProof/>
        </w:rPr>
        <w:fldChar w:fldCharType="end"/>
      </w:r>
    </w:p>
    <w:p w14:paraId="477EB79B" w14:textId="4D0F88DF" w:rsidR="00AF1A99" w:rsidRDefault="00AF1A99">
      <w:pPr>
        <w:pStyle w:val="TOC3"/>
        <w:rPr>
          <w:rFonts w:asciiTheme="minorHAnsi" w:eastAsiaTheme="minorEastAsia" w:hAnsiTheme="minorHAnsi" w:cstheme="minorBidi"/>
          <w:noProof/>
          <w:sz w:val="22"/>
          <w:szCs w:val="22"/>
          <w:lang w:eastAsia="en-NZ"/>
        </w:rPr>
      </w:pPr>
      <w:r>
        <w:rPr>
          <w:noProof/>
        </w:rPr>
        <w:t>Table 6.1:</w:t>
      </w:r>
      <w:r>
        <w:rPr>
          <w:noProof/>
        </w:rPr>
        <w:tab/>
        <w:t>Comparison with Ontario, Canada</w:t>
      </w:r>
      <w:r>
        <w:rPr>
          <w:noProof/>
        </w:rPr>
        <w:tab/>
      </w:r>
      <w:r>
        <w:rPr>
          <w:noProof/>
        </w:rPr>
        <w:fldChar w:fldCharType="begin"/>
      </w:r>
      <w:r>
        <w:rPr>
          <w:noProof/>
        </w:rPr>
        <w:instrText xml:space="preserve"> PAGEREF _Toc101365616 \h </w:instrText>
      </w:r>
      <w:r>
        <w:rPr>
          <w:noProof/>
        </w:rPr>
      </w:r>
      <w:r>
        <w:rPr>
          <w:noProof/>
        </w:rPr>
        <w:fldChar w:fldCharType="separate"/>
      </w:r>
      <w:r w:rsidR="00A56E89">
        <w:rPr>
          <w:noProof/>
        </w:rPr>
        <w:t>84</w:t>
      </w:r>
      <w:r>
        <w:rPr>
          <w:noProof/>
        </w:rPr>
        <w:fldChar w:fldCharType="end"/>
      </w:r>
    </w:p>
    <w:p w14:paraId="63569464" w14:textId="6802BD08" w:rsidR="00AF1A99" w:rsidRDefault="00AF1A99">
      <w:pPr>
        <w:pStyle w:val="TOC3"/>
        <w:rPr>
          <w:rFonts w:asciiTheme="minorHAnsi" w:eastAsiaTheme="minorEastAsia" w:hAnsiTheme="minorHAnsi" w:cstheme="minorBidi"/>
          <w:noProof/>
          <w:sz w:val="22"/>
          <w:szCs w:val="22"/>
          <w:lang w:eastAsia="en-NZ"/>
        </w:rPr>
      </w:pPr>
      <w:r>
        <w:rPr>
          <w:noProof/>
        </w:rPr>
        <w:t>Table 7.1:</w:t>
      </w:r>
      <w:r>
        <w:rPr>
          <w:noProof/>
        </w:rPr>
        <w:tab/>
        <w:t>Immunotherapy/immunochemotherapy for lung cancer – first-line therapy</w:t>
      </w:r>
      <w:r>
        <w:rPr>
          <w:noProof/>
        </w:rPr>
        <w:tab/>
      </w:r>
      <w:r>
        <w:rPr>
          <w:noProof/>
        </w:rPr>
        <w:fldChar w:fldCharType="begin"/>
      </w:r>
      <w:r>
        <w:rPr>
          <w:noProof/>
        </w:rPr>
        <w:instrText xml:space="preserve"> PAGEREF _Toc101365617 \h </w:instrText>
      </w:r>
      <w:r>
        <w:rPr>
          <w:noProof/>
        </w:rPr>
      </w:r>
      <w:r>
        <w:rPr>
          <w:noProof/>
        </w:rPr>
        <w:fldChar w:fldCharType="separate"/>
      </w:r>
      <w:r w:rsidR="00A56E89">
        <w:rPr>
          <w:noProof/>
        </w:rPr>
        <w:t>87</w:t>
      </w:r>
      <w:r>
        <w:rPr>
          <w:noProof/>
        </w:rPr>
        <w:fldChar w:fldCharType="end"/>
      </w:r>
    </w:p>
    <w:p w14:paraId="0B87AD6D" w14:textId="4C1ADCEF" w:rsidR="00AF1A99" w:rsidRDefault="00AF1A99">
      <w:pPr>
        <w:pStyle w:val="TOC3"/>
        <w:rPr>
          <w:rFonts w:asciiTheme="minorHAnsi" w:eastAsiaTheme="minorEastAsia" w:hAnsiTheme="minorHAnsi" w:cstheme="minorBidi"/>
          <w:noProof/>
          <w:sz w:val="22"/>
          <w:szCs w:val="22"/>
          <w:lang w:eastAsia="en-NZ"/>
        </w:rPr>
      </w:pPr>
      <w:r>
        <w:rPr>
          <w:noProof/>
        </w:rPr>
        <w:t>Table 7.2:</w:t>
      </w:r>
      <w:r>
        <w:rPr>
          <w:noProof/>
        </w:rPr>
        <w:tab/>
        <w:t>Atezolizumab or nivolumab for lung cancer – second-line therapy</w:t>
      </w:r>
      <w:r>
        <w:rPr>
          <w:noProof/>
        </w:rPr>
        <w:tab/>
      </w:r>
      <w:r>
        <w:rPr>
          <w:noProof/>
        </w:rPr>
        <w:fldChar w:fldCharType="begin"/>
      </w:r>
      <w:r>
        <w:rPr>
          <w:noProof/>
        </w:rPr>
        <w:instrText xml:space="preserve"> PAGEREF _Toc101365618 \h </w:instrText>
      </w:r>
      <w:r>
        <w:rPr>
          <w:noProof/>
        </w:rPr>
      </w:r>
      <w:r>
        <w:rPr>
          <w:noProof/>
        </w:rPr>
        <w:fldChar w:fldCharType="separate"/>
      </w:r>
      <w:r w:rsidR="00A56E89">
        <w:rPr>
          <w:noProof/>
        </w:rPr>
        <w:t>92</w:t>
      </w:r>
      <w:r>
        <w:rPr>
          <w:noProof/>
        </w:rPr>
        <w:fldChar w:fldCharType="end"/>
      </w:r>
    </w:p>
    <w:p w14:paraId="6F14F40E" w14:textId="3D9A8E6C" w:rsidR="00AF1A99" w:rsidRDefault="00AF1A99">
      <w:pPr>
        <w:pStyle w:val="TOC3"/>
        <w:rPr>
          <w:rFonts w:asciiTheme="minorHAnsi" w:eastAsiaTheme="minorEastAsia" w:hAnsiTheme="minorHAnsi" w:cstheme="minorBidi"/>
          <w:noProof/>
          <w:sz w:val="22"/>
          <w:szCs w:val="22"/>
          <w:lang w:eastAsia="en-NZ"/>
        </w:rPr>
      </w:pPr>
      <w:r>
        <w:rPr>
          <w:noProof/>
        </w:rPr>
        <w:t>Table 7.3:</w:t>
      </w:r>
      <w:r>
        <w:rPr>
          <w:noProof/>
        </w:rPr>
        <w:tab/>
        <w:t>Durvalumab for lung cancer – consolidation therapy</w:t>
      </w:r>
      <w:r>
        <w:rPr>
          <w:noProof/>
        </w:rPr>
        <w:tab/>
      </w:r>
      <w:r>
        <w:rPr>
          <w:noProof/>
        </w:rPr>
        <w:fldChar w:fldCharType="begin"/>
      </w:r>
      <w:r>
        <w:rPr>
          <w:noProof/>
        </w:rPr>
        <w:instrText xml:space="preserve"> PAGEREF _Toc101365619 \h </w:instrText>
      </w:r>
      <w:r>
        <w:rPr>
          <w:noProof/>
        </w:rPr>
      </w:r>
      <w:r>
        <w:rPr>
          <w:noProof/>
        </w:rPr>
        <w:fldChar w:fldCharType="separate"/>
      </w:r>
      <w:r w:rsidR="00A56E89">
        <w:rPr>
          <w:noProof/>
        </w:rPr>
        <w:t>95</w:t>
      </w:r>
      <w:r>
        <w:rPr>
          <w:noProof/>
        </w:rPr>
        <w:fldChar w:fldCharType="end"/>
      </w:r>
    </w:p>
    <w:p w14:paraId="11E3A58A" w14:textId="6D5697A7" w:rsidR="00AF1A99" w:rsidRDefault="00AF1A99">
      <w:pPr>
        <w:pStyle w:val="TOC3"/>
        <w:rPr>
          <w:rFonts w:asciiTheme="minorHAnsi" w:eastAsiaTheme="minorEastAsia" w:hAnsiTheme="minorHAnsi" w:cstheme="minorBidi"/>
          <w:noProof/>
          <w:sz w:val="22"/>
          <w:szCs w:val="22"/>
          <w:lang w:eastAsia="en-NZ"/>
        </w:rPr>
      </w:pPr>
      <w:r>
        <w:rPr>
          <w:noProof/>
        </w:rPr>
        <w:t>Table 7.4:</w:t>
      </w:r>
      <w:r>
        <w:rPr>
          <w:noProof/>
        </w:rPr>
        <w:tab/>
        <w:t>Osimertinib for lung cancer – first-line therapy</w:t>
      </w:r>
      <w:r>
        <w:rPr>
          <w:noProof/>
        </w:rPr>
        <w:tab/>
      </w:r>
      <w:r>
        <w:rPr>
          <w:noProof/>
        </w:rPr>
        <w:fldChar w:fldCharType="begin"/>
      </w:r>
      <w:r>
        <w:rPr>
          <w:noProof/>
        </w:rPr>
        <w:instrText xml:space="preserve"> PAGEREF _Toc101365620 \h </w:instrText>
      </w:r>
      <w:r>
        <w:rPr>
          <w:noProof/>
        </w:rPr>
      </w:r>
      <w:r>
        <w:rPr>
          <w:noProof/>
        </w:rPr>
        <w:fldChar w:fldCharType="separate"/>
      </w:r>
      <w:r w:rsidR="00A56E89">
        <w:rPr>
          <w:noProof/>
        </w:rPr>
        <w:t>97</w:t>
      </w:r>
      <w:r>
        <w:rPr>
          <w:noProof/>
        </w:rPr>
        <w:fldChar w:fldCharType="end"/>
      </w:r>
    </w:p>
    <w:p w14:paraId="65525AB3" w14:textId="2E04DA61" w:rsidR="00AF1A99" w:rsidRDefault="00AF1A99" w:rsidP="00AF1A99">
      <w:pPr>
        <w:pStyle w:val="TOC3"/>
        <w:keepNext/>
        <w:rPr>
          <w:rFonts w:asciiTheme="minorHAnsi" w:eastAsiaTheme="minorEastAsia" w:hAnsiTheme="minorHAnsi" w:cstheme="minorBidi"/>
          <w:noProof/>
          <w:sz w:val="22"/>
          <w:szCs w:val="22"/>
          <w:lang w:eastAsia="en-NZ"/>
        </w:rPr>
      </w:pPr>
      <w:r>
        <w:rPr>
          <w:noProof/>
        </w:rPr>
        <w:t>Table 7.5:</w:t>
      </w:r>
      <w:r>
        <w:rPr>
          <w:noProof/>
        </w:rPr>
        <w:tab/>
        <w:t>Osimertinib for lung cancer – second-line therapy</w:t>
      </w:r>
      <w:r>
        <w:rPr>
          <w:noProof/>
        </w:rPr>
        <w:tab/>
      </w:r>
      <w:r>
        <w:rPr>
          <w:noProof/>
        </w:rPr>
        <w:fldChar w:fldCharType="begin"/>
      </w:r>
      <w:r>
        <w:rPr>
          <w:noProof/>
        </w:rPr>
        <w:instrText xml:space="preserve"> PAGEREF _Toc101365621 \h </w:instrText>
      </w:r>
      <w:r>
        <w:rPr>
          <w:noProof/>
        </w:rPr>
      </w:r>
      <w:r>
        <w:rPr>
          <w:noProof/>
        </w:rPr>
        <w:fldChar w:fldCharType="separate"/>
      </w:r>
      <w:r w:rsidR="00A56E89">
        <w:rPr>
          <w:noProof/>
        </w:rPr>
        <w:t>99</w:t>
      </w:r>
      <w:r>
        <w:rPr>
          <w:noProof/>
        </w:rPr>
        <w:fldChar w:fldCharType="end"/>
      </w:r>
    </w:p>
    <w:p w14:paraId="236E6E61" w14:textId="0B3A86B2" w:rsidR="00AF1A99" w:rsidRDefault="00AF1A99" w:rsidP="00AF1A99">
      <w:pPr>
        <w:pStyle w:val="TOC3"/>
        <w:keepNext/>
        <w:rPr>
          <w:rFonts w:asciiTheme="minorHAnsi" w:eastAsiaTheme="minorEastAsia" w:hAnsiTheme="minorHAnsi" w:cstheme="minorBidi"/>
          <w:noProof/>
          <w:sz w:val="22"/>
          <w:szCs w:val="22"/>
          <w:lang w:eastAsia="en-NZ"/>
        </w:rPr>
      </w:pPr>
      <w:r>
        <w:rPr>
          <w:noProof/>
        </w:rPr>
        <w:t>Table 7.6:</w:t>
      </w:r>
      <w:r>
        <w:rPr>
          <w:noProof/>
        </w:rPr>
        <w:tab/>
        <w:t>Trastuzumab emtansine for early breast cancer</w:t>
      </w:r>
      <w:r>
        <w:rPr>
          <w:noProof/>
        </w:rPr>
        <w:tab/>
      </w:r>
      <w:r>
        <w:rPr>
          <w:noProof/>
        </w:rPr>
        <w:fldChar w:fldCharType="begin"/>
      </w:r>
      <w:r>
        <w:rPr>
          <w:noProof/>
        </w:rPr>
        <w:instrText xml:space="preserve"> PAGEREF _Toc101365622 \h </w:instrText>
      </w:r>
      <w:r>
        <w:rPr>
          <w:noProof/>
        </w:rPr>
      </w:r>
      <w:r>
        <w:rPr>
          <w:noProof/>
        </w:rPr>
        <w:fldChar w:fldCharType="separate"/>
      </w:r>
      <w:r w:rsidR="00A56E89">
        <w:rPr>
          <w:noProof/>
        </w:rPr>
        <w:t>102</w:t>
      </w:r>
      <w:r>
        <w:rPr>
          <w:noProof/>
        </w:rPr>
        <w:fldChar w:fldCharType="end"/>
      </w:r>
    </w:p>
    <w:p w14:paraId="5E8D418C" w14:textId="5F4E0AC4" w:rsidR="00AF1A99" w:rsidRDefault="00AF1A99" w:rsidP="00AF1A99">
      <w:pPr>
        <w:pStyle w:val="TOC3"/>
        <w:keepNext/>
        <w:rPr>
          <w:rFonts w:asciiTheme="minorHAnsi" w:eastAsiaTheme="minorEastAsia" w:hAnsiTheme="minorHAnsi" w:cstheme="minorBidi"/>
          <w:noProof/>
          <w:sz w:val="22"/>
          <w:szCs w:val="22"/>
          <w:lang w:eastAsia="en-NZ"/>
        </w:rPr>
      </w:pPr>
      <w:r>
        <w:rPr>
          <w:noProof/>
        </w:rPr>
        <w:t>Table 7.7:</w:t>
      </w:r>
      <w:r>
        <w:rPr>
          <w:noProof/>
        </w:rPr>
        <w:tab/>
        <w:t>Atezolizumab with bevacizumab for liver cancer</w:t>
      </w:r>
      <w:r>
        <w:rPr>
          <w:noProof/>
        </w:rPr>
        <w:tab/>
      </w:r>
      <w:r>
        <w:rPr>
          <w:noProof/>
        </w:rPr>
        <w:fldChar w:fldCharType="begin"/>
      </w:r>
      <w:r>
        <w:rPr>
          <w:noProof/>
        </w:rPr>
        <w:instrText xml:space="preserve"> PAGEREF _Toc101365623 \h </w:instrText>
      </w:r>
      <w:r>
        <w:rPr>
          <w:noProof/>
        </w:rPr>
      </w:r>
      <w:r>
        <w:rPr>
          <w:noProof/>
        </w:rPr>
        <w:fldChar w:fldCharType="separate"/>
      </w:r>
      <w:r w:rsidR="00A56E89">
        <w:rPr>
          <w:noProof/>
        </w:rPr>
        <w:t>105</w:t>
      </w:r>
      <w:r>
        <w:rPr>
          <w:noProof/>
        </w:rPr>
        <w:fldChar w:fldCharType="end"/>
      </w:r>
    </w:p>
    <w:p w14:paraId="6C188E8B" w14:textId="4FFFF292" w:rsidR="00AF1A99" w:rsidRDefault="00AF1A99">
      <w:pPr>
        <w:pStyle w:val="TOC3"/>
        <w:rPr>
          <w:rFonts w:asciiTheme="minorHAnsi" w:eastAsiaTheme="minorEastAsia" w:hAnsiTheme="minorHAnsi" w:cstheme="minorBidi"/>
          <w:noProof/>
          <w:sz w:val="22"/>
          <w:szCs w:val="22"/>
          <w:lang w:eastAsia="en-NZ"/>
        </w:rPr>
      </w:pPr>
      <w:r>
        <w:rPr>
          <w:noProof/>
        </w:rPr>
        <w:t>Table 7.8:</w:t>
      </w:r>
      <w:r>
        <w:rPr>
          <w:noProof/>
        </w:rPr>
        <w:tab/>
        <w:t>Cetuximab or panitumumab for bowel cancer – first-line therapy</w:t>
      </w:r>
      <w:r>
        <w:rPr>
          <w:noProof/>
        </w:rPr>
        <w:tab/>
      </w:r>
      <w:r>
        <w:rPr>
          <w:noProof/>
        </w:rPr>
        <w:fldChar w:fldCharType="begin"/>
      </w:r>
      <w:r>
        <w:rPr>
          <w:noProof/>
        </w:rPr>
        <w:instrText xml:space="preserve"> PAGEREF _Toc101365624 \h </w:instrText>
      </w:r>
      <w:r>
        <w:rPr>
          <w:noProof/>
        </w:rPr>
      </w:r>
      <w:r>
        <w:rPr>
          <w:noProof/>
        </w:rPr>
        <w:fldChar w:fldCharType="separate"/>
      </w:r>
      <w:r w:rsidR="00A56E89">
        <w:rPr>
          <w:noProof/>
        </w:rPr>
        <w:t>108</w:t>
      </w:r>
      <w:r>
        <w:rPr>
          <w:noProof/>
        </w:rPr>
        <w:fldChar w:fldCharType="end"/>
      </w:r>
    </w:p>
    <w:p w14:paraId="05215FEA" w14:textId="29099E10" w:rsidR="00AF1A99" w:rsidRDefault="00AF1A99">
      <w:pPr>
        <w:pStyle w:val="TOC3"/>
        <w:rPr>
          <w:rFonts w:asciiTheme="minorHAnsi" w:eastAsiaTheme="minorEastAsia" w:hAnsiTheme="minorHAnsi" w:cstheme="minorBidi"/>
          <w:noProof/>
          <w:sz w:val="22"/>
          <w:szCs w:val="22"/>
          <w:lang w:eastAsia="en-NZ"/>
        </w:rPr>
      </w:pPr>
      <w:r>
        <w:rPr>
          <w:noProof/>
        </w:rPr>
        <w:t>Table 7.9:</w:t>
      </w:r>
      <w:r>
        <w:rPr>
          <w:noProof/>
        </w:rPr>
        <w:tab/>
        <w:t>Cetuximab for bowel cancer – second-line therapy</w:t>
      </w:r>
      <w:r>
        <w:rPr>
          <w:noProof/>
        </w:rPr>
        <w:tab/>
      </w:r>
      <w:r>
        <w:rPr>
          <w:noProof/>
        </w:rPr>
        <w:fldChar w:fldCharType="begin"/>
      </w:r>
      <w:r>
        <w:rPr>
          <w:noProof/>
        </w:rPr>
        <w:instrText xml:space="preserve"> PAGEREF _Toc101365625 \h </w:instrText>
      </w:r>
      <w:r>
        <w:rPr>
          <w:noProof/>
        </w:rPr>
      </w:r>
      <w:r>
        <w:rPr>
          <w:noProof/>
        </w:rPr>
        <w:fldChar w:fldCharType="separate"/>
      </w:r>
      <w:r w:rsidR="00A56E89">
        <w:rPr>
          <w:noProof/>
        </w:rPr>
        <w:t>110</w:t>
      </w:r>
      <w:r>
        <w:rPr>
          <w:noProof/>
        </w:rPr>
        <w:fldChar w:fldCharType="end"/>
      </w:r>
    </w:p>
    <w:p w14:paraId="6C693965" w14:textId="7101892D" w:rsidR="00AF1A99" w:rsidRDefault="00AF1A99">
      <w:pPr>
        <w:pStyle w:val="TOC3"/>
        <w:rPr>
          <w:rFonts w:asciiTheme="minorHAnsi" w:eastAsiaTheme="minorEastAsia" w:hAnsiTheme="minorHAnsi" w:cstheme="minorBidi"/>
          <w:noProof/>
          <w:sz w:val="22"/>
          <w:szCs w:val="22"/>
          <w:lang w:eastAsia="en-NZ"/>
        </w:rPr>
      </w:pPr>
      <w:r>
        <w:rPr>
          <w:noProof/>
        </w:rPr>
        <w:t>Table 7.10:</w:t>
      </w:r>
      <w:r>
        <w:rPr>
          <w:noProof/>
        </w:rPr>
        <w:tab/>
        <w:t>Nivolumab with ipilimumab for kidney cancer – first-line therapy</w:t>
      </w:r>
      <w:r>
        <w:rPr>
          <w:noProof/>
        </w:rPr>
        <w:tab/>
      </w:r>
      <w:r>
        <w:rPr>
          <w:noProof/>
        </w:rPr>
        <w:fldChar w:fldCharType="begin"/>
      </w:r>
      <w:r>
        <w:rPr>
          <w:noProof/>
        </w:rPr>
        <w:instrText xml:space="preserve"> PAGEREF _Toc101365626 \h </w:instrText>
      </w:r>
      <w:r>
        <w:rPr>
          <w:noProof/>
        </w:rPr>
      </w:r>
      <w:r>
        <w:rPr>
          <w:noProof/>
        </w:rPr>
        <w:fldChar w:fldCharType="separate"/>
      </w:r>
      <w:r w:rsidR="00A56E89">
        <w:rPr>
          <w:noProof/>
        </w:rPr>
        <w:t>113</w:t>
      </w:r>
      <w:r>
        <w:rPr>
          <w:noProof/>
        </w:rPr>
        <w:fldChar w:fldCharType="end"/>
      </w:r>
    </w:p>
    <w:p w14:paraId="1BCBCA09" w14:textId="62F87A7B" w:rsidR="00AF1A99" w:rsidRDefault="00AF1A99">
      <w:pPr>
        <w:pStyle w:val="TOC3"/>
        <w:rPr>
          <w:rFonts w:asciiTheme="minorHAnsi" w:eastAsiaTheme="minorEastAsia" w:hAnsiTheme="minorHAnsi" w:cstheme="minorBidi"/>
          <w:noProof/>
          <w:sz w:val="22"/>
          <w:szCs w:val="22"/>
          <w:lang w:eastAsia="en-NZ"/>
        </w:rPr>
      </w:pPr>
      <w:r>
        <w:rPr>
          <w:noProof/>
        </w:rPr>
        <w:t>Table 7.11:</w:t>
      </w:r>
      <w:r>
        <w:rPr>
          <w:noProof/>
        </w:rPr>
        <w:tab/>
        <w:t>Nivolumab for kidney cancer – second-line therapy</w:t>
      </w:r>
      <w:r>
        <w:rPr>
          <w:noProof/>
        </w:rPr>
        <w:tab/>
      </w:r>
      <w:r>
        <w:rPr>
          <w:noProof/>
        </w:rPr>
        <w:fldChar w:fldCharType="begin"/>
      </w:r>
      <w:r>
        <w:rPr>
          <w:noProof/>
        </w:rPr>
        <w:instrText xml:space="preserve"> PAGEREF _Toc101365627 \h </w:instrText>
      </w:r>
      <w:r>
        <w:rPr>
          <w:noProof/>
        </w:rPr>
      </w:r>
      <w:r>
        <w:rPr>
          <w:noProof/>
        </w:rPr>
        <w:fldChar w:fldCharType="separate"/>
      </w:r>
      <w:r w:rsidR="00A56E89">
        <w:rPr>
          <w:noProof/>
        </w:rPr>
        <w:t>115</w:t>
      </w:r>
      <w:r>
        <w:rPr>
          <w:noProof/>
        </w:rPr>
        <w:fldChar w:fldCharType="end"/>
      </w:r>
    </w:p>
    <w:p w14:paraId="741275EF" w14:textId="717FB9B1" w:rsidR="00AF1A99" w:rsidRDefault="00AF1A99">
      <w:pPr>
        <w:pStyle w:val="TOC3"/>
        <w:rPr>
          <w:rFonts w:asciiTheme="minorHAnsi" w:eastAsiaTheme="minorEastAsia" w:hAnsiTheme="minorHAnsi" w:cstheme="minorBidi"/>
          <w:noProof/>
          <w:sz w:val="22"/>
          <w:szCs w:val="22"/>
          <w:lang w:eastAsia="en-NZ"/>
        </w:rPr>
      </w:pPr>
      <w:r>
        <w:rPr>
          <w:noProof/>
        </w:rPr>
        <w:t>Table 7.12:</w:t>
      </w:r>
      <w:r>
        <w:rPr>
          <w:noProof/>
        </w:rPr>
        <w:tab/>
        <w:t>Axitinib for kidney cancer – second-line therapy</w:t>
      </w:r>
      <w:r>
        <w:rPr>
          <w:noProof/>
        </w:rPr>
        <w:tab/>
      </w:r>
      <w:r>
        <w:rPr>
          <w:noProof/>
        </w:rPr>
        <w:fldChar w:fldCharType="begin"/>
      </w:r>
      <w:r>
        <w:rPr>
          <w:noProof/>
        </w:rPr>
        <w:instrText xml:space="preserve"> PAGEREF _Toc101365628 \h </w:instrText>
      </w:r>
      <w:r>
        <w:rPr>
          <w:noProof/>
        </w:rPr>
      </w:r>
      <w:r>
        <w:rPr>
          <w:noProof/>
        </w:rPr>
        <w:fldChar w:fldCharType="separate"/>
      </w:r>
      <w:r w:rsidR="00A56E89">
        <w:rPr>
          <w:noProof/>
        </w:rPr>
        <w:t>117</w:t>
      </w:r>
      <w:r>
        <w:rPr>
          <w:noProof/>
        </w:rPr>
        <w:fldChar w:fldCharType="end"/>
      </w:r>
    </w:p>
    <w:p w14:paraId="03435AA6" w14:textId="4C03A28D" w:rsidR="00AF1A99" w:rsidRDefault="00AF1A99">
      <w:pPr>
        <w:pStyle w:val="TOC3"/>
        <w:rPr>
          <w:rFonts w:asciiTheme="minorHAnsi" w:eastAsiaTheme="minorEastAsia" w:hAnsiTheme="minorHAnsi" w:cstheme="minorBidi"/>
          <w:noProof/>
          <w:sz w:val="22"/>
          <w:szCs w:val="22"/>
          <w:lang w:eastAsia="en-NZ"/>
        </w:rPr>
      </w:pPr>
      <w:r>
        <w:rPr>
          <w:noProof/>
        </w:rPr>
        <w:t>Table 7.13:</w:t>
      </w:r>
      <w:r>
        <w:rPr>
          <w:noProof/>
        </w:rPr>
        <w:tab/>
        <w:t>Pembrolizumab for bladder cancer</w:t>
      </w:r>
      <w:r>
        <w:rPr>
          <w:noProof/>
        </w:rPr>
        <w:tab/>
      </w:r>
      <w:r>
        <w:rPr>
          <w:noProof/>
        </w:rPr>
        <w:fldChar w:fldCharType="begin"/>
      </w:r>
      <w:r>
        <w:rPr>
          <w:noProof/>
        </w:rPr>
        <w:instrText xml:space="preserve"> PAGEREF _Toc101365629 \h </w:instrText>
      </w:r>
      <w:r>
        <w:rPr>
          <w:noProof/>
        </w:rPr>
      </w:r>
      <w:r>
        <w:rPr>
          <w:noProof/>
        </w:rPr>
        <w:fldChar w:fldCharType="separate"/>
      </w:r>
      <w:r w:rsidR="00A56E89">
        <w:rPr>
          <w:noProof/>
        </w:rPr>
        <w:t>120</w:t>
      </w:r>
      <w:r>
        <w:rPr>
          <w:noProof/>
        </w:rPr>
        <w:fldChar w:fldCharType="end"/>
      </w:r>
    </w:p>
    <w:p w14:paraId="49F9397E" w14:textId="427FE0C0" w:rsidR="00AF1A99" w:rsidRDefault="00AF1A99">
      <w:pPr>
        <w:pStyle w:val="TOC3"/>
        <w:rPr>
          <w:rFonts w:asciiTheme="minorHAnsi" w:eastAsiaTheme="minorEastAsia" w:hAnsiTheme="minorHAnsi" w:cstheme="minorBidi"/>
          <w:noProof/>
          <w:sz w:val="22"/>
          <w:szCs w:val="22"/>
          <w:lang w:eastAsia="en-NZ"/>
        </w:rPr>
      </w:pPr>
      <w:r>
        <w:rPr>
          <w:noProof/>
        </w:rPr>
        <w:t>Table 7.14:</w:t>
      </w:r>
      <w:r>
        <w:rPr>
          <w:noProof/>
        </w:rPr>
        <w:tab/>
        <w:t>Olaparib for ovarian cancer</w:t>
      </w:r>
      <w:r>
        <w:rPr>
          <w:noProof/>
        </w:rPr>
        <w:tab/>
      </w:r>
      <w:r>
        <w:rPr>
          <w:noProof/>
        </w:rPr>
        <w:fldChar w:fldCharType="begin"/>
      </w:r>
      <w:r>
        <w:rPr>
          <w:noProof/>
        </w:rPr>
        <w:instrText xml:space="preserve"> PAGEREF _Toc101365630 \h </w:instrText>
      </w:r>
      <w:r>
        <w:rPr>
          <w:noProof/>
        </w:rPr>
      </w:r>
      <w:r>
        <w:rPr>
          <w:noProof/>
        </w:rPr>
        <w:fldChar w:fldCharType="separate"/>
      </w:r>
      <w:r w:rsidR="00A56E89">
        <w:rPr>
          <w:noProof/>
        </w:rPr>
        <w:t>122</w:t>
      </w:r>
      <w:r>
        <w:rPr>
          <w:noProof/>
        </w:rPr>
        <w:fldChar w:fldCharType="end"/>
      </w:r>
    </w:p>
    <w:p w14:paraId="791F7089" w14:textId="3EDE044F" w:rsidR="00AF1A99" w:rsidRDefault="00AF1A99">
      <w:pPr>
        <w:pStyle w:val="TOC3"/>
        <w:rPr>
          <w:rFonts w:asciiTheme="minorHAnsi" w:eastAsiaTheme="minorEastAsia" w:hAnsiTheme="minorHAnsi" w:cstheme="minorBidi"/>
          <w:noProof/>
          <w:sz w:val="22"/>
          <w:szCs w:val="22"/>
          <w:lang w:eastAsia="en-NZ"/>
        </w:rPr>
      </w:pPr>
      <w:r>
        <w:rPr>
          <w:noProof/>
        </w:rPr>
        <w:t>Table 7.15:</w:t>
      </w:r>
      <w:r>
        <w:rPr>
          <w:noProof/>
        </w:rPr>
        <w:tab/>
        <w:t>Bevacizumab for ovarian cancer</w:t>
      </w:r>
      <w:r>
        <w:rPr>
          <w:noProof/>
        </w:rPr>
        <w:tab/>
      </w:r>
      <w:r>
        <w:rPr>
          <w:noProof/>
        </w:rPr>
        <w:fldChar w:fldCharType="begin"/>
      </w:r>
      <w:r>
        <w:rPr>
          <w:noProof/>
        </w:rPr>
        <w:instrText xml:space="preserve"> PAGEREF _Toc101365631 \h </w:instrText>
      </w:r>
      <w:r>
        <w:rPr>
          <w:noProof/>
        </w:rPr>
      </w:r>
      <w:r>
        <w:rPr>
          <w:noProof/>
        </w:rPr>
        <w:fldChar w:fldCharType="separate"/>
      </w:r>
      <w:r w:rsidR="00A56E89">
        <w:rPr>
          <w:noProof/>
        </w:rPr>
        <w:t>124</w:t>
      </w:r>
      <w:r>
        <w:rPr>
          <w:noProof/>
        </w:rPr>
        <w:fldChar w:fldCharType="end"/>
      </w:r>
    </w:p>
    <w:p w14:paraId="462D3FD7" w14:textId="66582D61" w:rsidR="00AF1A99" w:rsidRDefault="00AF1A99">
      <w:pPr>
        <w:pStyle w:val="TOC3"/>
        <w:rPr>
          <w:rFonts w:asciiTheme="minorHAnsi" w:eastAsiaTheme="minorEastAsia" w:hAnsiTheme="minorHAnsi" w:cstheme="minorBidi"/>
          <w:noProof/>
          <w:sz w:val="22"/>
          <w:szCs w:val="22"/>
          <w:lang w:eastAsia="en-NZ"/>
        </w:rPr>
      </w:pPr>
      <w:r>
        <w:rPr>
          <w:noProof/>
        </w:rPr>
        <w:t>Table 7.16:</w:t>
      </w:r>
      <w:r>
        <w:rPr>
          <w:noProof/>
        </w:rPr>
        <w:tab/>
        <w:t>Nivolumab for head and neck cancer</w:t>
      </w:r>
      <w:r>
        <w:rPr>
          <w:noProof/>
        </w:rPr>
        <w:tab/>
      </w:r>
      <w:r>
        <w:rPr>
          <w:noProof/>
        </w:rPr>
        <w:fldChar w:fldCharType="begin"/>
      </w:r>
      <w:r>
        <w:rPr>
          <w:noProof/>
        </w:rPr>
        <w:instrText xml:space="preserve"> PAGEREF _Toc101365632 \h </w:instrText>
      </w:r>
      <w:r>
        <w:rPr>
          <w:noProof/>
        </w:rPr>
      </w:r>
      <w:r>
        <w:rPr>
          <w:noProof/>
        </w:rPr>
        <w:fldChar w:fldCharType="separate"/>
      </w:r>
      <w:r w:rsidR="00A56E89">
        <w:rPr>
          <w:noProof/>
        </w:rPr>
        <w:t>127</w:t>
      </w:r>
      <w:r>
        <w:rPr>
          <w:noProof/>
        </w:rPr>
        <w:fldChar w:fldCharType="end"/>
      </w:r>
    </w:p>
    <w:p w14:paraId="50F6EF8D" w14:textId="5FD1C48B" w:rsidR="00AF1A99" w:rsidRDefault="00AF1A99">
      <w:pPr>
        <w:pStyle w:val="TOC3"/>
        <w:rPr>
          <w:rFonts w:asciiTheme="minorHAnsi" w:eastAsiaTheme="minorEastAsia" w:hAnsiTheme="minorHAnsi" w:cstheme="minorBidi"/>
          <w:noProof/>
          <w:sz w:val="22"/>
          <w:szCs w:val="22"/>
          <w:lang w:eastAsia="en-NZ"/>
        </w:rPr>
      </w:pPr>
      <w:r>
        <w:rPr>
          <w:noProof/>
        </w:rPr>
        <w:t>Table 7.17:</w:t>
      </w:r>
      <w:r>
        <w:rPr>
          <w:noProof/>
        </w:rPr>
        <w:tab/>
        <w:t>Nivolumab or pembrolizumab for melanoma (adjuvant)</w:t>
      </w:r>
      <w:r>
        <w:rPr>
          <w:noProof/>
        </w:rPr>
        <w:tab/>
      </w:r>
      <w:r>
        <w:rPr>
          <w:noProof/>
        </w:rPr>
        <w:fldChar w:fldCharType="begin"/>
      </w:r>
      <w:r>
        <w:rPr>
          <w:noProof/>
        </w:rPr>
        <w:instrText xml:space="preserve"> PAGEREF _Toc101365633 \h </w:instrText>
      </w:r>
      <w:r>
        <w:rPr>
          <w:noProof/>
        </w:rPr>
      </w:r>
      <w:r>
        <w:rPr>
          <w:noProof/>
        </w:rPr>
        <w:fldChar w:fldCharType="separate"/>
      </w:r>
      <w:r w:rsidR="00A56E89">
        <w:rPr>
          <w:noProof/>
        </w:rPr>
        <w:t>129</w:t>
      </w:r>
      <w:r>
        <w:rPr>
          <w:noProof/>
        </w:rPr>
        <w:fldChar w:fldCharType="end"/>
      </w:r>
    </w:p>
    <w:p w14:paraId="2C50C2E6" w14:textId="0D6DEE54" w:rsidR="00AF1A99" w:rsidRDefault="00AF1A99">
      <w:pPr>
        <w:pStyle w:val="TOC3"/>
        <w:rPr>
          <w:rFonts w:asciiTheme="minorHAnsi" w:eastAsiaTheme="minorEastAsia" w:hAnsiTheme="minorHAnsi" w:cstheme="minorBidi"/>
          <w:noProof/>
          <w:sz w:val="22"/>
          <w:szCs w:val="22"/>
          <w:lang w:eastAsia="en-NZ"/>
        </w:rPr>
      </w:pPr>
      <w:r>
        <w:rPr>
          <w:noProof/>
        </w:rPr>
        <w:t>Table 7.18:</w:t>
      </w:r>
      <w:r>
        <w:rPr>
          <w:noProof/>
        </w:rPr>
        <w:tab/>
        <w:t>Dabrafenib with trametinib for melanoma (adjuvant)</w:t>
      </w:r>
      <w:r>
        <w:rPr>
          <w:noProof/>
        </w:rPr>
        <w:tab/>
      </w:r>
      <w:r>
        <w:rPr>
          <w:noProof/>
        </w:rPr>
        <w:fldChar w:fldCharType="begin"/>
      </w:r>
      <w:r>
        <w:rPr>
          <w:noProof/>
        </w:rPr>
        <w:instrText xml:space="preserve"> PAGEREF _Toc101365634 \h </w:instrText>
      </w:r>
      <w:r>
        <w:rPr>
          <w:noProof/>
        </w:rPr>
      </w:r>
      <w:r>
        <w:rPr>
          <w:noProof/>
        </w:rPr>
        <w:fldChar w:fldCharType="separate"/>
      </w:r>
      <w:r w:rsidR="00A56E89">
        <w:rPr>
          <w:noProof/>
        </w:rPr>
        <w:t>131</w:t>
      </w:r>
      <w:r>
        <w:rPr>
          <w:noProof/>
        </w:rPr>
        <w:fldChar w:fldCharType="end"/>
      </w:r>
    </w:p>
    <w:p w14:paraId="3151C0C1" w14:textId="4D5CBA39" w:rsidR="00AF1A99" w:rsidRDefault="00AF1A99">
      <w:pPr>
        <w:pStyle w:val="TOC3"/>
        <w:rPr>
          <w:rFonts w:asciiTheme="minorHAnsi" w:eastAsiaTheme="minorEastAsia" w:hAnsiTheme="minorHAnsi" w:cstheme="minorBidi"/>
          <w:noProof/>
          <w:sz w:val="22"/>
          <w:szCs w:val="22"/>
          <w:lang w:eastAsia="en-NZ"/>
        </w:rPr>
      </w:pPr>
      <w:r>
        <w:rPr>
          <w:noProof/>
        </w:rPr>
        <w:t>Table 7.19:</w:t>
      </w:r>
      <w:r>
        <w:rPr>
          <w:noProof/>
        </w:rPr>
        <w:tab/>
        <w:t>Nivolumab with ipilimumab for melanoma (unresectable)</w:t>
      </w:r>
      <w:r>
        <w:rPr>
          <w:noProof/>
        </w:rPr>
        <w:tab/>
      </w:r>
      <w:r>
        <w:rPr>
          <w:noProof/>
        </w:rPr>
        <w:fldChar w:fldCharType="begin"/>
      </w:r>
      <w:r>
        <w:rPr>
          <w:noProof/>
        </w:rPr>
        <w:instrText xml:space="preserve"> PAGEREF _Toc101365635 \h </w:instrText>
      </w:r>
      <w:r>
        <w:rPr>
          <w:noProof/>
        </w:rPr>
      </w:r>
      <w:r>
        <w:rPr>
          <w:noProof/>
        </w:rPr>
        <w:fldChar w:fldCharType="separate"/>
      </w:r>
      <w:r w:rsidR="00A56E89">
        <w:rPr>
          <w:noProof/>
        </w:rPr>
        <w:t>133</w:t>
      </w:r>
      <w:r>
        <w:rPr>
          <w:noProof/>
        </w:rPr>
        <w:fldChar w:fldCharType="end"/>
      </w:r>
    </w:p>
    <w:p w14:paraId="285C85BB" w14:textId="7960EEE6" w:rsidR="00AF1A99" w:rsidRDefault="00AF1A99">
      <w:pPr>
        <w:pStyle w:val="TOC3"/>
        <w:rPr>
          <w:rFonts w:asciiTheme="minorHAnsi" w:eastAsiaTheme="minorEastAsia" w:hAnsiTheme="minorHAnsi" w:cstheme="minorBidi"/>
          <w:noProof/>
          <w:sz w:val="22"/>
          <w:szCs w:val="22"/>
          <w:lang w:eastAsia="en-NZ"/>
        </w:rPr>
      </w:pPr>
      <w:r>
        <w:rPr>
          <w:noProof/>
        </w:rPr>
        <w:t>Table 7.20:</w:t>
      </w:r>
      <w:r>
        <w:rPr>
          <w:noProof/>
        </w:rPr>
        <w:tab/>
        <w:t>BRAF/MEK inhibitors for melanoma (unresectable)</w:t>
      </w:r>
      <w:r>
        <w:rPr>
          <w:noProof/>
        </w:rPr>
        <w:tab/>
      </w:r>
      <w:r>
        <w:rPr>
          <w:noProof/>
        </w:rPr>
        <w:fldChar w:fldCharType="begin"/>
      </w:r>
      <w:r>
        <w:rPr>
          <w:noProof/>
        </w:rPr>
        <w:instrText xml:space="preserve"> PAGEREF _Toc101365636 \h </w:instrText>
      </w:r>
      <w:r>
        <w:rPr>
          <w:noProof/>
        </w:rPr>
      </w:r>
      <w:r>
        <w:rPr>
          <w:noProof/>
        </w:rPr>
        <w:fldChar w:fldCharType="separate"/>
      </w:r>
      <w:r w:rsidR="00A56E89">
        <w:rPr>
          <w:noProof/>
        </w:rPr>
        <w:t>135</w:t>
      </w:r>
      <w:r>
        <w:rPr>
          <w:noProof/>
        </w:rPr>
        <w:fldChar w:fldCharType="end"/>
      </w:r>
    </w:p>
    <w:p w14:paraId="36D988C2" w14:textId="7B8D06E8" w:rsidR="001D3E4E" w:rsidRPr="00B47C82" w:rsidRDefault="002B76A7" w:rsidP="003A5FEA">
      <w:pPr>
        <w:sectPr w:rsidR="001D3E4E" w:rsidRPr="00B47C82" w:rsidSect="00925892">
          <w:headerReference w:type="even" r:id="rId23"/>
          <w:headerReference w:type="default" r:id="rId24"/>
          <w:footerReference w:type="even" r:id="rId25"/>
          <w:footerReference w:type="default" r:id="rId26"/>
          <w:pgSz w:w="11907" w:h="16840" w:code="9"/>
          <w:pgMar w:top="1418" w:right="1701" w:bottom="1134" w:left="1843" w:header="284" w:footer="425" w:gutter="284"/>
          <w:pgNumType w:fmt="lowerRoman"/>
          <w:cols w:space="720"/>
        </w:sectPr>
      </w:pPr>
      <w:r w:rsidRPr="00B47C82">
        <w:fldChar w:fldCharType="end"/>
      </w:r>
    </w:p>
    <w:p w14:paraId="52605C42" w14:textId="35350017" w:rsidR="00E77F9C" w:rsidRPr="0098250B" w:rsidRDefault="00E77F9C" w:rsidP="00E77F9C">
      <w:pPr>
        <w:pStyle w:val="Heading1"/>
        <w:rPr>
          <w:rFonts w:ascii="Montserrat" w:hAnsi="Montserrat"/>
        </w:rPr>
      </w:pPr>
      <w:bookmarkStart w:id="6" w:name="_Toc101618142"/>
      <w:r w:rsidRPr="0098250B">
        <w:rPr>
          <w:rFonts w:ascii="Montserrat" w:hAnsi="Montserrat"/>
        </w:rPr>
        <w:lastRenderedPageBreak/>
        <w:t xml:space="preserve">HE WHAKAMĀRAMA </w:t>
      </w:r>
      <w:r w:rsidRPr="0098250B">
        <w:rPr>
          <w:rFonts w:ascii="Montserrat" w:hAnsi="Montserrat"/>
          <w:color w:val="0AB58F"/>
        </w:rPr>
        <w:t>DEFINITIONS</w:t>
      </w:r>
      <w:bookmarkEnd w:id="6"/>
    </w:p>
    <w:p w14:paraId="55C02B63" w14:textId="77777777" w:rsidR="00E77F9C" w:rsidRPr="00A22D36" w:rsidRDefault="00E77F9C" w:rsidP="00E77F9C">
      <w:pPr>
        <w:spacing w:before="180"/>
      </w:pPr>
      <w:r>
        <w:rPr>
          <w:b/>
        </w:rPr>
        <w:t>A</w:t>
      </w:r>
      <w:r w:rsidRPr="00660712">
        <w:rPr>
          <w:b/>
        </w:rPr>
        <w:t xml:space="preserve">djuvant: </w:t>
      </w:r>
      <w:r>
        <w:t>A</w:t>
      </w:r>
      <w:r w:rsidRPr="00660712">
        <w:t>dditional treatment that is given after the primary treatment (for instance, cancer surgery) with the goal of destroy</w:t>
      </w:r>
      <w:r>
        <w:t>ing any remaining cancer cells.</w:t>
      </w:r>
    </w:p>
    <w:p w14:paraId="484D65E2" w14:textId="77777777" w:rsidR="00E77F9C" w:rsidRDefault="00E77F9C" w:rsidP="00E77F9C">
      <w:pPr>
        <w:spacing w:before="180"/>
      </w:pPr>
      <w:r w:rsidRPr="00D20349">
        <w:rPr>
          <w:b/>
          <w:bCs/>
        </w:rPr>
        <w:t>ASCO:</w:t>
      </w:r>
      <w:r w:rsidRPr="00D20349">
        <w:t xml:space="preserve"> American Society of Clinical Oncology</w:t>
      </w:r>
      <w:r>
        <w:t>; an international professional organisation for medical oncology.</w:t>
      </w:r>
    </w:p>
    <w:p w14:paraId="5C4A5EAD" w14:textId="097C3D20" w:rsidR="00E77F9C" w:rsidRPr="00A22D36" w:rsidRDefault="00E77F9C" w:rsidP="00E77F9C">
      <w:pPr>
        <w:spacing w:before="180"/>
      </w:pPr>
      <w:r w:rsidRPr="00547C51">
        <w:rPr>
          <w:b/>
          <w:bCs/>
        </w:rPr>
        <w:t>Available medicines:</w:t>
      </w:r>
      <w:r>
        <w:t xml:space="preserve"> For the purposes of this report, this is defined as publicly funded medicines. For Aotearoa, this means medicines funded by Pharmac (see definition of </w:t>
      </w:r>
      <w:r w:rsidR="00D34911">
        <w:t>‘</w:t>
      </w:r>
      <w:hyperlink w:anchor="Pharmac" w:history="1">
        <w:r w:rsidR="000E34F6" w:rsidRPr="000E34F6">
          <w:rPr>
            <w:rStyle w:val="Hyperlink"/>
          </w:rPr>
          <w:t>Pharmac</w:t>
        </w:r>
      </w:hyperlink>
      <w:r w:rsidR="00B50A43">
        <w:rPr>
          <w:rStyle w:val="Hyperlink"/>
        </w:rPr>
        <w:t>’</w:t>
      </w:r>
      <w:r>
        <w:t xml:space="preserve"> below).</w:t>
      </w:r>
    </w:p>
    <w:p w14:paraId="2C1EE8F1" w14:textId="77777777" w:rsidR="00E77F9C" w:rsidRDefault="00E77F9C" w:rsidP="00E77F9C">
      <w:pPr>
        <w:spacing w:before="180"/>
      </w:pPr>
      <w:r w:rsidRPr="00A22D36">
        <w:rPr>
          <w:b/>
          <w:bCs/>
        </w:rPr>
        <w:t>Best supportive care:</w:t>
      </w:r>
      <w:r w:rsidRPr="00547C51">
        <w:t xml:space="preserve"> Where </w:t>
      </w:r>
      <w:r w:rsidRPr="00A22D36">
        <w:t>no active treatment is given for the cancer, instead any treatment or interventions are focused on improving or maintaining quality of life. In some cases</w:t>
      </w:r>
      <w:r>
        <w:t>,</w:t>
      </w:r>
      <w:r w:rsidRPr="00A22D36">
        <w:t xml:space="preserve"> this will also involve active monitoring for cancer progression.</w:t>
      </w:r>
      <w:r>
        <w:t xml:space="preserve"> It may also include palliative treatment, such as palliative radiotherapy, with the aim of controlling symptoms.</w:t>
      </w:r>
    </w:p>
    <w:p w14:paraId="38DB3414" w14:textId="77777777" w:rsidR="00E77F9C" w:rsidRDefault="00E77F9C" w:rsidP="00E77F9C">
      <w:pPr>
        <w:spacing w:before="180"/>
      </w:pPr>
      <w:r w:rsidRPr="00364BC9">
        <w:rPr>
          <w:b/>
          <w:bCs/>
        </w:rPr>
        <w:t>Biosimilar:</w:t>
      </w:r>
      <w:r>
        <w:t xml:space="preserve"> A</w:t>
      </w:r>
      <w:r w:rsidRPr="00364BC9">
        <w:t xml:space="preserve"> highly similar, but not identical, version of an approved biologic medicine where there are no clinically meaningful differences between the reference biologic product and the biosimilar</w:t>
      </w:r>
      <w:r>
        <w:t xml:space="preserve"> </w:t>
      </w:r>
      <w:r>
        <w:rPr>
          <w:noProof/>
        </w:rPr>
        <w:t xml:space="preserve">(Tabernero </w:t>
      </w:r>
      <w:r w:rsidR="00C338E8">
        <w:rPr>
          <w:noProof/>
        </w:rPr>
        <w:t>et al</w:t>
      </w:r>
      <w:r>
        <w:rPr>
          <w:noProof/>
        </w:rPr>
        <w:t xml:space="preserve"> 2016)</w:t>
      </w:r>
      <w:r>
        <w:t>.</w:t>
      </w:r>
    </w:p>
    <w:p w14:paraId="4C69A487" w14:textId="77777777" w:rsidR="00E77F9C" w:rsidRDefault="00E77F9C" w:rsidP="00E77F9C">
      <w:pPr>
        <w:spacing w:before="180"/>
      </w:pPr>
      <w:r w:rsidRPr="00AE4AC1">
        <w:rPr>
          <w:b/>
          <w:bCs/>
        </w:rPr>
        <w:t>Blood cancers:</w:t>
      </w:r>
      <w:r>
        <w:t xml:space="preserve"> Cancers of blood cells. Also known as haematological cancers or haematological malignancies. Examples include leukaemias, lymphomas and multiple myeloma.</w:t>
      </w:r>
    </w:p>
    <w:p w14:paraId="0BD9B0E7" w14:textId="77777777" w:rsidR="00E77F9C" w:rsidRDefault="00E77F9C" w:rsidP="00E77F9C">
      <w:pPr>
        <w:spacing w:before="180"/>
      </w:pPr>
      <w:r w:rsidRPr="00E56A8C">
        <w:rPr>
          <w:b/>
        </w:rPr>
        <w:t>BRAF:</w:t>
      </w:r>
      <w:r w:rsidRPr="00E56A8C">
        <w:t xml:space="preserve"> B-Raf proto-oncogene serine/threonine kinase protein; a protein involved in cell growth and signalling. Mutations in the BRAF gene </w:t>
      </w:r>
      <w:r>
        <w:t xml:space="preserve">within cancer cells </w:t>
      </w:r>
      <w:r w:rsidRPr="00E56A8C">
        <w:t>can cause abnormal cell growth and spread, which may play a role in some cancer types, including melanoma and colorectal cancer. Detecting BRAF mutations may help with planning treatment.</w:t>
      </w:r>
    </w:p>
    <w:p w14:paraId="396449F0" w14:textId="77777777" w:rsidR="00E77F9C" w:rsidRPr="00E77F9C" w:rsidRDefault="00E77F9C" w:rsidP="00E77F9C">
      <w:pPr>
        <w:spacing w:before="180"/>
      </w:pPr>
      <w:r w:rsidRPr="006F6C8F">
        <w:rPr>
          <w:b/>
          <w:bCs/>
        </w:rPr>
        <w:t xml:space="preserve">BRCA: </w:t>
      </w:r>
      <w:r w:rsidRPr="006F6C8F">
        <w:t xml:space="preserve">Two breast cancer genes (BRCA1 and BRCA2) that produce proteins that help repair genetic material. </w:t>
      </w:r>
      <w:r>
        <w:t>Inherited (also called germline) m</w:t>
      </w:r>
      <w:r w:rsidRPr="006F6C8F">
        <w:t>utations in the BRCA gene carry a higher risk of breast, ovarian, and several other cancers.</w:t>
      </w:r>
      <w:r>
        <w:t xml:space="preserve"> Mutations can also occur just in the cancer cells (called somatic mutations).</w:t>
      </w:r>
      <w:r>
        <w:rPr>
          <w:b/>
          <w:bCs/>
        </w:rPr>
        <w:t xml:space="preserve"> </w:t>
      </w:r>
      <w:r w:rsidRPr="00645AE4">
        <w:t xml:space="preserve">Detecting BRCA mutations may help with </w:t>
      </w:r>
      <w:r>
        <w:t xml:space="preserve">predicting and managing cancer risk, and with </w:t>
      </w:r>
      <w:r w:rsidRPr="00645AE4">
        <w:t>planning</w:t>
      </w:r>
      <w:r>
        <w:t xml:space="preserve"> cancer</w:t>
      </w:r>
      <w:r w:rsidRPr="00645AE4">
        <w:t xml:space="preserve"> treatment.</w:t>
      </w:r>
    </w:p>
    <w:p w14:paraId="5775429E" w14:textId="77777777" w:rsidR="00E77F9C" w:rsidRPr="00E77F9C" w:rsidRDefault="00E77F9C" w:rsidP="00E77F9C">
      <w:pPr>
        <w:spacing w:before="180"/>
      </w:pPr>
      <w:r w:rsidRPr="00960418">
        <w:rPr>
          <w:b/>
          <w:bCs/>
        </w:rPr>
        <w:t xml:space="preserve">Chemoradiation: </w:t>
      </w:r>
      <w:r>
        <w:t>T</w:t>
      </w:r>
      <w:r w:rsidRPr="00960418">
        <w:t>reatment that combines chemotherapy with radiotherapy</w:t>
      </w:r>
      <w:r>
        <w:t>.</w:t>
      </w:r>
    </w:p>
    <w:p w14:paraId="48899DB6" w14:textId="77777777" w:rsidR="00E77F9C" w:rsidRPr="00E77F9C" w:rsidRDefault="00E77F9C" w:rsidP="00E77F9C">
      <w:pPr>
        <w:spacing w:before="180"/>
      </w:pPr>
      <w:r w:rsidRPr="00D20349">
        <w:rPr>
          <w:b/>
          <w:bCs/>
        </w:rPr>
        <w:t>Chemotherapy:</w:t>
      </w:r>
      <w:r w:rsidRPr="00D20349">
        <w:t xml:space="preserve"> </w:t>
      </w:r>
      <w:r>
        <w:t>A</w:t>
      </w:r>
      <w:r w:rsidRPr="00D20349">
        <w:t xml:space="preserve"> type of cancer treatment that uses medicines to destroy or slow the growth of cancer cells. It may be given alone or with other cancer treatments, such as surgery or radiotherapy, and can be given in a variety of ways, including by mouth or infusion, depending on the type and stage of the cancer being treated.</w:t>
      </w:r>
    </w:p>
    <w:p w14:paraId="627421B0" w14:textId="77777777" w:rsidR="00E77F9C" w:rsidRDefault="00E77F9C" w:rsidP="00E77F9C">
      <w:pPr>
        <w:spacing w:before="180"/>
      </w:pPr>
      <w:r w:rsidRPr="00A22D36">
        <w:rPr>
          <w:b/>
          <w:bCs/>
        </w:rPr>
        <w:t xml:space="preserve">Consolidation treatment: </w:t>
      </w:r>
      <w:r>
        <w:t>T</w:t>
      </w:r>
      <w:r w:rsidRPr="00A22D36">
        <w:t>reatment that is given together with or after the main treatment option</w:t>
      </w:r>
      <w:r>
        <w:t>,</w:t>
      </w:r>
      <w:r w:rsidRPr="00A22D36">
        <w:t xml:space="preserve"> with the </w:t>
      </w:r>
      <w:r>
        <w:t>aim</w:t>
      </w:r>
      <w:r w:rsidRPr="00A22D36">
        <w:t xml:space="preserve"> of deepening the response to treatment</w:t>
      </w:r>
      <w:r>
        <w:t>.</w:t>
      </w:r>
    </w:p>
    <w:p w14:paraId="1C3D3D39" w14:textId="77777777" w:rsidR="00E77F9C" w:rsidRPr="00E77F9C" w:rsidRDefault="00E77F9C" w:rsidP="00E77F9C">
      <w:pPr>
        <w:keepNext/>
        <w:spacing w:before="180"/>
      </w:pPr>
      <w:r w:rsidRPr="1558A97C">
        <w:rPr>
          <w:b/>
          <w:bCs/>
        </w:rPr>
        <w:lastRenderedPageBreak/>
        <w:t>Curative</w:t>
      </w:r>
      <w:r>
        <w:rPr>
          <w:b/>
          <w:bCs/>
        </w:rPr>
        <w:t xml:space="preserve"> intent</w:t>
      </w:r>
      <w:r w:rsidRPr="1558A97C">
        <w:rPr>
          <w:b/>
          <w:bCs/>
        </w:rPr>
        <w:t xml:space="preserve"> treatment: </w:t>
      </w:r>
      <w:r>
        <w:t>T</w:t>
      </w:r>
      <w:r w:rsidRPr="00702A5A">
        <w:t xml:space="preserve">reatment given with the goal of achieving a complete remission and preventing the recurrence of cancer </w:t>
      </w:r>
      <w:r w:rsidRPr="00702A5A">
        <w:rPr>
          <w:noProof/>
        </w:rPr>
        <w:t xml:space="preserve">(Neugut </w:t>
      </w:r>
      <w:r>
        <w:rPr>
          <w:noProof/>
        </w:rPr>
        <w:t>and</w:t>
      </w:r>
      <w:r w:rsidRPr="00702A5A">
        <w:rPr>
          <w:noProof/>
        </w:rPr>
        <w:t xml:space="preserve"> Prigerson 2017)</w:t>
      </w:r>
      <w:r w:rsidRPr="00702A5A">
        <w:t>.</w:t>
      </w:r>
    </w:p>
    <w:p w14:paraId="746276D7" w14:textId="5219F217" w:rsidR="00E77F9C" w:rsidRDefault="00E77F9C" w:rsidP="00E77F9C">
      <w:pPr>
        <w:spacing w:before="180"/>
      </w:pPr>
      <w:bookmarkStart w:id="7" w:name="Disease_free_survival"/>
      <w:bookmarkEnd w:id="7"/>
      <w:r w:rsidRPr="008769C4">
        <w:rPr>
          <w:b/>
          <w:bCs/>
        </w:rPr>
        <w:t>Disease-free survival:</w:t>
      </w:r>
      <w:r w:rsidRPr="002C74B1">
        <w:t xml:space="preserve"> </w:t>
      </w:r>
      <w:r>
        <w:t>A surrogate (or proxy)</w:t>
      </w:r>
      <w:r w:rsidRPr="00B1721F">
        <w:t xml:space="preserve"> endpoint often used in</w:t>
      </w:r>
      <w:r>
        <w:t xml:space="preserve"> clinical trials of cancer medicines. Definitions may differ from study to study, but generally this term is used to mean the length of time that a patient lives without any signs or symptoms of the cancer after the main curative treatment for their cancer has ended. Disease-free survival results are often described using the median (see definition of </w:t>
      </w:r>
      <w:r w:rsidR="00D34911">
        <w:t>‘</w:t>
      </w:r>
      <w:hyperlink w:anchor="Median" w:history="1">
        <w:r w:rsidR="000E34F6" w:rsidRPr="000E34F6">
          <w:rPr>
            <w:rStyle w:val="Hyperlink"/>
          </w:rPr>
          <w:t>Median</w:t>
        </w:r>
      </w:hyperlink>
      <w:r w:rsidR="00B50A43">
        <w:rPr>
          <w:rStyle w:val="Hyperlink"/>
        </w:rPr>
        <w:t>’</w:t>
      </w:r>
      <w:r>
        <w:t xml:space="preserve"> below). May also be known as relapse-free survival (see </w:t>
      </w:r>
      <w:hyperlink w:anchor="Relapse_free_survival" w:history="1">
        <w:r w:rsidR="000E34F6">
          <w:rPr>
            <w:rStyle w:val="Hyperlink"/>
          </w:rPr>
          <w:t>definition below</w:t>
        </w:r>
      </w:hyperlink>
      <w:r>
        <w:t>).</w:t>
      </w:r>
    </w:p>
    <w:p w14:paraId="00760CB9" w14:textId="77777777" w:rsidR="00E77F9C" w:rsidRPr="00AB5000" w:rsidRDefault="00E77F9C" w:rsidP="00E77F9C">
      <w:pPr>
        <w:spacing w:before="180"/>
      </w:pPr>
      <w:r w:rsidRPr="00645AE4">
        <w:rPr>
          <w:b/>
        </w:rPr>
        <w:t xml:space="preserve">EGFR: </w:t>
      </w:r>
      <w:r w:rsidRPr="00645AE4">
        <w:t>Epidermal growth factor receptor; a protein that is involved in cell growth and survival. Mutations in the EGFR gene</w:t>
      </w:r>
      <w:r>
        <w:t xml:space="preserve"> within cancer cells</w:t>
      </w:r>
      <w:r w:rsidRPr="00645AE4">
        <w:t xml:space="preserve"> can cause abnormal cell growth and spread, which may play a role in some cancer types, including non-small cell lung cancer. Detecting EGFR mutations may </w:t>
      </w:r>
      <w:r w:rsidR="0067152A">
        <w:t>help with planning treatment.</w:t>
      </w:r>
    </w:p>
    <w:p w14:paraId="4BD2B700" w14:textId="77777777" w:rsidR="00E77F9C" w:rsidRPr="00A22D36" w:rsidRDefault="00E77F9C" w:rsidP="00E77F9C">
      <w:pPr>
        <w:spacing w:before="180"/>
      </w:pPr>
      <w:r w:rsidRPr="00A22D36">
        <w:rPr>
          <w:b/>
          <w:bCs/>
        </w:rPr>
        <w:t xml:space="preserve">EMA: </w:t>
      </w:r>
      <w:r w:rsidRPr="00A22D36">
        <w:t xml:space="preserve">European Medicines Agency; the agency responsible for the regulatory approval of medicines for European Union </w:t>
      </w:r>
      <w:r>
        <w:t xml:space="preserve">(EU) </w:t>
      </w:r>
      <w:r w:rsidRPr="00A22D36">
        <w:t>member states</w:t>
      </w:r>
      <w:r>
        <w:t>.</w:t>
      </w:r>
    </w:p>
    <w:p w14:paraId="6DC351C4" w14:textId="77777777" w:rsidR="00E77F9C" w:rsidRPr="00A22D36" w:rsidRDefault="00E77F9C" w:rsidP="00E77F9C">
      <w:pPr>
        <w:spacing w:before="180"/>
      </w:pPr>
      <w:r w:rsidRPr="00A22D36">
        <w:rPr>
          <w:b/>
          <w:bCs/>
        </w:rPr>
        <w:t>ESMO:</w:t>
      </w:r>
      <w:r w:rsidRPr="00A22D36">
        <w:t xml:space="preserve"> European Society of Medical Oncology</w:t>
      </w:r>
      <w:r>
        <w:t>; an international professional organisation for medical oncology</w:t>
      </w:r>
      <w:r w:rsidR="0067152A">
        <w:t>.</w:t>
      </w:r>
    </w:p>
    <w:p w14:paraId="7924BE8A" w14:textId="77777777" w:rsidR="00E77F9C" w:rsidRPr="00A22D36" w:rsidRDefault="00E77F9C" w:rsidP="00E77F9C">
      <w:pPr>
        <w:spacing w:before="180"/>
      </w:pPr>
      <w:r w:rsidRPr="00A22D36">
        <w:rPr>
          <w:b/>
          <w:bCs/>
        </w:rPr>
        <w:t xml:space="preserve">ESMO-MCBS: </w:t>
      </w:r>
      <w:r w:rsidRPr="00A22D36">
        <w:t>European Society of Medical Oncology</w:t>
      </w:r>
      <w:r>
        <w:t xml:space="preserve"> – </w:t>
      </w:r>
      <w:r w:rsidRPr="00A22D36">
        <w:t>Magnitude of Clinical Benefit Scale</w:t>
      </w:r>
      <w:r>
        <w:t>; a tool used to assess the magnitude of benefit of medicines for solid tumours, based on information from clinical trials.</w:t>
      </w:r>
    </w:p>
    <w:p w14:paraId="11AEBB88" w14:textId="77777777" w:rsidR="00E77F9C" w:rsidRPr="00A22D36" w:rsidRDefault="00E77F9C" w:rsidP="00E77F9C">
      <w:pPr>
        <w:spacing w:before="180"/>
      </w:pPr>
      <w:r w:rsidRPr="00A22D36">
        <w:rPr>
          <w:b/>
          <w:bCs/>
        </w:rPr>
        <w:t xml:space="preserve">FDA: </w:t>
      </w:r>
      <w:r w:rsidRPr="00A22D36">
        <w:t>Food and Drug Administration; the agency responsible for the regulatory approval of medicines in the United States of America</w:t>
      </w:r>
      <w:r>
        <w:t>.</w:t>
      </w:r>
    </w:p>
    <w:p w14:paraId="775D0C92" w14:textId="77777777" w:rsidR="00E77F9C" w:rsidRPr="00A22D36" w:rsidRDefault="00E77F9C" w:rsidP="00E77F9C">
      <w:pPr>
        <w:spacing w:before="180"/>
      </w:pPr>
      <w:r w:rsidRPr="00C86270">
        <w:rPr>
          <w:b/>
          <w:bCs/>
        </w:rPr>
        <w:t>First-line</w:t>
      </w:r>
      <w:r w:rsidRPr="00A22D36">
        <w:rPr>
          <w:b/>
          <w:bCs/>
        </w:rPr>
        <w:t xml:space="preserve"> therapy:</w:t>
      </w:r>
      <w:r w:rsidRPr="00A22D36">
        <w:t xml:space="preserve"> </w:t>
      </w:r>
      <w:r>
        <w:t>T</w:t>
      </w:r>
      <w:r w:rsidRPr="00A22D36">
        <w:t>he first treatment that is given in a particular treatment setting. For example, the first line of treatment in metastatic breast cancer may not be the first treatment the patient has received for breast cancer, but i</w:t>
      </w:r>
      <w:r>
        <w:t>t i</w:t>
      </w:r>
      <w:r w:rsidRPr="00A22D36">
        <w:t xml:space="preserve">s the first line of treatment </w:t>
      </w:r>
      <w:r>
        <w:t xml:space="preserve">they have received </w:t>
      </w:r>
      <w:r w:rsidRPr="00A22D36">
        <w:t>in the metastatic setting</w:t>
      </w:r>
      <w:r>
        <w:t xml:space="preserve"> (see also definition</w:t>
      </w:r>
      <w:r w:rsidR="0067152A">
        <w:t xml:space="preserve"> of </w:t>
      </w:r>
      <w:r w:rsidR="00D34911">
        <w:t>‘</w:t>
      </w:r>
      <w:hyperlink w:anchor="Line_of_treatment" w:history="1">
        <w:r w:rsidR="000E34F6" w:rsidRPr="000E34F6">
          <w:rPr>
            <w:rStyle w:val="Hyperlink"/>
          </w:rPr>
          <w:t>Line of treatment</w:t>
        </w:r>
      </w:hyperlink>
      <w:r w:rsidR="000E34F6">
        <w:t>’</w:t>
      </w:r>
      <w:r w:rsidR="0067152A">
        <w:t xml:space="preserve"> below).</w:t>
      </w:r>
    </w:p>
    <w:p w14:paraId="47B837C5" w14:textId="77777777" w:rsidR="00E77F9C" w:rsidRPr="001A6561" w:rsidRDefault="00E77F9C" w:rsidP="00E77F9C">
      <w:pPr>
        <w:spacing w:before="180"/>
      </w:pPr>
      <w:r w:rsidRPr="00224381">
        <w:rPr>
          <w:b/>
          <w:bCs/>
        </w:rPr>
        <w:t xml:space="preserve">Germline: </w:t>
      </w:r>
      <w:r w:rsidRPr="00224381">
        <w:t>Inherited mutations that are present at birt</w:t>
      </w:r>
      <w:r w:rsidR="0067152A">
        <w:t>h, passed from parent to child.</w:t>
      </w:r>
    </w:p>
    <w:p w14:paraId="01406ECA" w14:textId="7268997E" w:rsidR="00E77F9C" w:rsidRDefault="00E77F9C" w:rsidP="00E77F9C">
      <w:pPr>
        <w:spacing w:before="180"/>
      </w:pPr>
      <w:r w:rsidRPr="00645AE4">
        <w:rPr>
          <w:b/>
        </w:rPr>
        <w:t>HER</w:t>
      </w:r>
      <w:r>
        <w:rPr>
          <w:b/>
        </w:rPr>
        <w:t>-</w:t>
      </w:r>
      <w:r w:rsidRPr="00645AE4">
        <w:rPr>
          <w:b/>
        </w:rPr>
        <w:t xml:space="preserve">2: </w:t>
      </w:r>
      <w:r w:rsidRPr="00645AE4">
        <w:t xml:space="preserve">Human </w:t>
      </w:r>
      <w:r w:rsidR="00513A34">
        <w:t xml:space="preserve">epidermal </w:t>
      </w:r>
      <w:r w:rsidRPr="00645AE4">
        <w:t>growth factor receptor 2; a protein involved in cell growth and survival. Mutations in the HER</w:t>
      </w:r>
      <w:r>
        <w:t>-</w:t>
      </w:r>
      <w:r w:rsidRPr="00645AE4">
        <w:t>2 gene</w:t>
      </w:r>
      <w:r>
        <w:t xml:space="preserve"> within cancer cells</w:t>
      </w:r>
      <w:r w:rsidRPr="00645AE4">
        <w:t xml:space="preserve"> can cause abnormal cell growth and spread, which may play a role in some cancer types, including breast, ovarian, bladder, pancreatic, and stomach cancers. Detecting HER</w:t>
      </w:r>
      <w:r>
        <w:t>-</w:t>
      </w:r>
      <w:r w:rsidRPr="00645AE4">
        <w:t>2 mutations may help with planning treatment.</w:t>
      </w:r>
    </w:p>
    <w:p w14:paraId="1FE6F647" w14:textId="66BA1D87" w:rsidR="00E77F9C" w:rsidRDefault="00E77F9C" w:rsidP="00E77F9C">
      <w:pPr>
        <w:spacing w:before="180"/>
      </w:pPr>
      <w:r w:rsidRPr="00E56A8C">
        <w:rPr>
          <w:b/>
          <w:bCs/>
        </w:rPr>
        <w:t>Immunotherapy:</w:t>
      </w:r>
      <w:r w:rsidRPr="00E56A8C">
        <w:t xml:space="preserve"> </w:t>
      </w:r>
      <w:r>
        <w:t>A</w:t>
      </w:r>
      <w:r w:rsidRPr="00E56A8C">
        <w:t xml:space="preserve"> type of cancer treatment that uses medicines or other substances to activate a person</w:t>
      </w:r>
      <w:r w:rsidR="00D34911">
        <w:t>’</w:t>
      </w:r>
      <w:r w:rsidRPr="00E56A8C">
        <w:t>s immune system to identify and target cancer cells. There are different types of immunotherapy, including checkpoint inhibitors and monoclonal antibodies (</w:t>
      </w:r>
      <w:r w:rsidR="0006327E">
        <w:t xml:space="preserve">sometimes </w:t>
      </w:r>
      <w:r w:rsidR="002E421C">
        <w:t xml:space="preserve">also </w:t>
      </w:r>
      <w:r w:rsidR="0006327E">
        <w:t>called</w:t>
      </w:r>
      <w:r w:rsidRPr="00E56A8C">
        <w:t xml:space="preserve"> targeted therapy).</w:t>
      </w:r>
    </w:p>
    <w:p w14:paraId="7A82D2CA" w14:textId="77777777" w:rsidR="00E77F9C" w:rsidRDefault="00E77F9C" w:rsidP="00E77F9C">
      <w:pPr>
        <w:spacing w:before="180"/>
      </w:pPr>
      <w:r w:rsidRPr="00224381">
        <w:rPr>
          <w:b/>
          <w:bCs/>
        </w:rPr>
        <w:t xml:space="preserve">Incidence: </w:t>
      </w:r>
      <w:r w:rsidRPr="00224381">
        <w:t>The</w:t>
      </w:r>
      <w:r w:rsidRPr="00224381">
        <w:rPr>
          <w:b/>
          <w:bCs/>
        </w:rPr>
        <w:t xml:space="preserve"> </w:t>
      </w:r>
      <w:r w:rsidRPr="00224381">
        <w:t xml:space="preserve">number of new cases of a </w:t>
      </w:r>
      <w:r w:rsidRPr="006106DF">
        <w:t>disease, injury or medical condition in</w:t>
      </w:r>
      <w:r w:rsidRPr="00224381">
        <w:t xml:space="preserve"> a population over a specified period of time</w:t>
      </w:r>
      <w:r w:rsidR="0067152A">
        <w:t>.</w:t>
      </w:r>
    </w:p>
    <w:p w14:paraId="07DD824A" w14:textId="77777777" w:rsidR="00E77F9C" w:rsidRDefault="00E77F9C" w:rsidP="00E77F9C">
      <w:pPr>
        <w:spacing w:before="180"/>
      </w:pPr>
      <w:r w:rsidRPr="00A22D36">
        <w:rPr>
          <w:b/>
          <w:bCs/>
        </w:rPr>
        <w:t>Indication:</w:t>
      </w:r>
      <w:r w:rsidRPr="00A22D36">
        <w:t xml:space="preserve"> </w:t>
      </w:r>
      <w:r>
        <w:t>T</w:t>
      </w:r>
      <w:r w:rsidRPr="00A22D36">
        <w:t>he reason for using a particular medicine or treatment. For example, headache is one indication for paracetamol</w:t>
      </w:r>
      <w:r>
        <w:t>.</w:t>
      </w:r>
    </w:p>
    <w:p w14:paraId="57DC0628" w14:textId="77777777" w:rsidR="00E77F9C" w:rsidRPr="00A22D36" w:rsidRDefault="00E77F9C" w:rsidP="0067152A">
      <w:pPr>
        <w:keepNext/>
        <w:keepLines/>
        <w:spacing w:before="180"/>
      </w:pPr>
      <w:bookmarkStart w:id="8" w:name="Line_of_treatment"/>
      <w:bookmarkEnd w:id="8"/>
      <w:r w:rsidRPr="00EA2C23">
        <w:rPr>
          <w:b/>
          <w:bCs/>
        </w:rPr>
        <w:lastRenderedPageBreak/>
        <w:t>Line (of treatment):</w:t>
      </w:r>
      <w:r>
        <w:t xml:space="preserve"> When talking about cancer medicines, the term </w:t>
      </w:r>
      <w:r w:rsidR="00D34911">
        <w:t>‘</w:t>
      </w:r>
      <w:r>
        <w:t>line</w:t>
      </w:r>
      <w:r w:rsidR="00D34911">
        <w:t>’</w:t>
      </w:r>
      <w:r>
        <w:t xml:space="preserve"> or </w:t>
      </w:r>
      <w:r w:rsidR="00D34911">
        <w:t>‘</w:t>
      </w:r>
      <w:r>
        <w:t>lines</w:t>
      </w:r>
      <w:r w:rsidR="00D34911">
        <w:t>’</w:t>
      </w:r>
      <w:r>
        <w:t xml:space="preserve"> of treatment is used to refer to what order different treatments are used in, or how many different treatments have been used to treat a person</w:t>
      </w:r>
      <w:r w:rsidR="00D34911">
        <w:t>’</w:t>
      </w:r>
      <w:r>
        <w:t>s cancer. For example, a first line of treatment for a person with cancer might be a course of chemotherapy; a second line of treatment for that person might then be a targeted treatment, used only if the cancer progresses after the first</w:t>
      </w:r>
      <w:r w:rsidR="0067152A">
        <w:t xml:space="preserve"> line of treatment has started.</w:t>
      </w:r>
    </w:p>
    <w:p w14:paraId="2EE50BFE" w14:textId="77777777" w:rsidR="00E77F9C" w:rsidRPr="0067152A" w:rsidRDefault="00E77F9C" w:rsidP="00E77F9C">
      <w:pPr>
        <w:spacing w:before="180"/>
      </w:pPr>
      <w:r w:rsidRPr="00A22D36">
        <w:rPr>
          <w:b/>
          <w:bCs/>
        </w:rPr>
        <w:t xml:space="preserve">Maintenance treatment: </w:t>
      </w:r>
      <w:r>
        <w:t>T</w:t>
      </w:r>
      <w:r w:rsidRPr="00A22D36">
        <w:t>reatment that is given together with or after the main treatment option</w:t>
      </w:r>
      <w:r>
        <w:t>,</w:t>
      </w:r>
      <w:r w:rsidRPr="00A22D36">
        <w:t xml:space="preserve"> with the intent of lengthening the duration of or maintaining the response to treatment</w:t>
      </w:r>
      <w:r>
        <w:t>.</w:t>
      </w:r>
    </w:p>
    <w:p w14:paraId="2409D27C" w14:textId="1189B007" w:rsidR="00E77F9C" w:rsidRPr="00425FCE" w:rsidRDefault="00E77F9C" w:rsidP="00E77F9C">
      <w:pPr>
        <w:spacing w:before="180"/>
      </w:pPr>
      <w:bookmarkStart w:id="9" w:name="Median"/>
      <w:bookmarkEnd w:id="9"/>
      <w:r w:rsidRPr="00A22D36">
        <w:rPr>
          <w:b/>
          <w:bCs/>
        </w:rPr>
        <w:t>Median:</w:t>
      </w:r>
      <w:r>
        <w:rPr>
          <w:b/>
          <w:bCs/>
        </w:rPr>
        <w:t xml:space="preserve"> </w:t>
      </w:r>
      <w:r>
        <w:t>T</w:t>
      </w:r>
      <w:r w:rsidRPr="00425FCE">
        <w:t>he mid-point of a range.</w:t>
      </w:r>
      <w:r>
        <w:t xml:space="preserve"> In clinical trials of cancer medicines, the median is often used to describe the point in time at which half the people in a study population reached a specified endpoint. For example, a median overall survival timepoint is the point in time when half the people </w:t>
      </w:r>
      <w:r w:rsidR="000057CE">
        <w:t>receiving a given treatment</w:t>
      </w:r>
      <w:r w:rsidR="0067152A">
        <w:t xml:space="preserve"> are still alive.</w:t>
      </w:r>
    </w:p>
    <w:p w14:paraId="27DCB644" w14:textId="77777777" w:rsidR="00E77F9C" w:rsidRPr="0067152A" w:rsidRDefault="00E77F9C" w:rsidP="00E77F9C">
      <w:pPr>
        <w:spacing w:before="180"/>
      </w:pPr>
      <w:r w:rsidRPr="00A22D36">
        <w:rPr>
          <w:b/>
          <w:bCs/>
        </w:rPr>
        <w:t xml:space="preserve">Medicine-indication pair: </w:t>
      </w:r>
      <w:r>
        <w:t>A</w:t>
      </w:r>
      <w:r w:rsidRPr="00A22D36">
        <w:t xml:space="preserve"> medicine linked to a specific indication. For example, paracetamol for headache would be one medicine-indication pair</w:t>
      </w:r>
      <w:r>
        <w:t>.</w:t>
      </w:r>
    </w:p>
    <w:p w14:paraId="594912A9" w14:textId="77777777" w:rsidR="00E77F9C" w:rsidRDefault="00E77F9C" w:rsidP="00E77F9C">
      <w:pPr>
        <w:spacing w:before="180"/>
      </w:pPr>
      <w:r w:rsidRPr="00A22D36">
        <w:rPr>
          <w:b/>
          <w:bCs/>
        </w:rPr>
        <w:t xml:space="preserve">Medsafe: </w:t>
      </w:r>
      <w:r>
        <w:t xml:space="preserve">New Zealand Medicines and Medical Devices Safety Authority; the authority </w:t>
      </w:r>
      <w:r w:rsidRPr="00A22D36">
        <w:t xml:space="preserve">responsible for the regulatory approval of </w:t>
      </w:r>
      <w:r>
        <w:t xml:space="preserve">therapeutic products for use in Aotearoa, </w:t>
      </w:r>
      <w:r w:rsidRPr="00A22D36">
        <w:t>based on an assessment of th</w:t>
      </w:r>
      <w:r>
        <w:t xml:space="preserve">e efficacy and safety of those products. </w:t>
      </w:r>
      <w:r w:rsidRPr="00A22D36">
        <w:t>Medsafe approval does not guarantee public funding</w:t>
      </w:r>
      <w:r w:rsidR="0067152A">
        <w:t>.</w:t>
      </w:r>
    </w:p>
    <w:p w14:paraId="635DD3EE" w14:textId="77777777" w:rsidR="00E77F9C" w:rsidRPr="0067152A" w:rsidRDefault="00E77F9C" w:rsidP="00E77F9C">
      <w:pPr>
        <w:spacing w:before="180"/>
      </w:pPr>
      <w:r w:rsidRPr="00842077">
        <w:rPr>
          <w:b/>
        </w:rPr>
        <w:t xml:space="preserve">Neoadjuvant: </w:t>
      </w:r>
      <w:r w:rsidRPr="00842077">
        <w:t>Treatment given to reduce the size or extent of the cancer before the main treatment, whic</w:t>
      </w:r>
      <w:r w:rsidR="0067152A">
        <w:t>h is usually surgery, is given.</w:t>
      </w:r>
    </w:p>
    <w:p w14:paraId="219838F0" w14:textId="77777777" w:rsidR="00E77F9C" w:rsidRPr="0067152A" w:rsidRDefault="00E77F9C" w:rsidP="00E77F9C">
      <w:pPr>
        <w:spacing w:before="180"/>
      </w:pPr>
      <w:r w:rsidRPr="00645AE4">
        <w:rPr>
          <w:b/>
          <w:bCs/>
        </w:rPr>
        <w:t>NHS:</w:t>
      </w:r>
      <w:r w:rsidRPr="00645AE4">
        <w:t xml:space="preserve"> National Health Service; the national health service in the United Kingdom, consisting of four publicly funded healthcare systems (NHS England, NHS Scotland, NHS Wales and Health and Social Care in Northern Ireland).</w:t>
      </w:r>
    </w:p>
    <w:p w14:paraId="67CD231B" w14:textId="77777777" w:rsidR="00E77F9C" w:rsidRDefault="00E77F9C" w:rsidP="00E77F9C">
      <w:pPr>
        <w:spacing w:before="180"/>
      </w:pPr>
      <w:r w:rsidRPr="00645AE4">
        <w:rPr>
          <w:b/>
          <w:bCs/>
        </w:rPr>
        <w:t>NICE:</w:t>
      </w:r>
      <w:r w:rsidRPr="00645AE4">
        <w:t xml:space="preserve"> National Institute for Health and Care Excellence; the agency in the United Kingdom that provides national guidance and advice to National Health Service (NHS) England and NHS Wales, including health technology assessments for new cancer medicines.</w:t>
      </w:r>
    </w:p>
    <w:p w14:paraId="43C8AD6F" w14:textId="77777777" w:rsidR="00E77F9C" w:rsidRPr="00702A5A" w:rsidRDefault="00E77F9C" w:rsidP="00E77F9C">
      <w:pPr>
        <w:spacing w:before="180"/>
      </w:pPr>
      <w:r w:rsidRPr="1558A97C">
        <w:rPr>
          <w:b/>
          <w:bCs/>
        </w:rPr>
        <w:t xml:space="preserve">Non-curative </w:t>
      </w:r>
      <w:r>
        <w:rPr>
          <w:b/>
          <w:bCs/>
        </w:rPr>
        <w:t>intent</w:t>
      </w:r>
      <w:r w:rsidRPr="1558A97C">
        <w:rPr>
          <w:b/>
          <w:bCs/>
        </w:rPr>
        <w:t xml:space="preserve"> treatment: </w:t>
      </w:r>
      <w:r>
        <w:t>Treatment that is given with the intent of prolonging life and/or improving quality of life but where a cure of the underlying cancer is unlikely to be achieved.</w:t>
      </w:r>
    </w:p>
    <w:p w14:paraId="04B24103" w14:textId="77777777" w:rsidR="00E77F9C" w:rsidRPr="0067152A" w:rsidRDefault="00E77F9C" w:rsidP="00E77F9C">
      <w:pPr>
        <w:spacing w:before="180"/>
      </w:pPr>
      <w:r w:rsidRPr="00A22D36">
        <w:rPr>
          <w:b/>
          <w:bCs/>
        </w:rPr>
        <w:t>Overall survival:</w:t>
      </w:r>
      <w:r w:rsidRPr="6896F91B">
        <w:rPr>
          <w:b/>
          <w:bCs/>
        </w:rPr>
        <w:t xml:space="preserve"> </w:t>
      </w:r>
      <w:r>
        <w:t>An outcome measure</w:t>
      </w:r>
      <w:r w:rsidRPr="00B1721F">
        <w:t xml:space="preserve"> often used in</w:t>
      </w:r>
      <w:r>
        <w:t xml:space="preserve"> clinical trials of cancer medicines. Definitions may differ from study to study, but in general, this is the length of time from allocation of treatment to death from any cause. Overall survival results are often described using the median (see definition of </w:t>
      </w:r>
      <w:r w:rsidR="00D34911">
        <w:t>‘</w:t>
      </w:r>
      <w:hyperlink w:anchor="Median" w:history="1">
        <w:r w:rsidR="000E34F6" w:rsidRPr="000E34F6">
          <w:rPr>
            <w:rStyle w:val="Hyperlink"/>
          </w:rPr>
          <w:t>Median</w:t>
        </w:r>
      </w:hyperlink>
      <w:r w:rsidR="000E34F6">
        <w:t>’</w:t>
      </w:r>
      <w:r>
        <w:t xml:space="preserve"> above).</w:t>
      </w:r>
    </w:p>
    <w:p w14:paraId="4574C0B8" w14:textId="77777777" w:rsidR="00E77F9C" w:rsidRPr="0067152A" w:rsidRDefault="00E77F9C" w:rsidP="00E77F9C">
      <w:pPr>
        <w:spacing w:before="180"/>
      </w:pPr>
      <w:r>
        <w:rPr>
          <w:b/>
          <w:bCs/>
        </w:rPr>
        <w:t xml:space="preserve">PBAC: </w:t>
      </w:r>
      <w:r w:rsidRPr="00060A3C">
        <w:t>Pharmaceutical Benefits Advisory Committee;</w:t>
      </w:r>
      <w:r>
        <w:t xml:space="preserve"> an independent statutory body in Australia responsible for recommending new medicines for funding via the PBS (see definition of </w:t>
      </w:r>
      <w:r w:rsidR="00D34911">
        <w:t>‘</w:t>
      </w:r>
      <w:hyperlink w:anchor="PBS" w:history="1">
        <w:r w:rsidR="000E34F6" w:rsidRPr="000E34F6">
          <w:rPr>
            <w:rStyle w:val="Hyperlink"/>
          </w:rPr>
          <w:t>PBS</w:t>
        </w:r>
      </w:hyperlink>
      <w:r w:rsidR="00D34911">
        <w:t>’</w:t>
      </w:r>
      <w:r>
        <w:t xml:space="preserve"> below).</w:t>
      </w:r>
    </w:p>
    <w:p w14:paraId="2B122843" w14:textId="77777777" w:rsidR="00E77F9C" w:rsidRPr="0067152A" w:rsidRDefault="00E77F9C" w:rsidP="00E77F9C">
      <w:pPr>
        <w:spacing w:before="180"/>
      </w:pPr>
      <w:bookmarkStart w:id="10" w:name="PBS"/>
      <w:bookmarkEnd w:id="10"/>
      <w:r>
        <w:rPr>
          <w:b/>
          <w:bCs/>
        </w:rPr>
        <w:t xml:space="preserve">PBS: </w:t>
      </w:r>
      <w:r w:rsidRPr="00B92535">
        <w:t xml:space="preserve">Pharmaceutical Benefits Scheme; </w:t>
      </w:r>
      <w:r>
        <w:t xml:space="preserve">a </w:t>
      </w:r>
      <w:r w:rsidRPr="00B92535">
        <w:t>scheme that provides universal access to funded medicines for people living in Australia</w:t>
      </w:r>
      <w:r>
        <w:t xml:space="preserve"> (</w:t>
      </w:r>
      <w:r w:rsidRPr="00B92535">
        <w:t>in broad terms</w:t>
      </w:r>
      <w:r>
        <w:t>,</w:t>
      </w:r>
      <w:r w:rsidRPr="00B92535">
        <w:t xml:space="preserve"> Australia</w:t>
      </w:r>
      <w:r w:rsidR="00D34911">
        <w:t>’</w:t>
      </w:r>
      <w:r w:rsidRPr="00B92535">
        <w:t>s equivalent to Pharmac</w:t>
      </w:r>
      <w:r>
        <w:t xml:space="preserve"> for Aotearoa).</w:t>
      </w:r>
    </w:p>
    <w:p w14:paraId="729F6EE0" w14:textId="77777777" w:rsidR="00E77F9C" w:rsidRDefault="00E77F9C" w:rsidP="0067152A">
      <w:pPr>
        <w:keepNext/>
        <w:keepLines/>
        <w:spacing w:before="180"/>
      </w:pPr>
      <w:bookmarkStart w:id="11" w:name="Pharmac"/>
      <w:bookmarkEnd w:id="11"/>
      <w:r w:rsidRPr="00A22D36">
        <w:rPr>
          <w:b/>
          <w:bCs/>
        </w:rPr>
        <w:lastRenderedPageBreak/>
        <w:t>Pharmac:</w:t>
      </w:r>
      <w:r w:rsidRPr="0067152A">
        <w:t xml:space="preserve"> Te Pātaka Whaioranga / Pharmaceutical Management Agency; the New</w:t>
      </w:r>
      <w:r w:rsidRPr="00A22D36">
        <w:t xml:space="preserve"> Zealand Government organisation that is responsible for approving medicines for public funding in Aotearoa based on a number of factors</w:t>
      </w:r>
      <w:r>
        <w:t>,</w:t>
      </w:r>
      <w:r w:rsidRPr="00A22D36">
        <w:t xml:space="preserve"> including </w:t>
      </w:r>
      <w:r>
        <w:t xml:space="preserve">unmet need, </w:t>
      </w:r>
      <w:r w:rsidRPr="00A22D36">
        <w:t>effectiveness, value for money, budget impact and suitability for use</w:t>
      </w:r>
      <w:r>
        <w:t>.</w:t>
      </w:r>
    </w:p>
    <w:p w14:paraId="696D6DBA" w14:textId="77777777" w:rsidR="00E77F9C" w:rsidRPr="001E4A0B" w:rsidRDefault="00E77F9C" w:rsidP="00E77F9C">
      <w:pPr>
        <w:spacing w:before="180"/>
      </w:pPr>
      <w:r w:rsidRPr="00784D79">
        <w:rPr>
          <w:b/>
        </w:rPr>
        <w:t xml:space="preserve">Prevalence: </w:t>
      </w:r>
      <w:r>
        <w:t>T</w:t>
      </w:r>
      <w:r w:rsidRPr="00784D79">
        <w:t xml:space="preserve">he number of people with a disease, injury or medical condition in a population at a given </w:t>
      </w:r>
      <w:r>
        <w:t xml:space="preserve">point in </w:t>
      </w:r>
      <w:r w:rsidRPr="00784D79">
        <w:t>time.</w:t>
      </w:r>
    </w:p>
    <w:p w14:paraId="26175735" w14:textId="77777777" w:rsidR="00E77F9C" w:rsidRPr="00B1721F" w:rsidRDefault="00E77F9C" w:rsidP="00E77F9C">
      <w:pPr>
        <w:spacing w:before="180"/>
      </w:pPr>
      <w:r w:rsidRPr="00A22D36">
        <w:rPr>
          <w:b/>
          <w:bCs/>
        </w:rPr>
        <w:t>Progression-free survival:</w:t>
      </w:r>
      <w:r>
        <w:rPr>
          <w:b/>
          <w:bCs/>
        </w:rPr>
        <w:t xml:space="preserve"> </w:t>
      </w:r>
      <w:r>
        <w:t>A</w:t>
      </w:r>
      <w:r w:rsidRPr="00B1721F">
        <w:t xml:space="preserve"> surrogate</w:t>
      </w:r>
      <w:r>
        <w:t xml:space="preserve"> (or proxy)</w:t>
      </w:r>
      <w:r w:rsidRPr="00B1721F">
        <w:t xml:space="preserve"> endpoint often used in</w:t>
      </w:r>
      <w:r>
        <w:t xml:space="preserve"> clinical trials of cancer medicines. Definitions may differ from study to study, but in general, this is the time from allocation of treatment to either cancer progression or death from any cause. Progression-free survival results are often described using the median (see definition of </w:t>
      </w:r>
      <w:r w:rsidR="00D34911">
        <w:t>‘</w:t>
      </w:r>
      <w:hyperlink w:anchor="Median" w:history="1">
        <w:r w:rsidR="000E34F6" w:rsidRPr="000E34F6">
          <w:rPr>
            <w:rStyle w:val="Hyperlink"/>
          </w:rPr>
          <w:t>Median</w:t>
        </w:r>
      </w:hyperlink>
      <w:r w:rsidR="00D34911">
        <w:t>’</w:t>
      </w:r>
      <w:r>
        <w:t xml:space="preserve"> above).</w:t>
      </w:r>
    </w:p>
    <w:p w14:paraId="68794F8A" w14:textId="77777777" w:rsidR="00E77F9C" w:rsidRPr="00A22D36" w:rsidRDefault="00E77F9C" w:rsidP="00E77F9C">
      <w:pPr>
        <w:spacing w:before="180"/>
      </w:pPr>
      <w:r w:rsidRPr="00A22D36">
        <w:rPr>
          <w:b/>
          <w:bCs/>
        </w:rPr>
        <w:t xml:space="preserve">Quality of life: </w:t>
      </w:r>
      <w:r>
        <w:t>T</w:t>
      </w:r>
      <w:r w:rsidRPr="001229B8">
        <w:t>he degree to which a</w:t>
      </w:r>
      <w:r>
        <w:t xml:space="preserve"> person feels </w:t>
      </w:r>
      <w:r w:rsidRPr="001229B8">
        <w:t>healthy, comfortable and able to participate in or enjoy life events</w:t>
      </w:r>
      <w:r>
        <w:t>. This can mean different things to different people and can be heavily influenced by things such as a person</w:t>
      </w:r>
      <w:r w:rsidR="00D34911">
        <w:t>’</w:t>
      </w:r>
      <w:r>
        <w:t>s culture and value systems. In clinical trials of cancer medicines, changes in quality of life may be reported, using a variety of methods.</w:t>
      </w:r>
    </w:p>
    <w:p w14:paraId="10ED3F52" w14:textId="77777777" w:rsidR="00E77F9C" w:rsidRDefault="00E77F9C" w:rsidP="00E77F9C">
      <w:pPr>
        <w:spacing w:before="180"/>
      </w:pPr>
      <w:r w:rsidRPr="006E58E2">
        <w:rPr>
          <w:b/>
          <w:bCs/>
        </w:rPr>
        <w:t>Radiotherapy:</w:t>
      </w:r>
      <w:r w:rsidRPr="006E58E2">
        <w:t xml:space="preserve"> A type of cancer treatment that uses high</w:t>
      </w:r>
      <w:r>
        <w:t>-</w:t>
      </w:r>
      <w:r w:rsidRPr="006E58E2">
        <w:t>dose radiation to destroy or damage cancer cells. It can be used to cure cancer (curative radiotherapy), with other treatments to make treatment more effective (neoadjuvant or adjuvant radiotherapy), or to relieve symptoms (palliative radiotherapy). Also called radiation therapy.</w:t>
      </w:r>
    </w:p>
    <w:p w14:paraId="78A2ECA0" w14:textId="77777777" w:rsidR="00E77F9C" w:rsidRPr="00725468" w:rsidRDefault="00E77F9C" w:rsidP="00E77F9C">
      <w:pPr>
        <w:spacing w:before="180"/>
      </w:pPr>
      <w:r w:rsidRPr="00514ECE">
        <w:rPr>
          <w:b/>
          <w:bCs/>
        </w:rPr>
        <w:t xml:space="preserve">RAS: </w:t>
      </w:r>
      <w:r w:rsidRPr="00514ECE">
        <w:t xml:space="preserve">Proteins that are involved in cell signalling. Mutations in the RAS genes (KRAS, HRAS and/or NRAS) </w:t>
      </w:r>
      <w:r>
        <w:t xml:space="preserve">within cancer cells </w:t>
      </w:r>
      <w:r w:rsidRPr="00514ECE">
        <w:t>can cause abnormal cell growth and spread, which may play a role in some cancer types, including colorectal and pancreatic cancers. Detecting RAS mutations may help wi</w:t>
      </w:r>
      <w:r w:rsidR="0067152A">
        <w:t>th planning treatment.</w:t>
      </w:r>
    </w:p>
    <w:p w14:paraId="1D5CAD0A" w14:textId="77777777" w:rsidR="00E77F9C" w:rsidRPr="0067152A" w:rsidRDefault="00E77F9C" w:rsidP="00E77F9C">
      <w:pPr>
        <w:spacing w:before="180"/>
      </w:pPr>
      <w:r w:rsidRPr="00A22D36">
        <w:rPr>
          <w:b/>
          <w:bCs/>
        </w:rPr>
        <w:t xml:space="preserve">Regimen-indication pair: </w:t>
      </w:r>
      <w:r>
        <w:t>Medicines</w:t>
      </w:r>
      <w:r w:rsidRPr="00A22D36">
        <w:t xml:space="preserve"> that must be used in combination for a specific indication</w:t>
      </w:r>
      <w:r>
        <w:t xml:space="preserve">, for example, </w:t>
      </w:r>
      <w:r w:rsidRPr="00A22D36">
        <w:t xml:space="preserve">dabrafenib and trametinib used in combination for the treatment of unresectable melanoma would be one regimen-indication </w:t>
      </w:r>
      <w:r w:rsidR="0067152A">
        <w:t>pair.</w:t>
      </w:r>
    </w:p>
    <w:p w14:paraId="0767164D" w14:textId="77777777" w:rsidR="00E77F9C" w:rsidRPr="00A22D36" w:rsidRDefault="00E77F9C" w:rsidP="00E77F9C">
      <w:pPr>
        <w:spacing w:before="180"/>
      </w:pPr>
      <w:r w:rsidRPr="00A22D36">
        <w:rPr>
          <w:b/>
          <w:bCs/>
        </w:rPr>
        <w:t>Regulatory agency:</w:t>
      </w:r>
      <w:r w:rsidRPr="00A22D36">
        <w:t xml:space="preserve"> </w:t>
      </w:r>
      <w:r>
        <w:t>A</w:t>
      </w:r>
      <w:r w:rsidRPr="00A22D36">
        <w:t xml:space="preserve"> government organisation responsible for approving a medicine for use, based on a balance of benefit and risk. For example, Medsafe is the regulatory agency in Aotearoa</w:t>
      </w:r>
      <w:r w:rsidR="0067152A">
        <w:t>.</w:t>
      </w:r>
    </w:p>
    <w:p w14:paraId="18CF4E42" w14:textId="77777777" w:rsidR="00E77F9C" w:rsidRDefault="00E77F9C" w:rsidP="00E77F9C">
      <w:pPr>
        <w:spacing w:before="180"/>
      </w:pPr>
      <w:bookmarkStart w:id="12" w:name="Relapse_free_survival"/>
      <w:bookmarkEnd w:id="12"/>
      <w:r w:rsidRPr="00965BE0">
        <w:rPr>
          <w:b/>
          <w:bCs/>
        </w:rPr>
        <w:t>Relapse-free survival:</w:t>
      </w:r>
      <w:r>
        <w:t xml:space="preserve"> A</w:t>
      </w:r>
      <w:r w:rsidRPr="00B1721F">
        <w:t xml:space="preserve"> surrogate</w:t>
      </w:r>
      <w:r>
        <w:t xml:space="preserve"> (or proxy)</w:t>
      </w:r>
      <w:r w:rsidRPr="00B1721F">
        <w:t xml:space="preserve"> endpoint </w:t>
      </w:r>
      <w:r>
        <w:t>sometimes</w:t>
      </w:r>
      <w:r w:rsidRPr="00B1721F">
        <w:t xml:space="preserve"> used in</w:t>
      </w:r>
      <w:r>
        <w:t xml:space="preserve"> clinical trials of cancer medicines. Definitions may differ from study to study, but in general, this term is used to mean the length of time that a patient survives without any signs or symptoms of cancer, after the main curative treatment for their cancer has ended. May also be known as disease-free survival (see </w:t>
      </w:r>
      <w:hyperlink w:anchor="Disease_free_survival" w:history="1">
        <w:r w:rsidR="001B66CA" w:rsidRPr="001B66CA">
          <w:rPr>
            <w:rStyle w:val="Hyperlink"/>
          </w:rPr>
          <w:t>definition above</w:t>
        </w:r>
      </w:hyperlink>
      <w:r>
        <w:t>).</w:t>
      </w:r>
    </w:p>
    <w:p w14:paraId="63F9FBFD" w14:textId="77777777" w:rsidR="00E77F9C" w:rsidRPr="00A22D36" w:rsidRDefault="00E77F9C" w:rsidP="00E77F9C">
      <w:pPr>
        <w:spacing w:before="180"/>
      </w:pPr>
      <w:r w:rsidRPr="008E58C9">
        <w:rPr>
          <w:b/>
          <w:bCs/>
        </w:rPr>
        <w:t>Schedule:</w:t>
      </w:r>
      <w:r>
        <w:t xml:space="preserve"> In medicines funding, a list of medicines that are available, under specific conditions and at specific prices. For example, in Aotearoa, the list of medicines available via public funding is Pharmac</w:t>
      </w:r>
      <w:r w:rsidR="00D34911">
        <w:t>’</w:t>
      </w:r>
      <w:r>
        <w:t>s Pharmaceutical Schedule. The comparable list in</w:t>
      </w:r>
      <w:r w:rsidR="0067152A">
        <w:t xml:space="preserve"> Australia is the PBS Schedule.</w:t>
      </w:r>
    </w:p>
    <w:p w14:paraId="0844F3BA" w14:textId="77777777" w:rsidR="00E77F9C" w:rsidRDefault="00E77F9C" w:rsidP="00EB4AA3">
      <w:pPr>
        <w:keepNext/>
        <w:keepLines/>
        <w:spacing w:before="180"/>
      </w:pPr>
      <w:r w:rsidRPr="00A22D36">
        <w:rPr>
          <w:b/>
          <w:bCs/>
        </w:rPr>
        <w:lastRenderedPageBreak/>
        <w:t xml:space="preserve">Second-line </w:t>
      </w:r>
      <w:r>
        <w:rPr>
          <w:b/>
          <w:bCs/>
        </w:rPr>
        <w:t xml:space="preserve">therapy: </w:t>
      </w:r>
      <w:r>
        <w:t>T</w:t>
      </w:r>
      <w:r w:rsidRPr="00A22D36">
        <w:t>he second treatment that is given in a particular treatment setting, after the first</w:t>
      </w:r>
      <w:r>
        <w:t>-</w:t>
      </w:r>
      <w:r w:rsidRPr="00A22D36">
        <w:t>line treatment was</w:t>
      </w:r>
      <w:r>
        <w:t xml:space="preserve"> shown to be ineffective or has stopped working. </w:t>
      </w:r>
      <w:r w:rsidRPr="00A22D36">
        <w:t>In some instances in this report</w:t>
      </w:r>
      <w:r>
        <w:t xml:space="preserve">, </w:t>
      </w:r>
      <w:r w:rsidR="00D34911">
        <w:t>‘</w:t>
      </w:r>
      <w:r>
        <w:t>second-line therapy</w:t>
      </w:r>
      <w:r w:rsidR="00D34911">
        <w:t>’</w:t>
      </w:r>
      <w:r>
        <w:t xml:space="preserve"> </w:t>
      </w:r>
      <w:r w:rsidRPr="00A22D36">
        <w:t>is used to refer to second or subsequent lines of treatment. For example the second line of treatment in metastatic lung cancer would be used after the first (or prior) lines of treatment in that setting had either failed to work, or stopped working.</w:t>
      </w:r>
    </w:p>
    <w:p w14:paraId="5846DFBD" w14:textId="77777777" w:rsidR="00E77F9C" w:rsidRPr="00A22D36" w:rsidRDefault="00E77F9C" w:rsidP="00E77F9C">
      <w:pPr>
        <w:spacing w:before="180"/>
      </w:pPr>
      <w:r w:rsidRPr="00082567">
        <w:rPr>
          <w:b/>
          <w:bCs/>
        </w:rPr>
        <w:t>Solid tumours:</w:t>
      </w:r>
      <w:r>
        <w:t xml:space="preserve"> Cancers that occur in cells or parts of the body outside of the blood system (ie, cancers that are not blood cancers). Examples include lung, breast,</w:t>
      </w:r>
      <w:r w:rsidR="0067152A">
        <w:t xml:space="preserve"> bowel and skin cancer.</w:t>
      </w:r>
    </w:p>
    <w:p w14:paraId="32024634" w14:textId="77777777" w:rsidR="00E77F9C" w:rsidRDefault="00E77F9C" w:rsidP="00E77F9C">
      <w:pPr>
        <w:spacing w:before="180"/>
      </w:pPr>
      <w:r w:rsidRPr="007C0B75">
        <w:rPr>
          <w:b/>
          <w:bCs/>
        </w:rPr>
        <w:t xml:space="preserve">Somatic: </w:t>
      </w:r>
      <w:r w:rsidRPr="007C0B75">
        <w:t>In genetics, somatic mutations are mutations that occur after conception and are not inheritable.</w:t>
      </w:r>
    </w:p>
    <w:p w14:paraId="1C4C0BFD" w14:textId="77777777" w:rsidR="00E77F9C" w:rsidRDefault="00E77F9C" w:rsidP="00E77F9C">
      <w:pPr>
        <w:spacing w:before="180"/>
      </w:pPr>
      <w:r w:rsidRPr="007C0B75">
        <w:rPr>
          <w:b/>
          <w:bCs/>
        </w:rPr>
        <w:t>Surgical resection:</w:t>
      </w:r>
      <w:r w:rsidRPr="007C0B75">
        <w:t xml:space="preserve"> A type of cancer treatment that involves surgically removing part or all of a tumour. It is often considered the definitive treatment for many solid tumours.</w:t>
      </w:r>
    </w:p>
    <w:p w14:paraId="2C74AD3F" w14:textId="77777777" w:rsidR="00E77F9C" w:rsidRDefault="0067152A" w:rsidP="00E77F9C">
      <w:pPr>
        <w:spacing w:before="180"/>
      </w:pPr>
      <w:r>
        <w:rPr>
          <w:b/>
          <w:bCs/>
        </w:rPr>
        <w:t>Targeted therapy/treatment:</w:t>
      </w:r>
      <w:r w:rsidRPr="0067152A">
        <w:t xml:space="preserve"> </w:t>
      </w:r>
      <w:r w:rsidR="00E77F9C" w:rsidRPr="0092611A">
        <w:t>A</w:t>
      </w:r>
      <w:r w:rsidR="00E77F9C" w:rsidRPr="00F000A1">
        <w:t xml:space="preserve"> type of cancer treatment that uses medicines or other substances to precisely identify and target</w:t>
      </w:r>
      <w:r>
        <w:t xml:space="preserve"> certain types of cancer cells.</w:t>
      </w:r>
    </w:p>
    <w:p w14:paraId="1327168B" w14:textId="77777777" w:rsidR="00E77F9C" w:rsidRPr="00A22D36" w:rsidRDefault="00E77F9C" w:rsidP="00E77F9C">
      <w:pPr>
        <w:spacing w:before="180"/>
      </w:pPr>
      <w:r w:rsidRPr="00A22D36">
        <w:rPr>
          <w:b/>
          <w:bCs/>
        </w:rPr>
        <w:t>TGA:</w:t>
      </w:r>
      <w:r w:rsidRPr="00A22D36">
        <w:t xml:space="preserve"> Therapeutic Goods Administration; the agency responsible for the regulatory approval of medicines in Australia</w:t>
      </w:r>
      <w:r>
        <w:t>.</w:t>
      </w:r>
    </w:p>
    <w:p w14:paraId="5D987F01" w14:textId="77777777" w:rsidR="00E77F9C" w:rsidRPr="00A22D36" w:rsidRDefault="00E77F9C" w:rsidP="00E77F9C">
      <w:pPr>
        <w:spacing w:before="180"/>
      </w:pPr>
      <w:r w:rsidRPr="00A22D36">
        <w:rPr>
          <w:b/>
          <w:bCs/>
        </w:rPr>
        <w:t>WHO:</w:t>
      </w:r>
      <w:r w:rsidRPr="00A22D36">
        <w:t xml:space="preserve"> World Health Organization; </w:t>
      </w:r>
      <w:r>
        <w:t>a</w:t>
      </w:r>
      <w:r w:rsidRPr="009C3F46">
        <w:t xml:space="preserve"> speciali</w:t>
      </w:r>
      <w:r>
        <w:t>s</w:t>
      </w:r>
      <w:r w:rsidRPr="009C3F46">
        <w:t xml:space="preserve">ed agency of the United Nations responsible for </w:t>
      </w:r>
      <w:r>
        <w:t>pro</w:t>
      </w:r>
      <w:r w:rsidR="0067152A">
        <w:t>moting health internationally.</w:t>
      </w:r>
    </w:p>
    <w:p w14:paraId="38543E9B" w14:textId="4A11AAC5" w:rsidR="0067152A" w:rsidRDefault="00E77F9C" w:rsidP="00A24B79">
      <w:pPr>
        <w:spacing w:before="180"/>
        <w:sectPr w:rsidR="0067152A" w:rsidSect="00925892">
          <w:footerReference w:type="even" r:id="rId27"/>
          <w:pgSz w:w="11907" w:h="16840" w:code="9"/>
          <w:pgMar w:top="1418" w:right="1701" w:bottom="1134" w:left="1843" w:header="284" w:footer="425" w:gutter="284"/>
          <w:pgNumType w:fmt="lowerRoman"/>
          <w:cols w:space="720"/>
        </w:sectPr>
      </w:pPr>
      <w:r w:rsidRPr="005F3228">
        <w:rPr>
          <w:b/>
          <w:bCs/>
        </w:rPr>
        <w:t>Wild</w:t>
      </w:r>
      <w:r>
        <w:rPr>
          <w:b/>
          <w:bCs/>
        </w:rPr>
        <w:t>-</w:t>
      </w:r>
      <w:r w:rsidRPr="005F3228">
        <w:rPr>
          <w:b/>
          <w:bCs/>
        </w:rPr>
        <w:t xml:space="preserve">type: </w:t>
      </w:r>
      <w:r w:rsidRPr="005F3228">
        <w:t>A wild</w:t>
      </w:r>
      <w:r>
        <w:t>-</w:t>
      </w:r>
      <w:r w:rsidRPr="005F3228">
        <w:t>type gene is a non-mutated or unaltered g</w:t>
      </w:r>
    </w:p>
    <w:p w14:paraId="5CD2AE53" w14:textId="583ADA8B" w:rsidR="0067152A" w:rsidRPr="00415698" w:rsidRDefault="0067152A" w:rsidP="0067152A">
      <w:pPr>
        <w:rPr>
          <w:color w:val="0AB58F"/>
        </w:rPr>
      </w:pPr>
    </w:p>
    <w:p w14:paraId="64DEF6F6" w14:textId="22111F22" w:rsidR="00415698" w:rsidRPr="00415698" w:rsidRDefault="00415698" w:rsidP="00415698">
      <w:pPr>
        <w:pStyle w:val="Part"/>
        <w:jc w:val="center"/>
        <w:rPr>
          <w:rFonts w:ascii="Montserrat" w:hAnsi="Montserrat"/>
          <w:b/>
          <w:bCs/>
          <w:color w:val="0AB58F"/>
          <w:sz w:val="52"/>
          <w:szCs w:val="52"/>
        </w:rPr>
      </w:pPr>
      <w:r w:rsidRPr="00415698">
        <w:rPr>
          <w:rFonts w:ascii="Montserrat" w:hAnsi="Montserrat"/>
          <w:b/>
          <w:bCs/>
          <w:color w:val="0AB58F"/>
          <w:sz w:val="52"/>
          <w:szCs w:val="52"/>
        </w:rPr>
        <w:t xml:space="preserve">Mā te kimi ka </w:t>
      </w:r>
      <w:r w:rsidR="00E27560" w:rsidRPr="00415698">
        <w:rPr>
          <w:rFonts w:ascii="Montserrat" w:hAnsi="Montserrat"/>
          <w:b/>
          <w:bCs/>
          <w:color w:val="0AB58F"/>
          <w:sz w:val="52"/>
          <w:szCs w:val="52"/>
        </w:rPr>
        <w:t xml:space="preserve">kite,  </w:t>
      </w:r>
      <w:r w:rsidRPr="00415698">
        <w:rPr>
          <w:rFonts w:ascii="Montserrat" w:hAnsi="Montserrat"/>
          <w:b/>
          <w:bCs/>
          <w:color w:val="0AB58F"/>
          <w:sz w:val="52"/>
          <w:szCs w:val="52"/>
        </w:rPr>
        <w:t xml:space="preserve">                               mā te kite ka mōhio,                                    mā te mōhio ka mārama.</w:t>
      </w:r>
    </w:p>
    <w:p w14:paraId="58B52DDB" w14:textId="77777777" w:rsidR="00415698" w:rsidRPr="00415698" w:rsidRDefault="00415698" w:rsidP="00415698">
      <w:pPr>
        <w:pStyle w:val="Part"/>
        <w:jc w:val="center"/>
        <w:rPr>
          <w:rFonts w:ascii="Montserrat" w:hAnsi="Montserrat"/>
          <w:b/>
          <w:bCs/>
          <w:color w:val="0AB58F"/>
          <w:sz w:val="52"/>
          <w:szCs w:val="52"/>
        </w:rPr>
      </w:pPr>
    </w:p>
    <w:p w14:paraId="39AD1961" w14:textId="139C07C8" w:rsidR="00415698" w:rsidRPr="008A566B" w:rsidRDefault="00415698" w:rsidP="00415698">
      <w:pPr>
        <w:pStyle w:val="Part"/>
        <w:jc w:val="center"/>
        <w:rPr>
          <w:rFonts w:ascii="Montserrat" w:hAnsi="Montserrat"/>
          <w:b/>
          <w:bCs/>
          <w:color w:val="FFFFFF" w:themeColor="background1"/>
          <w:sz w:val="52"/>
          <w:szCs w:val="52"/>
        </w:rPr>
      </w:pPr>
      <w:r w:rsidRPr="00415698">
        <w:rPr>
          <w:rFonts w:ascii="Montserrat" w:hAnsi="Montserrat"/>
          <w:b/>
          <w:bCs/>
          <w:color w:val="0AB58F"/>
          <w:sz w:val="52"/>
          <w:szCs w:val="52"/>
        </w:rPr>
        <w:t xml:space="preserve">  Seek and </w:t>
      </w:r>
      <w:r w:rsidR="00E27560" w:rsidRPr="00415698">
        <w:rPr>
          <w:rFonts w:ascii="Montserrat" w:hAnsi="Montserrat"/>
          <w:b/>
          <w:bCs/>
          <w:color w:val="0AB58F"/>
          <w:sz w:val="52"/>
          <w:szCs w:val="52"/>
        </w:rPr>
        <w:t xml:space="preserve">discover,  </w:t>
      </w:r>
      <w:r w:rsidRPr="00415698">
        <w:rPr>
          <w:rFonts w:ascii="Montserrat" w:hAnsi="Montserrat"/>
          <w:b/>
          <w:bCs/>
          <w:color w:val="0AB58F"/>
          <w:sz w:val="52"/>
          <w:szCs w:val="52"/>
        </w:rPr>
        <w:t xml:space="preserve">                        discover and know,                                 know and become enlightene</w:t>
      </w:r>
      <w:r w:rsidR="00A04686">
        <w:rPr>
          <w:rFonts w:ascii="Montserrat" w:hAnsi="Montserrat"/>
          <w:b/>
          <w:bCs/>
          <w:color w:val="0AB58F"/>
          <w:sz w:val="52"/>
          <w:szCs w:val="52"/>
        </w:rPr>
        <w:t>d.</w:t>
      </w:r>
    </w:p>
    <w:p w14:paraId="19768B32" w14:textId="77777777" w:rsidR="0067152A" w:rsidRDefault="0067152A" w:rsidP="0067152A">
      <w:pPr>
        <w:sectPr w:rsidR="0067152A" w:rsidSect="0067152A">
          <w:footerReference w:type="default" r:id="rId28"/>
          <w:pgSz w:w="11907" w:h="16840" w:code="9"/>
          <w:pgMar w:top="1418" w:right="1701" w:bottom="1418" w:left="1843" w:header="284" w:footer="425" w:gutter="284"/>
          <w:pgNumType w:fmt="lowerRoman"/>
          <w:cols w:space="720"/>
          <w:vAlign w:val="center"/>
        </w:sectPr>
      </w:pPr>
    </w:p>
    <w:p w14:paraId="340A36E5" w14:textId="1D1A56CD" w:rsidR="006E2886" w:rsidRPr="00AB4D05" w:rsidRDefault="0067152A" w:rsidP="00F54E74">
      <w:pPr>
        <w:pStyle w:val="Heading1"/>
        <w:rPr>
          <w:rFonts w:ascii="Montserrat" w:hAnsi="Montserrat"/>
        </w:rPr>
      </w:pPr>
      <w:bookmarkStart w:id="13" w:name="_Toc101618143"/>
      <w:r w:rsidRPr="008828FC">
        <w:rPr>
          <w:rFonts w:ascii="Montserrat" w:hAnsi="Montserrat"/>
          <w:sz w:val="56"/>
          <w:szCs w:val="56"/>
        </w:rPr>
        <w:lastRenderedPageBreak/>
        <w:t>HE</w:t>
      </w:r>
      <w:r w:rsidR="008828FC" w:rsidRPr="008828FC">
        <w:rPr>
          <w:rFonts w:ascii="Montserrat" w:hAnsi="Montserrat"/>
          <w:sz w:val="56"/>
          <w:szCs w:val="56"/>
        </w:rPr>
        <w:t xml:space="preserve"> </w:t>
      </w:r>
      <w:r w:rsidRPr="008828FC">
        <w:rPr>
          <w:rFonts w:ascii="Montserrat" w:hAnsi="Montserrat"/>
          <w:sz w:val="56"/>
          <w:szCs w:val="56"/>
        </w:rPr>
        <w:t xml:space="preserve">WHAKARĀPOPOTONGA </w:t>
      </w:r>
      <w:r w:rsidR="00DA7F9E" w:rsidRPr="00AB4D05">
        <w:rPr>
          <w:rFonts w:ascii="Montserrat" w:hAnsi="Montserrat"/>
          <w:color w:val="0AB58F"/>
        </w:rPr>
        <w:t>Executive summary</w:t>
      </w:r>
      <w:bookmarkEnd w:id="13"/>
    </w:p>
    <w:p w14:paraId="06E8CCB5" w14:textId="77777777" w:rsidR="0067152A" w:rsidRDefault="0067152A" w:rsidP="003E61B0">
      <w:pPr>
        <w:pStyle w:val="Heading4"/>
      </w:pPr>
      <w:r w:rsidRPr="006428E7">
        <w:t>What is this report about?</w:t>
      </w:r>
    </w:p>
    <w:p w14:paraId="2C01E33E" w14:textId="77777777" w:rsidR="0067152A" w:rsidRDefault="0067152A" w:rsidP="0067152A">
      <w:r>
        <w:t xml:space="preserve">This report investigates the availability of medicines used in the treatment of cancer in Aotearoa New Zealand (Aotearoa). In this report, </w:t>
      </w:r>
      <w:r w:rsidR="00D34911">
        <w:t>‘</w:t>
      </w:r>
      <w:r>
        <w:t>available medicines</w:t>
      </w:r>
      <w:r w:rsidR="00D34911">
        <w:t>’</w:t>
      </w:r>
      <w:r>
        <w:t xml:space="preserve"> means medicines that are publicly funded in Aotearoa via Pharmac. The report describes the findings of an analysis that compares the availability of cancer medicines here with that of Australia – not only in terms of the number of medicines funded, but also in terms of clinical benefit.</w:t>
      </w:r>
    </w:p>
    <w:p w14:paraId="08FAC2B2" w14:textId="77777777" w:rsidR="0067152A" w:rsidRDefault="0067152A" w:rsidP="003E61B0">
      <w:pPr>
        <w:pStyle w:val="Heading4"/>
      </w:pPr>
      <w:r w:rsidRPr="006428E7">
        <w:t>Why did we look into this topic?</w:t>
      </w:r>
    </w:p>
    <w:p w14:paraId="170BDF50" w14:textId="77777777" w:rsidR="0067152A" w:rsidRDefault="0067152A" w:rsidP="0067152A">
      <w:r>
        <w:t>Cancer medicines are a crucial part of the treatment of many different types of cancer – both solid tumours and blood cancers. Better cancer outcomes are more likely to be achieved when there is equitable access to effective medicines.</w:t>
      </w:r>
      <w:r w:rsidR="00D34911">
        <w:t xml:space="preserve"> </w:t>
      </w:r>
      <w:r>
        <w:t>People with cancer, and the people caring for them, rely on cancer medicines. They expect that when they need a cancer medicine, it will be available.</w:t>
      </w:r>
    </w:p>
    <w:p w14:paraId="3D82BFD4" w14:textId="77777777" w:rsidR="0067152A" w:rsidRDefault="0067152A" w:rsidP="0067152A"/>
    <w:p w14:paraId="5C05F198" w14:textId="77777777" w:rsidR="0067152A" w:rsidRDefault="0067152A" w:rsidP="0067152A">
      <w:r>
        <w:t>It is also important to recognise that the public funding of cancer medicines is a complicated issue. New medicines are being developed at a rapid pace. On the one hand, this provides much needed hope and options for people with cancer. On the other hand, the rapid pace of development and the high cost of cancer medicines can make it difficult for governments worldwide to assess what added clinical benefit new medicines offer and how much of finite public funds should be allocated towards new cancer medicines, relative to other needs that also require public funding.</w:t>
      </w:r>
    </w:p>
    <w:p w14:paraId="6B123C4B" w14:textId="77777777" w:rsidR="0067152A" w:rsidRDefault="0067152A" w:rsidP="0067152A"/>
    <w:p w14:paraId="359FEE8D" w14:textId="77777777" w:rsidR="0067152A" w:rsidRDefault="0067152A" w:rsidP="0067152A">
      <w:r>
        <w:t>In Aotearoa, Pharmac is the government agency responsible for deciding which medicines to fund across all areas of health, while the Government is responsible for deciding how much is allocated to medicines funding. Pharmac has a relatively unique approach to medicines funding compared with other countries. It is generally evident that there are fewer cancer medicines publicly funded in Aotearoa compared with other high-income countries with similar health systems, such as Australia. This difference in funding is a very real concern for people with cancer, their whānau, and the people and organisations caring for them.</w:t>
      </w:r>
    </w:p>
    <w:p w14:paraId="538F60E0" w14:textId="77777777" w:rsidR="0067152A" w:rsidRDefault="0067152A" w:rsidP="0067152A"/>
    <w:p w14:paraId="3E84606B" w14:textId="77777777" w:rsidR="0067152A" w:rsidRPr="0067152A" w:rsidRDefault="00F64599" w:rsidP="0067152A">
      <w:pPr>
        <w:rPr>
          <w:spacing w:val="-2"/>
        </w:rPr>
      </w:pPr>
      <w:r>
        <w:rPr>
          <w:spacing w:val="-2"/>
        </w:rPr>
        <w:t>Te Aho</w:t>
      </w:r>
      <w:r w:rsidR="0067152A" w:rsidRPr="0067152A">
        <w:rPr>
          <w:spacing w:val="-2"/>
        </w:rPr>
        <w:t xml:space="preserve"> o </w:t>
      </w:r>
      <w:r w:rsidR="00B537E2">
        <w:rPr>
          <w:spacing w:val="-2"/>
        </w:rPr>
        <w:t>Te Kahu</w:t>
      </w:r>
      <w:r w:rsidR="0067152A" w:rsidRPr="0067152A">
        <w:rPr>
          <w:spacing w:val="-2"/>
        </w:rPr>
        <w:t xml:space="preserve"> is responsible for providing leadership and oversight of all aspects of cancer control in Aotearoa, from prevention through to diagnosis, management and beyond. In our work we often hear people</w:t>
      </w:r>
      <w:r w:rsidR="00D34911">
        <w:rPr>
          <w:spacing w:val="-2"/>
        </w:rPr>
        <w:t>’</w:t>
      </w:r>
      <w:r w:rsidR="0067152A" w:rsidRPr="0067152A">
        <w:rPr>
          <w:spacing w:val="-2"/>
        </w:rPr>
        <w:t>s concerns regarding cancer medicines availability. The purpose of this analysis was to help us better understand the gaps in the availability of cancer medicines in Aotearoa, a particularly complex area of cancer care.</w:t>
      </w:r>
    </w:p>
    <w:p w14:paraId="301B451E" w14:textId="77777777" w:rsidR="0067152A" w:rsidRDefault="0067152A" w:rsidP="004F0340">
      <w:pPr>
        <w:pStyle w:val="Heading4"/>
        <w:keepLines/>
      </w:pPr>
      <w:r w:rsidRPr="006428E7">
        <w:lastRenderedPageBreak/>
        <w:t>What did we do?</w:t>
      </w:r>
    </w:p>
    <w:p w14:paraId="2137550F" w14:textId="29333097" w:rsidR="0067152A" w:rsidRDefault="0067152A" w:rsidP="004F0340">
      <w:pPr>
        <w:keepLines/>
      </w:pPr>
      <w:r>
        <w:t>To understand the gaps in cancer medicines funding in Aotearoa, we compared the medicines that are currently publicly funded here with the medicines publicly funded in Australia. We looked at the number of medicines, as well as the specific cancers they are funded to treat.</w:t>
      </w:r>
      <w:r w:rsidR="008E2A8C">
        <w:t xml:space="preserve"> </w:t>
      </w:r>
      <w:r w:rsidR="00394761">
        <w:t xml:space="preserve">When identifying gaps, we linked </w:t>
      </w:r>
      <w:r w:rsidR="004513EF">
        <w:t xml:space="preserve">together the medicine </w:t>
      </w:r>
      <w:r w:rsidR="0014010C">
        <w:t xml:space="preserve">with the </w:t>
      </w:r>
      <w:r w:rsidR="006D2B22">
        <w:t xml:space="preserve">specific cancer type </w:t>
      </w:r>
      <w:r w:rsidR="003848AC">
        <w:t xml:space="preserve">where it is used-we called these medicine-indication pairs. </w:t>
      </w:r>
      <w:r w:rsidR="00A94FE0">
        <w:t>It was important to do this</w:t>
      </w:r>
      <w:r w:rsidR="009C4DEA">
        <w:t xml:space="preserve"> because certain medicines </w:t>
      </w:r>
      <w:r w:rsidR="00A51933">
        <w:t xml:space="preserve">can be used to treat many different types of </w:t>
      </w:r>
      <w:r w:rsidR="00F14B70">
        <w:t>cancer</w:t>
      </w:r>
      <w:r w:rsidR="00D8167D">
        <w:t xml:space="preserve">, so just looking at the medicines alone would not tell the </w:t>
      </w:r>
      <w:r w:rsidR="0021071E">
        <w:t>full</w:t>
      </w:r>
      <w:r w:rsidR="00146705">
        <w:t xml:space="preserve"> story. </w:t>
      </w:r>
    </w:p>
    <w:p w14:paraId="62C6ED06" w14:textId="77777777" w:rsidR="0067152A" w:rsidRDefault="0067152A" w:rsidP="0067152A"/>
    <w:p w14:paraId="047FF173" w14:textId="09952432" w:rsidR="0067152A" w:rsidRDefault="0067152A" w:rsidP="0067152A">
      <w:r>
        <w:t>To assess the clinical benefit associated with any identified gaps in funding, we used an internationally recognised tool – the European Society of Medical Oncology – Magnitude of Clinical Benefit Scale (ESMO-MCBS). This scoring tool considers evidence from clinical trials of medicines for solid tumours, using measures such as survival and quality of life. Using this tool allowed us to distinguish between medicine</w:t>
      </w:r>
      <w:r w:rsidR="0025734B">
        <w:t>-indication pair</w:t>
      </w:r>
      <w:r>
        <w:t>s that are likely to provide substantial additional clinical benefit over and above the medicines already funded in Aotearoa, and medicine</w:t>
      </w:r>
      <w:r w:rsidR="00C57CF1">
        <w:t>-indication pair</w:t>
      </w:r>
      <w:r>
        <w:t xml:space="preserve">s that are likely to have less clinical benefit. Because the tool is only validated for medicines used to treat solid tumours (ie, not </w:t>
      </w:r>
      <w:r w:rsidR="007B1C03">
        <w:t xml:space="preserve">medicines </w:t>
      </w:r>
      <w:r>
        <w:t>for blood cancers), we have only been able to fully assess the situation for solid tumours at this time. We plan to conduct a similar analysis for medicines used to treat blood cancers, as soon as a similarly validated tool to assess clinical benefit becomes available.</w:t>
      </w:r>
    </w:p>
    <w:p w14:paraId="3B5E7C54" w14:textId="77777777" w:rsidR="0067152A" w:rsidRDefault="0067152A" w:rsidP="0067152A"/>
    <w:p w14:paraId="32D47B28" w14:textId="6C74B237" w:rsidR="0067152A" w:rsidRDefault="0067152A" w:rsidP="0067152A">
      <w:r>
        <w:t xml:space="preserve">The ESMO-MCBS is designed to inform policy decisions on cancer medicines, rather than specifically inform clinical decisions at an individual level. We acknowledge that what this tool defines as substantial clinical benefit may, in many cases, be different to what is </w:t>
      </w:r>
      <w:r w:rsidR="002E5CAA">
        <w:t xml:space="preserve">considered </w:t>
      </w:r>
      <w:r>
        <w:t>meaningful to an individual patient and their whānau.</w:t>
      </w:r>
    </w:p>
    <w:p w14:paraId="1C8582CD" w14:textId="77777777" w:rsidR="0067152A" w:rsidRDefault="0067152A" w:rsidP="0067152A"/>
    <w:p w14:paraId="48F7C112" w14:textId="39074097" w:rsidR="0067152A" w:rsidRDefault="0067152A" w:rsidP="0067152A">
      <w:r>
        <w:t>For those gaps with an ESMO-MCBS score indicating substantial clinical benefit, we sought expert clinical advice to confirm the relevance of the score to Aotearoa and describe how filling the gap would alter current clinical practice here.</w:t>
      </w:r>
    </w:p>
    <w:p w14:paraId="74A8FC15" w14:textId="77777777" w:rsidR="0067152A" w:rsidRDefault="0067152A" w:rsidP="004F0340">
      <w:pPr>
        <w:pStyle w:val="Heading4"/>
      </w:pPr>
      <w:r>
        <w:t>What did we find?</w:t>
      </w:r>
    </w:p>
    <w:p w14:paraId="11DBBAC0" w14:textId="3950E049" w:rsidR="0067152A" w:rsidRDefault="0067152A" w:rsidP="0067152A">
      <w:r>
        <w:t xml:space="preserve">We identified 20 different </w:t>
      </w:r>
      <w:r w:rsidR="00F358CE">
        <w:t xml:space="preserve">medicine-indication pair </w:t>
      </w:r>
      <w:r w:rsidR="007A6055">
        <w:t>gaps</w:t>
      </w:r>
      <w:r>
        <w:t>, across nine different solid-tumour cancer types, where the medicines were publicly funded in Australia and not in Aotearoa, and where the ESMO-MCBS score indicated that the medicine would offer substantial clinical benefit.</w:t>
      </w:r>
      <w:r w:rsidR="005D2174">
        <w:t xml:space="preserve"> This does not mean </w:t>
      </w:r>
      <w:r w:rsidR="003B67CE">
        <w:t>that 20 different medicines would need to be funded to fill these gaps</w:t>
      </w:r>
      <w:r w:rsidR="0008330C">
        <w:t xml:space="preserve">; the number of unique medicines was actually 18. This is because </w:t>
      </w:r>
      <w:r w:rsidR="00FC4364">
        <w:t xml:space="preserve">there was some overlap of the medicines </w:t>
      </w:r>
      <w:r w:rsidR="003D6747">
        <w:t>that could be used</w:t>
      </w:r>
      <w:r w:rsidR="00382A4D">
        <w:t xml:space="preserve">, some medicines must be used in combination, and in some </w:t>
      </w:r>
      <w:r w:rsidR="009171AE">
        <w:t>cases,</w:t>
      </w:r>
      <w:r w:rsidR="00382A4D">
        <w:t xml:space="preserve"> there was more than one medicine to fill a gap. </w:t>
      </w:r>
    </w:p>
    <w:p w14:paraId="35981AD0" w14:textId="77777777" w:rsidR="0067152A" w:rsidRDefault="0067152A" w:rsidP="0067152A"/>
    <w:p w14:paraId="274966D8" w14:textId="13EC6E11" w:rsidR="0067152A" w:rsidRDefault="0067152A" w:rsidP="0067152A">
      <w:r>
        <w:t>Three of the</w:t>
      </w:r>
      <w:r w:rsidR="00C1286A">
        <w:t xml:space="preserve"> 20 medicine-indication gaps </w:t>
      </w:r>
      <w:r>
        <w:t>were in the curative context</w:t>
      </w:r>
      <w:r w:rsidR="00222857">
        <w:t xml:space="preserve">, entailing five unique medicines. </w:t>
      </w:r>
      <w:r>
        <w:t xml:space="preserve">For these gaps, the medicines are used alongside surgery with the intent to cure, to reduce the possibility of the cancer from coming back after it has been removed. One of these gaps was for </w:t>
      </w:r>
      <w:r w:rsidR="0002401E">
        <w:t xml:space="preserve">a </w:t>
      </w:r>
      <w:r>
        <w:t>medicine used in a specific type of breast cancer, and the other two were for two specific types of melanoma.</w:t>
      </w:r>
    </w:p>
    <w:p w14:paraId="45FB38AC" w14:textId="77777777" w:rsidR="0067152A" w:rsidRDefault="0067152A" w:rsidP="0067152A"/>
    <w:p w14:paraId="51B9EDE8" w14:textId="6BC38895" w:rsidR="0067152A" w:rsidRDefault="0067152A" w:rsidP="0067152A">
      <w:r>
        <w:t xml:space="preserve">The remaining 17 </w:t>
      </w:r>
      <w:r w:rsidR="0068799C">
        <w:t xml:space="preserve">medicine-indication </w:t>
      </w:r>
      <w:r>
        <w:t>gaps</w:t>
      </w:r>
      <w:r w:rsidR="007971EA">
        <w:t xml:space="preserve"> (entailing 17 unique medicines)</w:t>
      </w:r>
      <w:r>
        <w:t xml:space="preserve"> were in the non-curative context</w:t>
      </w:r>
      <w:r w:rsidR="007971EA">
        <w:t xml:space="preserve">. </w:t>
      </w:r>
      <w:r w:rsidR="00853FB6">
        <w:t>F</w:t>
      </w:r>
      <w:r>
        <w:t>or these gaps, the medicines are being used with the intent of either extending a person</w:t>
      </w:r>
      <w:r w:rsidR="00D34911">
        <w:t>’</w:t>
      </w:r>
      <w:r>
        <w:t>s life, or improving the quality of their life, or both. In these treatment settings it is not expected that the cancer will be cured. These gaps were for medicines used across eight different cancer types: lung</w:t>
      </w:r>
      <w:r w:rsidR="00D02083">
        <w:t xml:space="preserve"> (five gaps)</w:t>
      </w:r>
      <w:r>
        <w:t>, bowel</w:t>
      </w:r>
      <w:r w:rsidR="0077029C">
        <w:t xml:space="preserve"> (two gaps)</w:t>
      </w:r>
      <w:r>
        <w:t xml:space="preserve">, </w:t>
      </w:r>
      <w:r>
        <w:lastRenderedPageBreak/>
        <w:t>liver</w:t>
      </w:r>
      <w:r w:rsidR="0077029C">
        <w:t xml:space="preserve"> (one gap)</w:t>
      </w:r>
      <w:r>
        <w:t>, kidney</w:t>
      </w:r>
      <w:r w:rsidR="0077029C">
        <w:t xml:space="preserve"> (three gaps)</w:t>
      </w:r>
      <w:r>
        <w:t>, bladder</w:t>
      </w:r>
      <w:r w:rsidR="00A60ED1">
        <w:t xml:space="preserve"> (one gap)</w:t>
      </w:r>
      <w:r>
        <w:t>, ovarian</w:t>
      </w:r>
      <w:r w:rsidR="00A60ED1">
        <w:t xml:space="preserve"> (two gaps)</w:t>
      </w:r>
      <w:r>
        <w:t>, head and neck</w:t>
      </w:r>
      <w:r w:rsidR="00A60ED1">
        <w:t xml:space="preserve"> (one gap)</w:t>
      </w:r>
      <w:r>
        <w:t>, and melanoma</w:t>
      </w:r>
      <w:r w:rsidR="00803F4E">
        <w:t xml:space="preserve"> (two gaps)</w:t>
      </w:r>
      <w:r>
        <w:t>.</w:t>
      </w:r>
    </w:p>
    <w:p w14:paraId="64E8CBCC" w14:textId="77777777" w:rsidR="0067152A" w:rsidRDefault="0067152A" w:rsidP="0067152A"/>
    <w:p w14:paraId="51DF4E3D" w14:textId="77777777" w:rsidR="0067152A" w:rsidRDefault="0067152A" w:rsidP="0067152A">
      <w:pPr>
        <w:keepNext/>
        <w:keepLines/>
      </w:pPr>
      <w:r>
        <w:t>For each of the 20 identified gaps, we described the clinical context and population-level epidemiology (such as how many people are diagnosed with the cancer, survival rates and existing inequities). We described what additional health service requirements might be needed if the gaps were funded, such as extra imaging. We also included what additional things patients might need to consider, such as more time receiving treatment or more blood tests. The gaps were all for targeted cancer medicines rather than for traditional chemotherapy. Some of these medicines are given by infusion and mean extra health care resources are needed and patients may have additional travel requirements. Others are tablets and could free up health care resources. Some have specific side-effects that are quite different to traditional chemotherapy and require specialised management.</w:t>
      </w:r>
    </w:p>
    <w:p w14:paraId="7EC96108" w14:textId="77777777" w:rsidR="0067152A" w:rsidRDefault="0067152A" w:rsidP="0067152A"/>
    <w:p w14:paraId="0E9C7F2C" w14:textId="77777777" w:rsidR="0067152A" w:rsidRDefault="0067152A" w:rsidP="0067152A">
      <w:r>
        <w:t>We also looked at whether these gaps were currently within Pharmac</w:t>
      </w:r>
      <w:r w:rsidR="00D34911">
        <w:t>’</w:t>
      </w:r>
      <w:r>
        <w:t xml:space="preserve">s processes for assessment, and, if so, where in that process they were. Many of the gaps are either under active assessment, or have already been assessed for funding by Pharmac and are now </w:t>
      </w:r>
      <w:r w:rsidR="00D34911">
        <w:t>‘</w:t>
      </w:r>
      <w:r>
        <w:t>Options for Investment</w:t>
      </w:r>
      <w:r w:rsidR="00D34911">
        <w:t>’</w:t>
      </w:r>
      <w:r>
        <w:t xml:space="preserve"> – that is, awaiting available funds to be made available in Aotearoa. Since the time of our analysis, two of the identified medicines have been approved for funding by Pharmac: durvalumab for a certain type of lung cancer, and olaparib for a certain type of ovarian cancer.</w:t>
      </w:r>
    </w:p>
    <w:p w14:paraId="24C779DA" w14:textId="77777777" w:rsidR="0067152A" w:rsidRDefault="0067152A" w:rsidP="0067152A"/>
    <w:p w14:paraId="139A62E2" w14:textId="77777777" w:rsidR="0067152A" w:rsidRDefault="0067152A" w:rsidP="0067152A">
      <w:r>
        <w:t>Additional gaps were identified for medicines used in the treatment of blood cancers. These were not assessed for clinical benefit due to the absence of a validated assessment tool.</w:t>
      </w:r>
    </w:p>
    <w:p w14:paraId="64F032B9" w14:textId="77777777" w:rsidR="0067152A" w:rsidRDefault="0067152A" w:rsidP="004F0340">
      <w:pPr>
        <w:pStyle w:val="Heading4"/>
      </w:pPr>
      <w:r w:rsidRPr="006428E7">
        <w:t>What happens next?</w:t>
      </w:r>
    </w:p>
    <w:p w14:paraId="6DD6D71E" w14:textId="03B2638E" w:rsidR="0067152A" w:rsidRDefault="0067152A" w:rsidP="0067152A">
      <w:r>
        <w:t xml:space="preserve">The analysis presented in the report is our first step in better understanding this important issue of gaps in cancer medicines funding. The detailed gap analysis was necessarily limited to solid tumours, and we plan to conduct a similar analysis for medicines used to treat blood </w:t>
      </w:r>
      <w:r w:rsidR="00B32D78">
        <w:t>cancers once</w:t>
      </w:r>
      <w:r>
        <w:t xml:space="preserve"> a validated tool – like the ESMO-MCBS – is available to assess clinical benefit in blood cancers.</w:t>
      </w:r>
    </w:p>
    <w:p w14:paraId="66079A06" w14:textId="77777777" w:rsidR="0067152A" w:rsidRDefault="0067152A" w:rsidP="0067152A"/>
    <w:p w14:paraId="4CACC965" w14:textId="696734B6" w:rsidR="0067152A" w:rsidRDefault="0067152A" w:rsidP="0067152A">
      <w:r>
        <w:t>By identifying and describing gaps in cancer medicines for solid tumours, together with the relevant context, we hope to provide useful insights to Pharmac, the New Zealand Government, the health sector and to the public. This analysis was conducted separately to the independent review of Pharmac announced by the Government in March 2021, but preliminary results of this analysis were shared with the Pharmac Review Panel.</w:t>
      </w:r>
    </w:p>
    <w:p w14:paraId="1BB71324" w14:textId="77777777" w:rsidR="0067152A" w:rsidRDefault="0067152A" w:rsidP="0067152A"/>
    <w:p w14:paraId="596611AF" w14:textId="77777777" w:rsidR="0067152A" w:rsidRDefault="0067152A" w:rsidP="0067152A">
      <w:r>
        <w:t>The findings of this analysis are important to help optimise the role that cancer medicines play in improving cancer control in Aotearoa. Cancer medicines are an integral part of cancer care.</w:t>
      </w:r>
      <w:r w:rsidR="00D34911">
        <w:t xml:space="preserve"> </w:t>
      </w:r>
      <w:r>
        <w:t xml:space="preserve">However, cancer medicines do not and should not exist in isolation. The full benefits of cancer medicines can only be realised if the whole spectrum of cancer care – from early detection through to diagnosis, staging, treatment, follow-up and supportive care – is working well and equitably, and if there is adequate workforce to deliver all aspects of cancer care, including medicines. </w:t>
      </w:r>
      <w:r w:rsidR="00EF5CEE">
        <w:t>Strengthening</w:t>
      </w:r>
      <w:r>
        <w:t xml:space="preserve"> the cancer continuum as a whole remains the key objective for </w:t>
      </w:r>
      <w:r w:rsidR="00F64599">
        <w:t>Te Aho</w:t>
      </w:r>
      <w:r>
        <w:t xml:space="preserve"> o </w:t>
      </w:r>
      <w:r w:rsidR="00B537E2">
        <w:t>Te Kahu</w:t>
      </w:r>
      <w:r>
        <w:t>, and is essential to deliver on the goals of fewer cancers, better survival, and equity for all.</w:t>
      </w:r>
    </w:p>
    <w:p w14:paraId="2CFFFA72" w14:textId="784E26CB" w:rsidR="00B12E4F" w:rsidRPr="00B9539D" w:rsidRDefault="00B12E4F" w:rsidP="00B12E4F">
      <w:pPr>
        <w:pStyle w:val="Heading1"/>
        <w:rPr>
          <w:rFonts w:ascii="Montserrat" w:hAnsi="Montserrat"/>
          <w:caps w:val="0"/>
          <w:color w:val="0AB58F"/>
        </w:rPr>
      </w:pPr>
      <w:bookmarkStart w:id="14" w:name="_Toc101618144"/>
      <w:bookmarkStart w:id="15" w:name="_Toc100739000"/>
      <w:r w:rsidRPr="00261820">
        <w:rPr>
          <w:rFonts w:ascii="Montserrat" w:hAnsi="Montserrat"/>
        </w:rPr>
        <w:lastRenderedPageBreak/>
        <w:t xml:space="preserve">KŌRERO O MUA </w:t>
      </w:r>
      <w:r w:rsidRPr="00C868F4">
        <w:rPr>
          <w:rFonts w:ascii="Montserrat" w:hAnsi="Montserrat"/>
          <w:color w:val="0AB58F"/>
        </w:rPr>
        <w:t>BACKGROUND</w:t>
      </w:r>
      <w:r w:rsidRPr="00261820">
        <w:rPr>
          <w:rFonts w:ascii="Montserrat" w:hAnsi="Montserrat"/>
        </w:rPr>
        <w:t xml:space="preserve"> </w:t>
      </w:r>
      <w:r w:rsidR="00A04E14" w:rsidRPr="00A553DE">
        <w:rPr>
          <w:rFonts w:ascii="Montserrat" w:hAnsi="Montserrat"/>
          <w:color w:val="0AB58F"/>
        </w:rPr>
        <w:t xml:space="preserve">– </w:t>
      </w:r>
      <w:r w:rsidR="000E196D">
        <w:rPr>
          <w:rFonts w:ascii="Montserrat" w:hAnsi="Montserrat"/>
          <w:color w:val="0AB58F"/>
        </w:rPr>
        <w:br/>
      </w:r>
      <w:r w:rsidR="00A04E14" w:rsidRPr="00BC7877">
        <w:rPr>
          <w:rFonts w:ascii="Montserrat" w:hAnsi="Montserrat"/>
          <w:caps w:val="0"/>
          <w:color w:val="0AB58F"/>
        </w:rPr>
        <w:t xml:space="preserve">The </w:t>
      </w:r>
      <w:r w:rsidR="000F0BFC" w:rsidRPr="00B722CA">
        <w:rPr>
          <w:rFonts w:ascii="Montserrat" w:hAnsi="Montserrat"/>
          <w:caps w:val="0"/>
          <w:color w:val="0AB58F"/>
        </w:rPr>
        <w:t xml:space="preserve">opportunities and </w:t>
      </w:r>
      <w:r w:rsidR="00DB6B4A">
        <w:rPr>
          <w:rFonts w:ascii="Montserrat" w:hAnsi="Montserrat"/>
          <w:caps w:val="0"/>
          <w:color w:val="0AB58F"/>
        </w:rPr>
        <w:t>c</w:t>
      </w:r>
      <w:r w:rsidR="00A04E14" w:rsidRPr="00B9539D">
        <w:rPr>
          <w:rFonts w:ascii="Montserrat" w:hAnsi="Montserrat"/>
          <w:caps w:val="0"/>
          <w:color w:val="0AB58F"/>
        </w:rPr>
        <w:t xml:space="preserve">hallenges </w:t>
      </w:r>
      <w:r w:rsidR="000F0BFC" w:rsidRPr="00B9539D">
        <w:rPr>
          <w:rFonts w:ascii="Montserrat" w:hAnsi="Montserrat"/>
          <w:caps w:val="0"/>
          <w:color w:val="0AB58F"/>
        </w:rPr>
        <w:t>of</w:t>
      </w:r>
      <w:r w:rsidR="00A553DE" w:rsidRPr="00B9539D">
        <w:rPr>
          <w:rFonts w:ascii="Montserrat" w:hAnsi="Montserrat"/>
          <w:caps w:val="0"/>
          <w:color w:val="0AB58F"/>
        </w:rPr>
        <w:t xml:space="preserve"> </w:t>
      </w:r>
      <w:r w:rsidR="00DB6B4A">
        <w:rPr>
          <w:rFonts w:ascii="Montserrat" w:hAnsi="Montserrat"/>
          <w:caps w:val="0"/>
          <w:color w:val="0AB58F"/>
        </w:rPr>
        <w:t>c</w:t>
      </w:r>
      <w:r w:rsidR="00A553DE" w:rsidRPr="00B9539D">
        <w:rPr>
          <w:rFonts w:ascii="Montserrat" w:hAnsi="Montserrat"/>
          <w:caps w:val="0"/>
          <w:color w:val="0AB58F"/>
        </w:rPr>
        <w:t xml:space="preserve">ancer </w:t>
      </w:r>
      <w:r w:rsidR="00DB6B4A">
        <w:rPr>
          <w:rFonts w:ascii="Montserrat" w:hAnsi="Montserrat"/>
          <w:caps w:val="0"/>
          <w:color w:val="0AB58F"/>
        </w:rPr>
        <w:t>m</w:t>
      </w:r>
      <w:r w:rsidR="00A553DE" w:rsidRPr="00B9539D">
        <w:rPr>
          <w:rFonts w:ascii="Montserrat" w:hAnsi="Montserrat"/>
          <w:caps w:val="0"/>
          <w:color w:val="0AB58F"/>
        </w:rPr>
        <w:t>edicine</w:t>
      </w:r>
      <w:r w:rsidR="00DB6B4A">
        <w:rPr>
          <w:rFonts w:ascii="Montserrat" w:hAnsi="Montserrat"/>
          <w:caps w:val="0"/>
          <w:color w:val="0AB58F"/>
        </w:rPr>
        <w:t>s</w:t>
      </w:r>
      <w:bookmarkEnd w:id="14"/>
    </w:p>
    <w:p w14:paraId="7337AAEC" w14:textId="3331B712" w:rsidR="00B12E4F" w:rsidRPr="00ED04E8" w:rsidRDefault="00B12E4F" w:rsidP="003D05FB">
      <w:pPr>
        <w:pStyle w:val="Heading2"/>
      </w:pPr>
      <w:bookmarkStart w:id="16" w:name="_Toc99442393"/>
      <w:bookmarkStart w:id="17" w:name="_Toc99443138"/>
      <w:bookmarkStart w:id="18" w:name="_Toc99443549"/>
      <w:bookmarkStart w:id="19" w:name="_Toc99443704"/>
      <w:bookmarkStart w:id="20" w:name="_Toc100739001"/>
      <w:bookmarkStart w:id="21" w:name="_Toc101618145"/>
      <w:bookmarkEnd w:id="15"/>
      <w:r w:rsidRPr="00ED04E8">
        <w:t>Cancer medicines are critical to high</w:t>
      </w:r>
      <w:r w:rsidR="00D11274">
        <w:t>-</w:t>
      </w:r>
      <w:r w:rsidRPr="00ED04E8">
        <w:t>quality cancer care</w:t>
      </w:r>
      <w:bookmarkEnd w:id="16"/>
      <w:bookmarkEnd w:id="17"/>
      <w:bookmarkEnd w:id="18"/>
      <w:bookmarkEnd w:id="19"/>
      <w:bookmarkEnd w:id="20"/>
      <w:bookmarkEnd w:id="21"/>
    </w:p>
    <w:p w14:paraId="39A512D3" w14:textId="239E7B6F" w:rsidR="00B12E4F" w:rsidRDefault="00B12E4F" w:rsidP="003B51F4">
      <w:r w:rsidRPr="00ED04E8">
        <w:t xml:space="preserve">Cancer is the second leading cause of mortality globally and the leading cause of death and health loss in </w:t>
      </w:r>
      <w:r>
        <w:t>Aotearoa New Zealand (Aotearoa)</w:t>
      </w:r>
      <w:r w:rsidRPr="00ED04E8">
        <w:t xml:space="preserve"> </w:t>
      </w:r>
      <w:r>
        <w:rPr>
          <w:noProof/>
        </w:rPr>
        <w:t>(</w:t>
      </w:r>
      <w:r w:rsidR="00F64599">
        <w:rPr>
          <w:noProof/>
        </w:rPr>
        <w:t>Te Aho</w:t>
      </w:r>
      <w:r>
        <w:rPr>
          <w:noProof/>
        </w:rPr>
        <w:t xml:space="preserve"> o </w:t>
      </w:r>
      <w:r w:rsidR="00B537E2">
        <w:rPr>
          <w:noProof/>
        </w:rPr>
        <w:t>Te Kahu</w:t>
      </w:r>
      <w:r>
        <w:rPr>
          <w:noProof/>
        </w:rPr>
        <w:t xml:space="preserve"> 2021a)</w:t>
      </w:r>
      <w:r w:rsidRPr="00ED04E8">
        <w:t xml:space="preserve">. </w:t>
      </w:r>
      <w:r>
        <w:t>E</w:t>
      </w:r>
      <w:r w:rsidRPr="00ED04E8">
        <w:t>ach year</w:t>
      </w:r>
      <w:r>
        <w:t xml:space="preserve"> in Aotearoa,</w:t>
      </w:r>
      <w:r w:rsidRPr="00ED04E8">
        <w:t xml:space="preserve"> </w:t>
      </w:r>
      <w:r>
        <w:t xml:space="preserve">approximately </w:t>
      </w:r>
      <w:r w:rsidRPr="00ED04E8">
        <w:t xml:space="preserve">25,000 people are diagnosed with </w:t>
      </w:r>
      <w:r>
        <w:t xml:space="preserve">cancer </w:t>
      </w:r>
      <w:r w:rsidRPr="00ED04E8">
        <w:t xml:space="preserve">and 9,000 people die </w:t>
      </w:r>
      <w:r>
        <w:t>from</w:t>
      </w:r>
      <w:r w:rsidRPr="00ED04E8">
        <w:t xml:space="preserve"> cancer</w:t>
      </w:r>
      <w:r>
        <w:t xml:space="preserve"> </w:t>
      </w:r>
      <w:r w:rsidRPr="00ED04E8">
        <w:rPr>
          <w:noProof/>
        </w:rPr>
        <w:t>(Ministry of Health 2020)</w:t>
      </w:r>
      <w:r w:rsidRPr="00ED04E8">
        <w:t>. The burden of cancer and</w:t>
      </w:r>
      <w:r>
        <w:t xml:space="preserve"> its disproportionate impact on </w:t>
      </w:r>
      <w:r w:rsidRPr="00ED04E8">
        <w:t xml:space="preserve">Māori, Pacific peoples and other priority population groups have been </w:t>
      </w:r>
      <w:r>
        <w:t xml:space="preserve">described in detail in </w:t>
      </w:r>
      <w:bookmarkStart w:id="22" w:name="_Hlk100578059"/>
      <w:r w:rsidRPr="00F41D20">
        <w:rPr>
          <w:i/>
          <w:iCs/>
        </w:rPr>
        <w:t>He Pūrongo Mate Pukupuku o Aotearoa 2020, The</w:t>
      </w:r>
      <w:r>
        <w:t xml:space="preserve"> </w:t>
      </w:r>
      <w:r w:rsidRPr="00F41D20">
        <w:rPr>
          <w:i/>
          <w:iCs/>
        </w:rPr>
        <w:t>State of Cancer in New Zealand 2020</w:t>
      </w:r>
      <w:r>
        <w:t xml:space="preserve"> </w:t>
      </w:r>
      <w:bookmarkEnd w:id="22"/>
      <w:r>
        <w:rPr>
          <w:noProof/>
        </w:rPr>
        <w:t>(</w:t>
      </w:r>
      <w:r w:rsidR="00F64599">
        <w:rPr>
          <w:noProof/>
        </w:rPr>
        <w:t>Te Aho</w:t>
      </w:r>
      <w:r>
        <w:rPr>
          <w:noProof/>
        </w:rPr>
        <w:t xml:space="preserve"> o </w:t>
      </w:r>
      <w:r w:rsidR="00B537E2">
        <w:rPr>
          <w:noProof/>
        </w:rPr>
        <w:t>Te Kahu</w:t>
      </w:r>
      <w:r>
        <w:rPr>
          <w:noProof/>
        </w:rPr>
        <w:t xml:space="preserve"> 2021a)</w:t>
      </w:r>
      <w:r>
        <w:t xml:space="preserve">. These inequities are avoidable and unfair and are a result of many factors, including differential exposure to cancer risk factors and poorer access to screening programmes and health services. </w:t>
      </w:r>
      <w:r>
        <w:rPr>
          <w:noProof/>
        </w:rPr>
        <w:t xml:space="preserve">(Hill </w:t>
      </w:r>
      <w:r w:rsidR="00C338E8">
        <w:rPr>
          <w:noProof/>
        </w:rPr>
        <w:t>et al</w:t>
      </w:r>
      <w:r>
        <w:rPr>
          <w:noProof/>
        </w:rPr>
        <w:t xml:space="preserve"> 2010</w:t>
      </w:r>
      <w:r w:rsidR="003B51F4">
        <w:rPr>
          <w:noProof/>
        </w:rPr>
        <w:t>,</w:t>
      </w:r>
      <w:r>
        <w:rPr>
          <w:noProof/>
        </w:rPr>
        <w:t xml:space="preserve"> McLeod </w:t>
      </w:r>
      <w:r w:rsidR="00C338E8">
        <w:rPr>
          <w:noProof/>
        </w:rPr>
        <w:t>et al</w:t>
      </w:r>
      <w:r>
        <w:rPr>
          <w:noProof/>
        </w:rPr>
        <w:t xml:space="preserve"> 2010</w:t>
      </w:r>
      <w:r w:rsidR="003B51F4">
        <w:rPr>
          <w:noProof/>
        </w:rPr>
        <w:t>,</w:t>
      </w:r>
      <w:r>
        <w:rPr>
          <w:noProof/>
        </w:rPr>
        <w:t xml:space="preserve"> Robson </w:t>
      </w:r>
      <w:r w:rsidR="00C338E8">
        <w:rPr>
          <w:noProof/>
        </w:rPr>
        <w:t>et al</w:t>
      </w:r>
      <w:r>
        <w:rPr>
          <w:noProof/>
        </w:rPr>
        <w:t xml:space="preserve"> 2010</w:t>
      </w:r>
      <w:r w:rsidR="003B51F4">
        <w:rPr>
          <w:noProof/>
        </w:rPr>
        <w:t>,</w:t>
      </w:r>
      <w:r>
        <w:rPr>
          <w:noProof/>
        </w:rPr>
        <w:t xml:space="preserve"> Seneviratne </w:t>
      </w:r>
      <w:r w:rsidR="00C338E8">
        <w:rPr>
          <w:noProof/>
        </w:rPr>
        <w:t>et al</w:t>
      </w:r>
      <w:r>
        <w:rPr>
          <w:noProof/>
        </w:rPr>
        <w:t xml:space="preserve"> 2014</w:t>
      </w:r>
      <w:r w:rsidR="003B51F4">
        <w:rPr>
          <w:noProof/>
        </w:rPr>
        <w:t>,</w:t>
      </w:r>
      <w:r>
        <w:rPr>
          <w:noProof/>
        </w:rPr>
        <w:t xml:space="preserve"> Tin Tin </w:t>
      </w:r>
      <w:r w:rsidR="00C338E8">
        <w:rPr>
          <w:noProof/>
        </w:rPr>
        <w:t>et al</w:t>
      </w:r>
      <w:r>
        <w:rPr>
          <w:noProof/>
        </w:rPr>
        <w:t xml:space="preserve"> 2018)</w:t>
      </w:r>
      <w:r>
        <w:t>. Access to cancer medicines can also contribute to disparities in outcomes.</w:t>
      </w:r>
    </w:p>
    <w:p w14:paraId="0CD0027F" w14:textId="77777777" w:rsidR="003B51F4" w:rsidRDefault="003B51F4" w:rsidP="003B51F4"/>
    <w:p w14:paraId="22FC6D73" w14:textId="77777777" w:rsidR="00D34911" w:rsidRDefault="00B12E4F" w:rsidP="003B51F4">
      <w:r>
        <w:t>Better cancer outcomes are much more likely when there is timely diagnosis and access to the right treatment. Cancer</w:t>
      </w:r>
      <w:r w:rsidRPr="00ED04E8">
        <w:t xml:space="preserve"> medicines </w:t>
      </w:r>
      <w:r>
        <w:t xml:space="preserve">are </w:t>
      </w:r>
      <w:r w:rsidRPr="00ED04E8">
        <w:t xml:space="preserve">one of </w:t>
      </w:r>
      <w:r>
        <w:t>several</w:t>
      </w:r>
      <w:r w:rsidRPr="00ED04E8">
        <w:t xml:space="preserve"> key treatment modalities</w:t>
      </w:r>
      <w:r>
        <w:t>, alongside interventions such as surgery, radiotherapy and bone marrow or stem cell transplantation</w:t>
      </w:r>
      <w:r w:rsidRPr="00ED04E8">
        <w:t xml:space="preserve">. While surgery and radiotherapy are </w:t>
      </w:r>
      <w:r>
        <w:t xml:space="preserve">generally </w:t>
      </w:r>
      <w:r w:rsidRPr="00ED04E8">
        <w:t>the definitive treatments for many solid tumours</w:t>
      </w:r>
      <w:r>
        <w:t xml:space="preserve">, as are bone marrow or stem cell transplants for some blood </w:t>
      </w:r>
      <w:r w:rsidRPr="00ED04E8">
        <w:t xml:space="preserve">(haematological) cancers, cancer medicines have </w:t>
      </w:r>
      <w:r>
        <w:t>a critical</w:t>
      </w:r>
      <w:r w:rsidRPr="00ED04E8">
        <w:t xml:space="preserve"> place in cancer care</w:t>
      </w:r>
      <w:r>
        <w:t xml:space="preserve">. </w:t>
      </w:r>
      <w:r w:rsidRPr="00ED04E8">
        <w:t>Cancer medicines are administered with the goal of achieving complete remission of the cancer and preventing recurrence (curative intent</w:t>
      </w:r>
      <w:r>
        <w:t xml:space="preserve"> treatment</w:t>
      </w:r>
      <w:r w:rsidRPr="00ED04E8">
        <w:t>)</w:t>
      </w:r>
      <w:r>
        <w:t>,</w:t>
      </w:r>
      <w:r w:rsidRPr="00ED04E8">
        <w:t xml:space="preserve"> or slowing the progression of cancer or reliev</w:t>
      </w:r>
      <w:r>
        <w:t>ing</w:t>
      </w:r>
      <w:r w:rsidRPr="00ED04E8">
        <w:t xml:space="preserve"> symptoms and improv</w:t>
      </w:r>
      <w:r>
        <w:t>ing</w:t>
      </w:r>
      <w:r w:rsidRPr="00ED04E8">
        <w:t xml:space="preserve"> quality of life (non-curative intent</w:t>
      </w:r>
      <w:r>
        <w:t xml:space="preserve"> treatment</w:t>
      </w:r>
      <w:r w:rsidRPr="00ED04E8">
        <w:t>). For an individual impacted by cancer and their whānau, the hope of even a small improvement in quantity or quality of life can be incredibly important.</w:t>
      </w:r>
    </w:p>
    <w:p w14:paraId="0E09B810" w14:textId="77777777" w:rsidR="00B12E4F" w:rsidRPr="00ED04E8" w:rsidRDefault="00B12E4F" w:rsidP="003D05FB">
      <w:pPr>
        <w:pStyle w:val="Heading2"/>
      </w:pPr>
      <w:bookmarkStart w:id="23" w:name="_Toc99442394"/>
      <w:bookmarkStart w:id="24" w:name="_Toc99443139"/>
      <w:bookmarkStart w:id="25" w:name="_Toc99443550"/>
      <w:bookmarkStart w:id="26" w:name="_Toc99443705"/>
      <w:bookmarkStart w:id="27" w:name="_Toc100739002"/>
      <w:bookmarkStart w:id="28" w:name="_Toc101618146"/>
      <w:r w:rsidRPr="00ED04E8">
        <w:lastRenderedPageBreak/>
        <w:t>A</w:t>
      </w:r>
      <w:r>
        <w:t xml:space="preserve">vailability and accessibility of </w:t>
      </w:r>
      <w:r w:rsidRPr="00ED04E8">
        <w:t>cancer medicines is a challenge in Aotearoa and internationally</w:t>
      </w:r>
      <w:bookmarkEnd w:id="23"/>
      <w:bookmarkEnd w:id="24"/>
      <w:bookmarkEnd w:id="25"/>
      <w:bookmarkEnd w:id="26"/>
      <w:bookmarkEnd w:id="27"/>
      <w:bookmarkEnd w:id="28"/>
    </w:p>
    <w:p w14:paraId="25E70991" w14:textId="632FEE84" w:rsidR="00D34911" w:rsidRDefault="00B12E4F" w:rsidP="003B51F4">
      <w:r>
        <w:t xml:space="preserve">Access to appropriate </w:t>
      </w:r>
      <w:r w:rsidRPr="00ED04E8">
        <w:t xml:space="preserve">and effective cancer medicines is central to high-quality cancer care. </w:t>
      </w:r>
      <w:r>
        <w:t>W</w:t>
      </w:r>
      <w:r w:rsidRPr="00ED04E8">
        <w:t>orld</w:t>
      </w:r>
      <w:r>
        <w:t>wide</w:t>
      </w:r>
      <w:r w:rsidRPr="00ED04E8">
        <w:t xml:space="preserve">, patients and their clinicians have expectations of timely access to new cancer medicines that have </w:t>
      </w:r>
      <w:r>
        <w:t xml:space="preserve">been </w:t>
      </w:r>
      <w:r w:rsidRPr="00ED04E8">
        <w:t>shown to be effective, and these expectations are increasingly not being met.</w:t>
      </w:r>
      <w:r>
        <w:t xml:space="preserve"> </w:t>
      </w:r>
      <w:r w:rsidRPr="00ED04E8">
        <w:t xml:space="preserve">It is well established that there are fewer cancer medicines available in Aotearoa </w:t>
      </w:r>
      <w:r>
        <w:t>compared with other</w:t>
      </w:r>
      <w:r w:rsidRPr="00ED04E8">
        <w:t xml:space="preserve"> </w:t>
      </w:r>
      <w:r>
        <w:t xml:space="preserve">high-income </w:t>
      </w:r>
      <w:r w:rsidRPr="00ED04E8">
        <w:t xml:space="preserve">countries, </w:t>
      </w:r>
      <w:r>
        <w:t>such as</w:t>
      </w:r>
      <w:r w:rsidRPr="00ED04E8">
        <w:t xml:space="preserve"> Australia </w:t>
      </w:r>
      <w:bookmarkStart w:id="29" w:name="_Hlk100578697"/>
      <w:r w:rsidRPr="00ED04E8">
        <w:rPr>
          <w:noProof/>
        </w:rPr>
        <w:t xml:space="preserve">(Wonder </w:t>
      </w:r>
      <w:r>
        <w:rPr>
          <w:noProof/>
        </w:rPr>
        <w:t>and</w:t>
      </w:r>
      <w:r w:rsidRPr="00ED04E8">
        <w:rPr>
          <w:noProof/>
        </w:rPr>
        <w:t xml:space="preserve"> Fisher</w:t>
      </w:r>
      <w:r>
        <w:rPr>
          <w:noProof/>
        </w:rPr>
        <w:t xml:space="preserve"> </w:t>
      </w:r>
      <w:r w:rsidRPr="00ED04E8">
        <w:rPr>
          <w:noProof/>
        </w:rPr>
        <w:t>2016</w:t>
      </w:r>
      <w:r w:rsidR="003B51F4">
        <w:rPr>
          <w:noProof/>
        </w:rPr>
        <w:t>,</w:t>
      </w:r>
      <w:r w:rsidRPr="00ED04E8">
        <w:rPr>
          <w:noProof/>
        </w:rPr>
        <w:t xml:space="preserve"> Evans </w:t>
      </w:r>
      <w:r w:rsidR="00C338E8">
        <w:rPr>
          <w:noProof/>
        </w:rPr>
        <w:t>et al</w:t>
      </w:r>
      <w:r w:rsidRPr="00ED04E8">
        <w:rPr>
          <w:noProof/>
        </w:rPr>
        <w:t xml:space="preserve"> 2016</w:t>
      </w:r>
      <w:r w:rsidR="003B51F4">
        <w:rPr>
          <w:noProof/>
        </w:rPr>
        <w:t>,</w:t>
      </w:r>
      <w:r w:rsidRPr="00ED04E8">
        <w:rPr>
          <w:noProof/>
        </w:rPr>
        <w:t xml:space="preserve"> Wonder </w:t>
      </w:r>
      <w:r>
        <w:rPr>
          <w:noProof/>
        </w:rPr>
        <w:t>and</w:t>
      </w:r>
      <w:r w:rsidRPr="00ED04E8">
        <w:rPr>
          <w:noProof/>
        </w:rPr>
        <w:t xml:space="preserve"> Milne 2011</w:t>
      </w:r>
      <w:bookmarkEnd w:id="29"/>
      <w:r w:rsidRPr="00ED04E8">
        <w:rPr>
          <w:noProof/>
        </w:rPr>
        <w:t>)</w:t>
      </w:r>
      <w:r w:rsidRPr="00ED04E8">
        <w:t xml:space="preserve">, </w:t>
      </w:r>
      <w:r>
        <w:t xml:space="preserve">the </w:t>
      </w:r>
      <w:r w:rsidRPr="00ED04E8">
        <w:t>United Kingdom</w:t>
      </w:r>
      <w:r>
        <w:t xml:space="preserve"> (UK)</w:t>
      </w:r>
      <w:r w:rsidRPr="00ED04E8">
        <w:t xml:space="preserve">, </w:t>
      </w:r>
      <w:r>
        <w:t>the United States of America (USA)</w:t>
      </w:r>
      <w:r w:rsidRPr="00ED04E8">
        <w:t xml:space="preserve"> and Canada </w:t>
      </w:r>
      <w:r w:rsidRPr="00ED04E8">
        <w:rPr>
          <w:noProof/>
        </w:rPr>
        <w:t xml:space="preserve">(Cheema </w:t>
      </w:r>
      <w:r w:rsidR="00C338E8">
        <w:rPr>
          <w:noProof/>
        </w:rPr>
        <w:t>et al</w:t>
      </w:r>
      <w:r w:rsidRPr="00ED04E8">
        <w:rPr>
          <w:noProof/>
        </w:rPr>
        <w:t xml:space="preserve"> 2012)</w:t>
      </w:r>
      <w:r w:rsidRPr="00ED04E8">
        <w:t xml:space="preserve">. </w:t>
      </w:r>
      <w:r>
        <w:t>Worldwide, t</w:t>
      </w:r>
      <w:r w:rsidRPr="00ED04E8">
        <w:t>he availability and funding of new and effective cancer medicines are often</w:t>
      </w:r>
      <w:r w:rsidRPr="00ED04E8" w:rsidDel="00B05860">
        <w:t xml:space="preserve"> </w:t>
      </w:r>
      <w:r w:rsidRPr="00ED04E8">
        <w:t>well</w:t>
      </w:r>
      <w:r>
        <w:t xml:space="preserve"> </w:t>
      </w:r>
      <w:r w:rsidRPr="00ED04E8">
        <w:t xml:space="preserve">publicised and </w:t>
      </w:r>
      <w:r>
        <w:t>unsurprisingly</w:t>
      </w:r>
      <w:r w:rsidRPr="00ED04E8">
        <w:t xml:space="preserve"> emotive issues for patients and their whānau, </w:t>
      </w:r>
      <w:r>
        <w:t>clinicians</w:t>
      </w:r>
      <w:r w:rsidRPr="00ED04E8">
        <w:t xml:space="preserve">, </w:t>
      </w:r>
      <w:r w:rsidR="009A3240">
        <w:t xml:space="preserve">and </w:t>
      </w:r>
      <w:r w:rsidRPr="00ED04E8">
        <w:t xml:space="preserve">advocacy </w:t>
      </w:r>
      <w:r w:rsidR="00F05FF7" w:rsidRPr="00ED04E8">
        <w:t>groups</w:t>
      </w:r>
      <w:r w:rsidR="00F05FF7">
        <w:t>. There</w:t>
      </w:r>
      <w:r>
        <w:t xml:space="preserve"> are many reasons why the funding of cancer medicines is challenging, and these are outlined in more detail below.</w:t>
      </w:r>
    </w:p>
    <w:p w14:paraId="219FA68D" w14:textId="77777777" w:rsidR="00B12E4F" w:rsidRPr="00ED04E8" w:rsidRDefault="00B12E4F" w:rsidP="009137D0">
      <w:pPr>
        <w:pStyle w:val="Heading3"/>
      </w:pPr>
      <w:bookmarkStart w:id="30" w:name="_Toc99442395"/>
      <w:bookmarkStart w:id="31" w:name="_Toc99443140"/>
      <w:bookmarkStart w:id="32" w:name="_Toc99443551"/>
      <w:bookmarkStart w:id="33" w:name="_Toc99443706"/>
      <w:bookmarkStart w:id="34" w:name="_Toc99451891"/>
      <w:bookmarkStart w:id="35" w:name="_Toc99456162"/>
      <w:bookmarkStart w:id="36" w:name="_Toc100738301"/>
      <w:bookmarkStart w:id="37" w:name="_Toc100739003"/>
      <w:r w:rsidRPr="00ED04E8">
        <w:t>New cancer medicines are being developed at a rapid pace</w:t>
      </w:r>
      <w:bookmarkEnd w:id="30"/>
      <w:bookmarkEnd w:id="31"/>
      <w:bookmarkEnd w:id="32"/>
      <w:bookmarkEnd w:id="33"/>
      <w:bookmarkEnd w:id="34"/>
      <w:bookmarkEnd w:id="35"/>
      <w:bookmarkEnd w:id="36"/>
      <w:bookmarkEnd w:id="37"/>
    </w:p>
    <w:p w14:paraId="04C543BF" w14:textId="77777777" w:rsidR="00D34911" w:rsidRDefault="00B12E4F" w:rsidP="003B51F4">
      <w:r>
        <w:t>As cancer incidence increases globally, in part due to population growth and people living longer, more people need cancer treatment. Greater</w:t>
      </w:r>
      <w:r w:rsidRPr="00ED04E8">
        <w:t xml:space="preserve"> understanding of the molecular basis of cancer has led to the rapid development of new medicines, including targeted medicines and immunotherapy, which have </w:t>
      </w:r>
      <w:r>
        <w:t xml:space="preserve">resulted in </w:t>
      </w:r>
      <w:r w:rsidRPr="00ED04E8">
        <w:t>more</w:t>
      </w:r>
      <w:r>
        <w:t xml:space="preserve"> effective treatments and </w:t>
      </w:r>
      <w:r w:rsidRPr="00ED04E8">
        <w:t xml:space="preserve">improvements in patient care. Treatment for many cancers is continuously evolving, with more indications for treatment, </w:t>
      </w:r>
      <w:r>
        <w:t xml:space="preserve">greater use of </w:t>
      </w:r>
      <w:r w:rsidRPr="00ED04E8">
        <w:t>precision-driven medicine</w:t>
      </w:r>
      <w:r>
        <w:t xml:space="preserve">, </w:t>
      </w:r>
      <w:r w:rsidRPr="00ED04E8">
        <w:t>and increasing lines of therapy available to patients</w:t>
      </w:r>
      <w:r>
        <w:t>. This has resulted</w:t>
      </w:r>
      <w:r w:rsidRPr="00ED04E8">
        <w:t xml:space="preserve"> in an increas</w:t>
      </w:r>
      <w:r>
        <w:t>ed</w:t>
      </w:r>
      <w:r w:rsidRPr="00ED04E8">
        <w:t xml:space="preserve"> use of combination therapies</w:t>
      </w:r>
      <w:r>
        <w:t>,</w:t>
      </w:r>
      <w:r w:rsidRPr="00ED04E8">
        <w:t xml:space="preserve"> </w:t>
      </w:r>
      <w:r>
        <w:t>extended</w:t>
      </w:r>
      <w:r w:rsidRPr="00ED04E8">
        <w:t xml:space="preserve"> treatment regimens</w:t>
      </w:r>
      <w:r>
        <w:t xml:space="preserve"> and additional lines of therapy</w:t>
      </w:r>
      <w:r w:rsidRPr="00ED04E8">
        <w:t>.</w:t>
      </w:r>
      <w:r>
        <w:t xml:space="preserve"> </w:t>
      </w:r>
      <w:r w:rsidRPr="00ED04E8">
        <w:t xml:space="preserve">A significant challenge </w:t>
      </w:r>
      <w:r>
        <w:t>in this rapidly evolving</w:t>
      </w:r>
      <w:r w:rsidRPr="00ED04E8">
        <w:t xml:space="preserve"> </w:t>
      </w:r>
      <w:r>
        <w:t xml:space="preserve">environment is that </w:t>
      </w:r>
      <w:r w:rsidRPr="00ED04E8">
        <w:t>there can often be uncertainty surrounding the degree of clinical benefit offered by a new medicine.</w:t>
      </w:r>
    </w:p>
    <w:p w14:paraId="79145C32" w14:textId="77777777" w:rsidR="00B12E4F" w:rsidRPr="005852F2" w:rsidRDefault="00B12E4F" w:rsidP="005852F2">
      <w:pPr>
        <w:pStyle w:val="Heading3"/>
      </w:pPr>
      <w:bookmarkStart w:id="38" w:name="_Toc99442396"/>
      <w:bookmarkStart w:id="39" w:name="_Toc99443141"/>
      <w:bookmarkStart w:id="40" w:name="_Toc99443552"/>
      <w:bookmarkStart w:id="41" w:name="_Toc99443707"/>
      <w:bookmarkStart w:id="42" w:name="_Toc99451892"/>
      <w:bookmarkStart w:id="43" w:name="_Toc99456163"/>
      <w:bookmarkStart w:id="44" w:name="_Toc100738302"/>
      <w:bookmarkStart w:id="45" w:name="_Toc100739004"/>
      <w:r w:rsidRPr="005852F2">
        <w:rPr>
          <w:rStyle w:val="Heading3Char"/>
        </w:rPr>
        <w:t>Spending on cancer medicines is increasing</w:t>
      </w:r>
      <w:bookmarkEnd w:id="38"/>
      <w:bookmarkEnd w:id="39"/>
      <w:bookmarkEnd w:id="40"/>
      <w:bookmarkEnd w:id="41"/>
      <w:bookmarkEnd w:id="42"/>
      <w:bookmarkEnd w:id="43"/>
      <w:bookmarkEnd w:id="44"/>
      <w:bookmarkEnd w:id="45"/>
    </w:p>
    <w:p w14:paraId="1D21EA85" w14:textId="77777777" w:rsidR="003B51F4" w:rsidRPr="003B51F4" w:rsidRDefault="00B12E4F" w:rsidP="003B51F4">
      <w:pPr>
        <w:ind w:right="-142"/>
        <w:rPr>
          <w:spacing w:val="-2"/>
        </w:rPr>
      </w:pPr>
      <w:r w:rsidRPr="003B51F4">
        <w:rPr>
          <w:spacing w:val="-2"/>
        </w:rPr>
        <w:t xml:space="preserve">Increasing cancer incidence and the growing use of more cancer medicines by more patients have all contributed to an exponential increase in the overall use of cancer medicines globally. At the same time, cancer medicines are significantly more expensive than medicines for most other diseases, and their prices are rising more quickly than medicines for other conditions </w:t>
      </w:r>
      <w:r w:rsidRPr="003B51F4">
        <w:rPr>
          <w:noProof/>
          <w:spacing w:val="-2"/>
        </w:rPr>
        <w:t>(Bach 2009</w:t>
      </w:r>
      <w:r w:rsidR="003B51F4" w:rsidRPr="003B51F4">
        <w:rPr>
          <w:noProof/>
          <w:spacing w:val="-2"/>
        </w:rPr>
        <w:t>,</w:t>
      </w:r>
      <w:r w:rsidRPr="003B51F4">
        <w:rPr>
          <w:noProof/>
          <w:spacing w:val="-2"/>
        </w:rPr>
        <w:t xml:space="preserve"> Savage </w:t>
      </w:r>
      <w:r w:rsidR="00C338E8">
        <w:rPr>
          <w:noProof/>
          <w:spacing w:val="-2"/>
        </w:rPr>
        <w:t>et al</w:t>
      </w:r>
      <w:r w:rsidRPr="003B51F4">
        <w:rPr>
          <w:noProof/>
          <w:spacing w:val="-2"/>
        </w:rPr>
        <w:t xml:space="preserve"> 2017)</w:t>
      </w:r>
      <w:r w:rsidRPr="003B51F4">
        <w:rPr>
          <w:spacing w:val="-2"/>
        </w:rPr>
        <w:t xml:space="preserve">. There is concern that the costs of cancer medicines do not correlate with value or clinical benefit </w:t>
      </w:r>
      <w:r w:rsidRPr="003B51F4">
        <w:rPr>
          <w:noProof/>
          <w:spacing w:val="-2"/>
        </w:rPr>
        <w:t xml:space="preserve">(Jiang </w:t>
      </w:r>
      <w:r w:rsidR="00C338E8">
        <w:rPr>
          <w:noProof/>
          <w:spacing w:val="-2"/>
        </w:rPr>
        <w:t>et al</w:t>
      </w:r>
      <w:r w:rsidRPr="003B51F4">
        <w:rPr>
          <w:noProof/>
          <w:spacing w:val="-2"/>
        </w:rPr>
        <w:t xml:space="preserve"> 2019</w:t>
      </w:r>
      <w:r w:rsidR="003B51F4" w:rsidRPr="003B51F4">
        <w:rPr>
          <w:noProof/>
          <w:spacing w:val="-2"/>
        </w:rPr>
        <w:t>,</w:t>
      </w:r>
      <w:r w:rsidRPr="003B51F4">
        <w:rPr>
          <w:noProof/>
          <w:spacing w:val="-2"/>
        </w:rPr>
        <w:t xml:space="preserve"> Vivot </w:t>
      </w:r>
      <w:r w:rsidR="00C338E8">
        <w:rPr>
          <w:noProof/>
          <w:spacing w:val="-2"/>
        </w:rPr>
        <w:t>et al</w:t>
      </w:r>
      <w:r w:rsidRPr="003B51F4">
        <w:rPr>
          <w:noProof/>
          <w:spacing w:val="-2"/>
        </w:rPr>
        <w:t xml:space="preserve"> 2017</w:t>
      </w:r>
      <w:r w:rsidR="003B51F4" w:rsidRPr="003B51F4">
        <w:rPr>
          <w:noProof/>
          <w:spacing w:val="-2"/>
        </w:rPr>
        <w:t>,</w:t>
      </w:r>
      <w:r w:rsidRPr="003B51F4">
        <w:rPr>
          <w:noProof/>
          <w:spacing w:val="-2"/>
        </w:rPr>
        <w:t xml:space="preserve"> Vokinger </w:t>
      </w:r>
      <w:r w:rsidR="00C338E8">
        <w:rPr>
          <w:noProof/>
          <w:spacing w:val="-2"/>
        </w:rPr>
        <w:t>et al</w:t>
      </w:r>
      <w:r w:rsidRPr="003B51F4">
        <w:rPr>
          <w:noProof/>
          <w:spacing w:val="-2"/>
        </w:rPr>
        <w:t xml:space="preserve"> 2020)</w:t>
      </w:r>
      <w:r w:rsidRPr="003B51F4">
        <w:rPr>
          <w:spacing w:val="-2"/>
        </w:rPr>
        <w:t xml:space="preserve">. For instance, between the 1990s and early 2000s, cancer therapies for metastatic colorectal cancer improved outcomes for patients by nearly doubling the median survival time but with a 340-fold increase in cost </w:t>
      </w:r>
      <w:r w:rsidRPr="003B51F4">
        <w:rPr>
          <w:noProof/>
          <w:spacing w:val="-2"/>
        </w:rPr>
        <w:t>(Schrag 2004)</w:t>
      </w:r>
      <w:r w:rsidRPr="003B51F4">
        <w:rPr>
          <w:spacing w:val="-2"/>
        </w:rPr>
        <w:t>.</w:t>
      </w:r>
    </w:p>
    <w:p w14:paraId="392EA9A3" w14:textId="77777777" w:rsidR="00D34911" w:rsidRDefault="00B12E4F" w:rsidP="003B51F4">
      <w:pPr>
        <w:keepNext/>
        <w:keepLines/>
      </w:pPr>
      <w:r>
        <w:lastRenderedPageBreak/>
        <w:t xml:space="preserve">Pharmaceutical companies argue that the high pricing of cancer medicines is because of high development costs – and for rare diseases, an extra consideration is the comparatively small patient population </w:t>
      </w:r>
      <w:r>
        <w:rPr>
          <w:noProof/>
        </w:rPr>
        <w:t>(WHO 2018)</w:t>
      </w:r>
      <w:r>
        <w:t xml:space="preserve">. In 2019, cancer medicines sales generated a significant proportion (around one-quarter) of the total drug revenue among 10 large pharmaceutical companies </w:t>
      </w:r>
      <w:r>
        <w:rPr>
          <w:noProof/>
        </w:rPr>
        <w:t xml:space="preserve">(Meyers </w:t>
      </w:r>
      <w:r w:rsidR="00C338E8">
        <w:rPr>
          <w:noProof/>
        </w:rPr>
        <w:t>et al</w:t>
      </w:r>
      <w:r>
        <w:rPr>
          <w:noProof/>
        </w:rPr>
        <w:t xml:space="preserve"> 2022)</w:t>
      </w:r>
      <w:r>
        <w:t>. The same study showed that revenue from the sale of cancer medicines increased by 70</w:t>
      </w:r>
      <w:r w:rsidR="00F64599">
        <w:t> percent</w:t>
      </w:r>
      <w:r>
        <w:t xml:space="preserve"> over the last decade, while revenue from the sale of other medicines decreased by 18</w:t>
      </w:r>
      <w:r w:rsidR="00F64599">
        <w:t> percent</w:t>
      </w:r>
      <w:r>
        <w:t>.</w:t>
      </w:r>
    </w:p>
    <w:p w14:paraId="4E2EAA54" w14:textId="77777777" w:rsidR="003B51F4" w:rsidRDefault="003B51F4" w:rsidP="003B51F4"/>
    <w:p w14:paraId="6F4949BB" w14:textId="77777777" w:rsidR="00D34911" w:rsidRDefault="00B12E4F" w:rsidP="003B51F4">
      <w:r w:rsidRPr="00ED04E8">
        <w:t>New cancer medicines are costly and increasingly unaffordable for health care systems and patients</w:t>
      </w:r>
      <w:r>
        <w:t xml:space="preserve"> around the world</w:t>
      </w:r>
      <w:r w:rsidRPr="00ED04E8">
        <w:t>.</w:t>
      </w:r>
      <w:r w:rsidRPr="00ED04E8" w:rsidDel="00A655BD">
        <w:t xml:space="preserve"> </w:t>
      </w:r>
      <w:r w:rsidRPr="00ED04E8">
        <w:t xml:space="preserve">Several high-income countries, including </w:t>
      </w:r>
      <w:r>
        <w:t>Aotearoa</w:t>
      </w:r>
      <w:r w:rsidRPr="00ED04E8">
        <w:t xml:space="preserve"> and Australia, spent around 10</w:t>
      </w:r>
      <w:r>
        <w:t xml:space="preserve"> to </w:t>
      </w:r>
      <w:r w:rsidRPr="00ED04E8">
        <w:t>20</w:t>
      </w:r>
      <w:r w:rsidR="00F64599">
        <w:t> percent</w:t>
      </w:r>
      <w:r w:rsidRPr="00ED04E8">
        <w:t xml:space="preserve"> of total pharmaceutical expenditure on cancer medicines in 2019 </w:t>
      </w:r>
      <w:r w:rsidRPr="00ED04E8">
        <w:rPr>
          <w:noProof/>
        </w:rPr>
        <w:t xml:space="preserve">(Hofmarcher </w:t>
      </w:r>
      <w:r w:rsidR="00C338E8">
        <w:rPr>
          <w:noProof/>
        </w:rPr>
        <w:t>et al</w:t>
      </w:r>
      <w:r w:rsidRPr="00ED04E8">
        <w:rPr>
          <w:noProof/>
        </w:rPr>
        <w:t xml:space="preserve"> 2021)</w:t>
      </w:r>
      <w:r w:rsidRPr="00ED04E8">
        <w:t xml:space="preserve">. </w:t>
      </w:r>
      <w:r>
        <w:t>With finite resources available for health care, h</w:t>
      </w:r>
      <w:r w:rsidRPr="00ED04E8">
        <w:t>ealth systems are continually faced with deci</w:t>
      </w:r>
      <w:r>
        <w:t>ding</w:t>
      </w:r>
      <w:r w:rsidRPr="00ED04E8">
        <w:t xml:space="preserve"> how to balance investment in cancer medicines against other priorities</w:t>
      </w:r>
      <w:r>
        <w:t>,</w:t>
      </w:r>
      <w:r w:rsidRPr="00ED04E8">
        <w:t xml:space="preserve"> and there is no correct answer to the issue of how much is the right amount to spend on cancer medicines. </w:t>
      </w:r>
      <w:r>
        <w:t>In countries with publicly funded health care, the rising cost of cancer medicines impacts the sustainability of such systems. In other countries, these costs are passed onto cancer patients, who can encounter catastrophic personal financial hardship when accessing cancer care</w:t>
      </w:r>
      <w:r w:rsidRPr="003F718C">
        <w:t xml:space="preserve"> </w:t>
      </w:r>
      <w:r w:rsidRPr="00ED04E8">
        <w:t xml:space="preserve">(Fundytus </w:t>
      </w:r>
      <w:r w:rsidR="00C338E8">
        <w:t>et al</w:t>
      </w:r>
      <w:r w:rsidRPr="00ED04E8">
        <w:t xml:space="preserve"> 2021).</w:t>
      </w:r>
    </w:p>
    <w:p w14:paraId="7F30535B" w14:textId="77777777" w:rsidR="00B12E4F" w:rsidRPr="00ED04E8" w:rsidRDefault="00B12E4F" w:rsidP="005852F2">
      <w:pPr>
        <w:pStyle w:val="Heading3"/>
      </w:pPr>
      <w:bookmarkStart w:id="46" w:name="_Toc97554782"/>
      <w:bookmarkStart w:id="47" w:name="_Toc99442397"/>
      <w:bookmarkStart w:id="48" w:name="_Toc99443142"/>
      <w:bookmarkStart w:id="49" w:name="_Toc99443553"/>
      <w:bookmarkStart w:id="50" w:name="_Toc99443708"/>
      <w:bookmarkStart w:id="51" w:name="_Toc99451893"/>
      <w:bookmarkStart w:id="52" w:name="_Toc99456164"/>
      <w:bookmarkStart w:id="53" w:name="_Toc100738303"/>
      <w:bookmarkStart w:id="54" w:name="_Toc100739005"/>
      <w:r w:rsidRPr="00ED04E8">
        <w:t xml:space="preserve">It can be difficult to assess the </w:t>
      </w:r>
      <w:r>
        <w:t xml:space="preserve">added clinical benefit of new </w:t>
      </w:r>
      <w:r w:rsidRPr="00ED04E8">
        <w:t>cancer medicines</w:t>
      </w:r>
      <w:bookmarkEnd w:id="46"/>
      <w:bookmarkEnd w:id="47"/>
      <w:bookmarkEnd w:id="48"/>
      <w:bookmarkEnd w:id="49"/>
      <w:bookmarkEnd w:id="50"/>
      <w:bookmarkEnd w:id="51"/>
      <w:bookmarkEnd w:id="52"/>
      <w:bookmarkEnd w:id="53"/>
      <w:bookmarkEnd w:id="54"/>
    </w:p>
    <w:p w14:paraId="7BFACE61" w14:textId="6B398ADD" w:rsidR="00D34911" w:rsidRDefault="00B12E4F" w:rsidP="00B12E4F">
      <w:r w:rsidRPr="00ED04E8">
        <w:t>Most new cancer medicines are approved and marketed based on clinical trial data showing statistically significant improvements in end</w:t>
      </w:r>
      <w:r>
        <w:t xml:space="preserve"> </w:t>
      </w:r>
      <w:r w:rsidRPr="00ED04E8">
        <w:t xml:space="preserve">points such as improvements in length of life (often called </w:t>
      </w:r>
      <w:r w:rsidR="00D34911">
        <w:t>‘</w:t>
      </w:r>
      <w:r w:rsidRPr="00ED04E8">
        <w:t>overall survival</w:t>
      </w:r>
      <w:r w:rsidR="00D34911">
        <w:t>’</w:t>
      </w:r>
      <w:r w:rsidRPr="00ED04E8">
        <w:t>)</w:t>
      </w:r>
      <w:r>
        <w:t>,</w:t>
      </w:r>
      <w:r w:rsidRPr="00ED04E8">
        <w:t xml:space="preserve"> or surrogate measures such as time to disease progression</w:t>
      </w:r>
      <w:r>
        <w:t xml:space="preserve"> or recurrence</w:t>
      </w:r>
      <w:r w:rsidRPr="00ED04E8">
        <w:t xml:space="preserve"> (often called </w:t>
      </w:r>
      <w:r w:rsidR="00D34911">
        <w:t>‘</w:t>
      </w:r>
      <w:r w:rsidRPr="00ED04E8">
        <w:t>progression</w:t>
      </w:r>
      <w:r>
        <w:t>-</w:t>
      </w:r>
      <w:r w:rsidRPr="00ED04E8">
        <w:t>free survival</w:t>
      </w:r>
      <w:r w:rsidR="00D34911">
        <w:t>’</w:t>
      </w:r>
      <w:r>
        <w:t xml:space="preserve"> or </w:t>
      </w:r>
      <w:r w:rsidR="00D34911">
        <w:t>‘</w:t>
      </w:r>
      <w:r>
        <w:t>disease-free survival</w:t>
      </w:r>
      <w:r w:rsidR="00D34911">
        <w:t>’</w:t>
      </w:r>
      <w:r>
        <w:t xml:space="preserve">), </w:t>
      </w:r>
      <w:r w:rsidRPr="00ED04E8">
        <w:t xml:space="preserve">when compared </w:t>
      </w:r>
      <w:r>
        <w:t>with</w:t>
      </w:r>
      <w:r w:rsidRPr="00ED04E8">
        <w:t xml:space="preserve"> a placebo or another established treatment. A</w:t>
      </w:r>
      <w:r w:rsidR="003B51F4">
        <w:t> </w:t>
      </w:r>
      <w:r w:rsidRPr="00ED04E8">
        <w:t>surrogate measure is one that is intended to indicate that a clinical end</w:t>
      </w:r>
      <w:r>
        <w:t xml:space="preserve"> </w:t>
      </w:r>
      <w:r w:rsidRPr="00ED04E8">
        <w:t>point will be achieved in</w:t>
      </w:r>
      <w:r>
        <w:t xml:space="preserve"> the</w:t>
      </w:r>
      <w:r w:rsidRPr="00ED04E8">
        <w:t xml:space="preserve"> future, but surrogate measures do not always correlate well with clinical outcomes. Accelerated approval pathways based on surrogate outcomes are increasingly and commonly being used by pharmaceutical regulatory bodies, including the United States</w:t>
      </w:r>
      <w:r w:rsidR="00D34911">
        <w:t>’</w:t>
      </w:r>
      <w:r w:rsidRPr="00ED04E8">
        <w:t xml:space="preserve"> Food and Drug Administration (FDA) and </w:t>
      </w:r>
      <w:r>
        <w:t xml:space="preserve">the </w:t>
      </w:r>
      <w:r w:rsidRPr="00ED04E8">
        <w:t xml:space="preserve">European Medicines Agency (EMA), to facilitate and </w:t>
      </w:r>
      <w:r w:rsidR="00EF5CEE" w:rsidRPr="00ED04E8">
        <w:t>expedite</w:t>
      </w:r>
      <w:r w:rsidRPr="00ED04E8">
        <w:t xml:space="preserve"> the development and review of new cancer medicines </w:t>
      </w:r>
      <w:r w:rsidRPr="00ED04E8">
        <w:rPr>
          <w:noProof/>
        </w:rPr>
        <w:t xml:space="preserve">(Gyawali </w:t>
      </w:r>
      <w:r w:rsidR="00C338E8">
        <w:rPr>
          <w:noProof/>
        </w:rPr>
        <w:t>et al</w:t>
      </w:r>
      <w:r w:rsidR="003B51F4">
        <w:rPr>
          <w:noProof/>
        </w:rPr>
        <w:t xml:space="preserve"> 2</w:t>
      </w:r>
      <w:r w:rsidRPr="00ED04E8">
        <w:rPr>
          <w:noProof/>
        </w:rPr>
        <w:t>022</w:t>
      </w:r>
      <w:r w:rsidR="003B51F4">
        <w:rPr>
          <w:noProof/>
        </w:rPr>
        <w:t>,</w:t>
      </w:r>
      <w:r w:rsidRPr="00ED04E8">
        <w:rPr>
          <w:noProof/>
        </w:rPr>
        <w:t xml:space="preserve"> Molto </w:t>
      </w:r>
      <w:r w:rsidR="00C338E8">
        <w:rPr>
          <w:noProof/>
        </w:rPr>
        <w:t>et al</w:t>
      </w:r>
      <w:r w:rsidR="003B51F4">
        <w:rPr>
          <w:noProof/>
        </w:rPr>
        <w:t xml:space="preserve"> 2</w:t>
      </w:r>
      <w:r w:rsidRPr="00ED04E8">
        <w:rPr>
          <w:noProof/>
        </w:rPr>
        <w:t>020</w:t>
      </w:r>
      <w:r w:rsidR="003B51F4">
        <w:rPr>
          <w:noProof/>
        </w:rPr>
        <w:t>,</w:t>
      </w:r>
      <w:r w:rsidRPr="00ED04E8">
        <w:rPr>
          <w:noProof/>
        </w:rPr>
        <w:t xml:space="preserve"> Wang </w:t>
      </w:r>
      <w:r w:rsidR="00C338E8">
        <w:rPr>
          <w:noProof/>
        </w:rPr>
        <w:t>et al</w:t>
      </w:r>
      <w:r w:rsidR="003B51F4">
        <w:rPr>
          <w:noProof/>
        </w:rPr>
        <w:t xml:space="preserve"> 2</w:t>
      </w:r>
      <w:r w:rsidRPr="00ED04E8">
        <w:rPr>
          <w:noProof/>
        </w:rPr>
        <w:t>021)</w:t>
      </w:r>
      <w:r w:rsidRPr="00ED04E8">
        <w:t>.</w:t>
      </w:r>
    </w:p>
    <w:p w14:paraId="5FCC570C" w14:textId="77777777" w:rsidR="003B51F4" w:rsidRDefault="003B51F4" w:rsidP="003B51F4"/>
    <w:p w14:paraId="3D345248" w14:textId="77777777" w:rsidR="00D34911" w:rsidRDefault="00B12E4F" w:rsidP="003B51F4">
      <w:r>
        <w:t xml:space="preserve">Some cancer medicines will have large and indisputable benefits (such as improved overall survival of months or even years), while other medicines may offer only marginal improvements (such as progression-free survival improvements of a few weeks or less without any accompanying overall survival or quality-of-life benefit). </w:t>
      </w:r>
      <w:r w:rsidRPr="00ED04E8">
        <w:t xml:space="preserve">Furthermore, many cancer medicines are marketed without strong evidence of an improvement in patient-centred outcomes, such as quality of life </w:t>
      </w:r>
      <w:r w:rsidRPr="00ED04E8">
        <w:rPr>
          <w:noProof/>
        </w:rPr>
        <w:t>(Prasad 2017)</w:t>
      </w:r>
      <w:r w:rsidRPr="00ED04E8">
        <w:t>.</w:t>
      </w:r>
    </w:p>
    <w:p w14:paraId="52C1B3FD" w14:textId="77777777" w:rsidR="00B12E4F" w:rsidRPr="00ED04E8" w:rsidRDefault="00B12E4F" w:rsidP="0068532E">
      <w:pPr>
        <w:pStyle w:val="Heading2"/>
      </w:pPr>
      <w:bookmarkStart w:id="55" w:name="_Toc99442398"/>
      <w:bookmarkStart w:id="56" w:name="_Toc99443143"/>
      <w:bookmarkStart w:id="57" w:name="_Toc99443554"/>
      <w:bookmarkStart w:id="58" w:name="_Toc99443709"/>
      <w:bookmarkStart w:id="59" w:name="_Toc100739006"/>
      <w:bookmarkStart w:id="60" w:name="_Toc101618147"/>
      <w:r w:rsidRPr="00ED04E8">
        <w:lastRenderedPageBreak/>
        <w:t xml:space="preserve">There are some tools to help </w:t>
      </w:r>
      <w:r>
        <w:t>assess</w:t>
      </w:r>
      <w:r w:rsidRPr="00ED04E8">
        <w:t xml:space="preserve"> the </w:t>
      </w:r>
      <w:r>
        <w:t>added clinical benefit</w:t>
      </w:r>
      <w:r w:rsidRPr="00ED04E8">
        <w:t xml:space="preserve"> of cancer medicines</w:t>
      </w:r>
      <w:bookmarkEnd w:id="55"/>
      <w:bookmarkEnd w:id="56"/>
      <w:bookmarkEnd w:id="57"/>
      <w:bookmarkEnd w:id="58"/>
      <w:bookmarkEnd w:id="59"/>
      <w:bookmarkEnd w:id="60"/>
    </w:p>
    <w:p w14:paraId="6C22C7D3" w14:textId="77777777" w:rsidR="00D34911" w:rsidRDefault="00B12E4F" w:rsidP="003B51F4">
      <w:r w:rsidRPr="00ED04E8">
        <w:t xml:space="preserve">Given the challenges </w:t>
      </w:r>
      <w:r>
        <w:t xml:space="preserve">described above, </w:t>
      </w:r>
      <w:r w:rsidRPr="00ED04E8">
        <w:t xml:space="preserve">various organisations and clinical societies have developed tools to </w:t>
      </w:r>
      <w:r>
        <w:t xml:space="preserve">help evaluate the </w:t>
      </w:r>
      <w:r w:rsidRPr="00ED04E8">
        <w:t xml:space="preserve">clinical </w:t>
      </w:r>
      <w:r>
        <w:t>benefit</w:t>
      </w:r>
      <w:r w:rsidRPr="00ED04E8">
        <w:t xml:space="preserve"> of </w:t>
      </w:r>
      <w:r>
        <w:t xml:space="preserve">new </w:t>
      </w:r>
      <w:r w:rsidRPr="00ED04E8">
        <w:t xml:space="preserve">cancer therapies. These tools are intended to assist health systems, clinicians and patients in their decision-making around </w:t>
      </w:r>
      <w:r>
        <w:t xml:space="preserve">the </w:t>
      </w:r>
      <w:r w:rsidRPr="00ED04E8">
        <w:t>use of cancer medicines.</w:t>
      </w:r>
    </w:p>
    <w:p w14:paraId="0D58DE78" w14:textId="77777777" w:rsidR="003B51F4" w:rsidRDefault="003B51F4" w:rsidP="003B51F4"/>
    <w:p w14:paraId="255B5BF7" w14:textId="2BA8A1A0" w:rsidR="00D34911" w:rsidRDefault="00B12E4F" w:rsidP="003B51F4">
      <w:r w:rsidRPr="00ED04E8">
        <w:t>The two most widely used tools are the European Society of Medical Oncology</w:t>
      </w:r>
      <w:r>
        <w:t xml:space="preserve"> –</w:t>
      </w:r>
      <w:r w:rsidRPr="00ED04E8">
        <w:t xml:space="preserve"> Magnitude of Clinical Benefit Scale (ESMO-MCBS) and the American Society of Clinical Oncology</w:t>
      </w:r>
      <w:r w:rsidR="00D34911">
        <w:t>’</w:t>
      </w:r>
      <w:r w:rsidRPr="00ED04E8">
        <w:t xml:space="preserve">s (ASCO) Value Framework. </w:t>
      </w:r>
      <w:r>
        <w:t xml:space="preserve">Both these tools have been developed to assess the clinical benefit of medicines for solid tumours. While the </w:t>
      </w:r>
      <w:r w:rsidRPr="00ED04E8">
        <w:t xml:space="preserve">ASCO Value Framework </w:t>
      </w:r>
      <w:r>
        <w:t xml:space="preserve">is intended to help </w:t>
      </w:r>
      <w:r w:rsidRPr="00ED04E8">
        <w:t>individual patients choose a medicine in shared decision</w:t>
      </w:r>
      <w:r>
        <w:t>-</w:t>
      </w:r>
      <w:r w:rsidRPr="00ED04E8">
        <w:t xml:space="preserve">making with their oncologist </w:t>
      </w:r>
      <w:r w:rsidRPr="00ED04E8">
        <w:rPr>
          <w:noProof/>
        </w:rPr>
        <w:t xml:space="preserve">(Vokinger </w:t>
      </w:r>
      <w:r w:rsidR="00C338E8">
        <w:rPr>
          <w:noProof/>
        </w:rPr>
        <w:t>et al</w:t>
      </w:r>
      <w:r w:rsidR="003B51F4">
        <w:rPr>
          <w:noProof/>
        </w:rPr>
        <w:t xml:space="preserve"> 2</w:t>
      </w:r>
      <w:r w:rsidRPr="00ED04E8">
        <w:rPr>
          <w:noProof/>
        </w:rPr>
        <w:t>020)</w:t>
      </w:r>
      <w:r w:rsidRPr="00ED04E8">
        <w:t xml:space="preserve">, the ESMO-MCBS assesses the magnitude of clinical benefit of </w:t>
      </w:r>
      <w:r>
        <w:t xml:space="preserve">cancer </w:t>
      </w:r>
      <w:r w:rsidRPr="00ED04E8">
        <w:t xml:space="preserve">medicines </w:t>
      </w:r>
      <w:r>
        <w:t>to inform decisions about cancer medicines at a policy and population level</w:t>
      </w:r>
      <w:r w:rsidRPr="00ED04E8">
        <w:t xml:space="preserve"> </w:t>
      </w:r>
      <w:r w:rsidRPr="00ED04E8">
        <w:rPr>
          <w:noProof/>
        </w:rPr>
        <w:t>(ESMO nd</w:t>
      </w:r>
      <w:r>
        <w:rPr>
          <w:noProof/>
        </w:rPr>
        <w:t>-a</w:t>
      </w:r>
      <w:r w:rsidRPr="00ED04E8">
        <w:rPr>
          <w:noProof/>
        </w:rPr>
        <w:t>)</w:t>
      </w:r>
      <w:r w:rsidRPr="00ED04E8">
        <w:t>. The highest grades of the ESMO-MCBS</w:t>
      </w:r>
      <w:r>
        <w:t>, indicating a substantial clinical benefit,</w:t>
      </w:r>
      <w:r w:rsidRPr="00ED04E8">
        <w:t xml:space="preserve"> are </w:t>
      </w:r>
      <w:r>
        <w:t xml:space="preserve">a </w:t>
      </w:r>
      <w:r w:rsidRPr="00ED04E8">
        <w:t xml:space="preserve">score of A or B </w:t>
      </w:r>
      <w:r w:rsidR="00BE398C">
        <w:t>in</w:t>
      </w:r>
      <w:r w:rsidR="00BE398C" w:rsidRPr="00ED04E8">
        <w:t xml:space="preserve"> </w:t>
      </w:r>
      <w:r w:rsidRPr="00ED04E8">
        <w:t>a curative setting and 4 or 5 in a non-curative setting (</w:t>
      </w:r>
      <w:hyperlink w:anchor="Figure_1" w:history="1">
        <w:r w:rsidR="00F41E5F" w:rsidRPr="00F41E5F">
          <w:rPr>
            <w:rStyle w:val="Hyperlink"/>
          </w:rPr>
          <w:t>Figure 1</w:t>
        </w:r>
      </w:hyperlink>
      <w:r w:rsidRPr="00ED04E8">
        <w:t>).</w:t>
      </w:r>
      <w:r>
        <w:t xml:space="preserve"> What is required for a cancer medicine to score A, B, 4 or 5 varies depending on the scenario, but measures such as overall survival, disease-free survival, progression-free survival, quality of life, toxicities and, in some cases, cost savings are considered. For example, in the curative setting, an ESMO-MCBS score of A or B represents a minimum of a 3</w:t>
      </w:r>
      <w:r w:rsidR="00F64599">
        <w:t> percent</w:t>
      </w:r>
      <w:r>
        <w:t xml:space="preserve"> increase in the number of people alive after three years (ie, an improvement in overall survival) or improved quality of life – even in the absence of a survival benefit.</w:t>
      </w:r>
      <w:r w:rsidRPr="00262EDC">
        <w:t xml:space="preserve"> </w:t>
      </w:r>
      <w:r>
        <w:t>In the non-curative setting, the definitions vary further based on the prognosis of the condition.</w:t>
      </w:r>
    </w:p>
    <w:p w14:paraId="3CE3D950" w14:textId="77777777" w:rsidR="003B51F4" w:rsidRDefault="003B51F4" w:rsidP="003B51F4"/>
    <w:p w14:paraId="0C14AFF3" w14:textId="72203D78" w:rsidR="00B12E4F" w:rsidRDefault="00B12E4F" w:rsidP="003B51F4">
      <w:r w:rsidRPr="00ED04E8">
        <w:t xml:space="preserve">A recent comparative assessment of the ESMO-MCBS and ASCO Value Framework reported moderate concordance between their clinical benefit scores in the non-curative setting </w:t>
      </w:r>
      <w:r w:rsidRPr="00ED04E8">
        <w:rPr>
          <w:noProof/>
        </w:rPr>
        <w:t xml:space="preserve">(Cherny </w:t>
      </w:r>
      <w:r w:rsidR="00C338E8">
        <w:rPr>
          <w:noProof/>
        </w:rPr>
        <w:t>et al</w:t>
      </w:r>
      <w:r w:rsidR="003B51F4">
        <w:rPr>
          <w:noProof/>
        </w:rPr>
        <w:t xml:space="preserve"> 2</w:t>
      </w:r>
      <w:r w:rsidRPr="00ED04E8">
        <w:rPr>
          <w:noProof/>
        </w:rPr>
        <w:t>018)</w:t>
      </w:r>
      <w:r w:rsidRPr="00ED04E8">
        <w:t xml:space="preserve">. </w:t>
      </w:r>
      <w:r>
        <w:t>It should be noted that m</w:t>
      </w:r>
      <w:r w:rsidRPr="00ED04E8">
        <w:t xml:space="preserve">any cancer medicines </w:t>
      </w:r>
      <w:r w:rsidR="00B97349">
        <w:t xml:space="preserve">that are approved by the FDA </w:t>
      </w:r>
      <w:r w:rsidRPr="00ED04E8">
        <w:t>for advanced solid tumours do not meet the ESMO-MCBS or ASCO-</w:t>
      </w:r>
      <w:r w:rsidR="005E3CE8">
        <w:t xml:space="preserve">Value Framework </w:t>
      </w:r>
      <w:r w:rsidRPr="00ED04E8">
        <w:t xml:space="preserve">threshold of substantial clinical benefit </w:t>
      </w:r>
      <w:r w:rsidRPr="00ED04E8">
        <w:rPr>
          <w:noProof/>
        </w:rPr>
        <w:t xml:space="preserve">(Jiang </w:t>
      </w:r>
      <w:r w:rsidR="00C338E8">
        <w:rPr>
          <w:noProof/>
        </w:rPr>
        <w:t>et al</w:t>
      </w:r>
      <w:r w:rsidR="003B51F4">
        <w:rPr>
          <w:noProof/>
        </w:rPr>
        <w:t xml:space="preserve"> 2</w:t>
      </w:r>
      <w:r w:rsidRPr="00ED04E8">
        <w:rPr>
          <w:noProof/>
        </w:rPr>
        <w:t>019</w:t>
      </w:r>
      <w:r w:rsidR="003B51F4">
        <w:rPr>
          <w:noProof/>
        </w:rPr>
        <w:t>,</w:t>
      </w:r>
      <w:r w:rsidRPr="00ED04E8">
        <w:rPr>
          <w:noProof/>
        </w:rPr>
        <w:t xml:space="preserve"> Vivot </w:t>
      </w:r>
      <w:r w:rsidR="00C338E8">
        <w:rPr>
          <w:noProof/>
        </w:rPr>
        <w:t>et al</w:t>
      </w:r>
      <w:r w:rsidR="003B51F4">
        <w:rPr>
          <w:noProof/>
        </w:rPr>
        <w:t xml:space="preserve"> 2</w:t>
      </w:r>
      <w:r w:rsidRPr="00ED04E8">
        <w:rPr>
          <w:noProof/>
        </w:rPr>
        <w:t>017)</w:t>
      </w:r>
      <w:r w:rsidRPr="00ED04E8">
        <w:t xml:space="preserve">. Similarly, </w:t>
      </w:r>
      <w:r>
        <w:t xml:space="preserve">some </w:t>
      </w:r>
      <w:r w:rsidRPr="00ED04E8">
        <w:t xml:space="preserve">cancer medicines studies report gains in either progression-free survival and/or overall survival as </w:t>
      </w:r>
      <w:r w:rsidR="00D34911">
        <w:t>‘</w:t>
      </w:r>
      <w:r w:rsidRPr="00ED04E8">
        <w:t>meaningful</w:t>
      </w:r>
      <w:r w:rsidR="00D34911">
        <w:t>’</w:t>
      </w:r>
      <w:r w:rsidRPr="00ED04E8">
        <w:t xml:space="preserve"> that do not meet either the ESMO-MCBS or ASCO Value Framework thresholds for substantial clinical benefit </w:t>
      </w:r>
      <w:r w:rsidRPr="00ED04E8">
        <w:rPr>
          <w:noProof/>
        </w:rPr>
        <w:t xml:space="preserve">(Dreicer </w:t>
      </w:r>
      <w:r w:rsidR="00C338E8">
        <w:rPr>
          <w:noProof/>
        </w:rPr>
        <w:t>et al</w:t>
      </w:r>
      <w:r w:rsidR="003B51F4">
        <w:rPr>
          <w:noProof/>
        </w:rPr>
        <w:t xml:space="preserve"> 2</w:t>
      </w:r>
      <w:r w:rsidRPr="00ED04E8">
        <w:rPr>
          <w:noProof/>
        </w:rPr>
        <w:t>017)</w:t>
      </w:r>
      <w:r w:rsidRPr="00ED04E8">
        <w:t>.</w:t>
      </w:r>
    </w:p>
    <w:p w14:paraId="1C2C6658" w14:textId="23B6EB4F" w:rsidR="00D34911" w:rsidRDefault="003B51F4" w:rsidP="003B51F4">
      <w:pPr>
        <w:pStyle w:val="Figure"/>
      </w:pPr>
      <w:bookmarkStart w:id="61" w:name="_Ref101268946"/>
      <w:bookmarkStart w:id="62" w:name="_Toc101365637"/>
      <w:bookmarkStart w:id="63" w:name="Figure_1"/>
      <w:r>
        <w:lastRenderedPageBreak/>
        <w:t>Figure </w:t>
      </w:r>
      <w:r w:rsidR="0056499C">
        <w:fldChar w:fldCharType="begin"/>
      </w:r>
      <w:r w:rsidR="0056499C">
        <w:instrText xml:space="preserve"> SEQ Figure \* ARABIC </w:instrText>
      </w:r>
      <w:r w:rsidR="0056499C">
        <w:fldChar w:fldCharType="separate"/>
      </w:r>
      <w:r w:rsidR="00386819">
        <w:rPr>
          <w:noProof/>
        </w:rPr>
        <w:t>1</w:t>
      </w:r>
      <w:r w:rsidR="0056499C">
        <w:rPr>
          <w:noProof/>
        </w:rPr>
        <w:fldChar w:fldCharType="end"/>
      </w:r>
      <w:bookmarkEnd w:id="61"/>
      <w:r w:rsidR="00B12E4F" w:rsidRPr="00E10C03">
        <w:t>: Categories according to the ESMO-MCBS in the curative (left) and non-curative (right) settings</w:t>
      </w:r>
      <w:bookmarkEnd w:id="62"/>
    </w:p>
    <w:bookmarkEnd w:id="63"/>
    <w:p w14:paraId="6E5EFA0F" w14:textId="77777777" w:rsidR="00B12E4F" w:rsidRPr="00ED04E8" w:rsidRDefault="00B12E4F" w:rsidP="003B51F4">
      <w:r>
        <w:rPr>
          <w:noProof/>
          <w:lang w:eastAsia="en-NZ"/>
        </w:rPr>
        <w:drawing>
          <wp:inline distT="0" distB="0" distL="0" distR="0" wp14:anchorId="4C621A15" wp14:editId="6A8F6B52">
            <wp:extent cx="5096786" cy="2235432"/>
            <wp:effectExtent l="0" t="0" r="8890" b="0"/>
            <wp:docPr id="10" name="Picture 10" title="Figure 1: Categories according to the ESMO-MCBS in the curative (left) and non-curative (right)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00677" cy="2237139"/>
                    </a:xfrm>
                    <a:prstGeom prst="rect">
                      <a:avLst/>
                    </a:prstGeom>
                    <a:noFill/>
                    <a:ln>
                      <a:noFill/>
                    </a:ln>
                  </pic:spPr>
                </pic:pic>
              </a:graphicData>
            </a:graphic>
          </wp:inline>
        </w:drawing>
      </w:r>
    </w:p>
    <w:p w14:paraId="4CAC0537" w14:textId="77777777" w:rsidR="00B12E4F" w:rsidRPr="00ED04E8" w:rsidRDefault="00B12E4F" w:rsidP="003B51F4">
      <w:pPr>
        <w:pStyle w:val="Source"/>
      </w:pPr>
      <w:r w:rsidRPr="00ED04E8">
        <w:t>Source: ESMO 2021</w:t>
      </w:r>
    </w:p>
    <w:p w14:paraId="7E50DAE1" w14:textId="77777777" w:rsidR="00B12E4F" w:rsidRPr="00ED04E8" w:rsidRDefault="00B12E4F" w:rsidP="003B51F4"/>
    <w:p w14:paraId="7EE9EA03" w14:textId="6FF1973E" w:rsidR="00B12E4F" w:rsidRDefault="00B12E4F" w:rsidP="003B51F4">
      <w:r>
        <w:t xml:space="preserve">There is no equivalent value assessment framework or tool that has been developed or validated for blood cancers. In 2020, a collaborative study was published by the European Haematology Association (EHA) and ESMO (Kiesewetter </w:t>
      </w:r>
      <w:r w:rsidR="00C338E8">
        <w:t>et al</w:t>
      </w:r>
      <w:r w:rsidR="003B51F4">
        <w:t xml:space="preserve"> 2</w:t>
      </w:r>
      <w:r>
        <w:t xml:space="preserve">020). This was a feasibility assessment to determine whether the ESMO-MCBS could be applied to clinical trials for medicines in blood cancers, using a subset of blood cancer types. While the authors found that in many cases the tool could be applied, they also found that the tool was either unable to be applied or inappropriate to apply to some of the studies. The authors noted that this was because of important differences between solid tumours and blood cancers. </w:t>
      </w:r>
      <w:r w:rsidRPr="00BA13A6">
        <w:t xml:space="preserve">Based on the findings of this study, ESMO and EHA </w:t>
      </w:r>
      <w:r>
        <w:t>have</w:t>
      </w:r>
      <w:r w:rsidRPr="00BA13A6">
        <w:t xml:space="preserve"> committed to develop a version of the score that is robustly validated to grade </w:t>
      </w:r>
      <w:r w:rsidR="000A58CC">
        <w:t>medicines</w:t>
      </w:r>
      <w:r w:rsidR="000A58CC" w:rsidRPr="00BA13A6">
        <w:t xml:space="preserve"> </w:t>
      </w:r>
      <w:r>
        <w:t>for blood cancers</w:t>
      </w:r>
      <w:r w:rsidRPr="00BA13A6">
        <w:t>.</w:t>
      </w:r>
    </w:p>
    <w:p w14:paraId="6EC37417" w14:textId="77777777" w:rsidR="003B51F4" w:rsidRDefault="003B51F4" w:rsidP="003B51F4"/>
    <w:p w14:paraId="5B499210" w14:textId="22441219" w:rsidR="00D34911" w:rsidRDefault="00B12E4F" w:rsidP="003B51F4">
      <w:r>
        <w:t>Another tool used internationally to assess the relative value (based on clinical benefit) of medicines is the World Health Organization</w:t>
      </w:r>
      <w:r w:rsidR="00D34911">
        <w:t>’</w:t>
      </w:r>
      <w:r>
        <w:t xml:space="preserve">s Essential Medicines List </w:t>
      </w:r>
      <w:r w:rsidRPr="00ED04E8">
        <w:t>(</w:t>
      </w:r>
      <w:r>
        <w:t>WHO-</w:t>
      </w:r>
      <w:r w:rsidRPr="00ED04E8">
        <w:t>EML)</w:t>
      </w:r>
      <w:r>
        <w:t>.</w:t>
      </w:r>
      <w:r w:rsidRPr="003B51F4">
        <w:rPr>
          <w:rStyle w:val="FootnoteReference"/>
        </w:rPr>
        <w:footnoteReference w:id="2"/>
      </w:r>
      <w:r w:rsidRPr="00D34911">
        <w:rPr>
          <w:rFonts w:ascii="Calibri" w:hAnsi="Calibri" w:cs="Calibri"/>
        </w:rPr>
        <w:t xml:space="preserve"> </w:t>
      </w:r>
      <w:r w:rsidRPr="00ED04E8">
        <w:t xml:space="preserve">The World Health Organization includes cancer medicines on </w:t>
      </w:r>
      <w:r w:rsidR="00931016">
        <w:t>its</w:t>
      </w:r>
      <w:r w:rsidR="00931016" w:rsidRPr="00ED04E8">
        <w:t xml:space="preserve"> </w:t>
      </w:r>
      <w:r w:rsidRPr="00ED04E8">
        <w:t>model Essential Medicines List (EML)</w:t>
      </w:r>
      <w:r w:rsidRPr="00D34911">
        <w:rPr>
          <w:rFonts w:ascii="Calibri" w:hAnsi="Calibri" w:cs="Calibri"/>
        </w:rPr>
        <w:t xml:space="preserve"> </w:t>
      </w:r>
      <w:r w:rsidRPr="003B51F4">
        <w:t>– for both solid tumours and blood cancers</w:t>
      </w:r>
      <w:r w:rsidR="00D34911" w:rsidRPr="003B51F4">
        <w:t xml:space="preserve"> – </w:t>
      </w:r>
      <w:r w:rsidRPr="003B51F4">
        <w:t>to support decision-making at a policy or programme level, especially in low-resource settings. The intent is to distinguish medicines that should be prioritised for national listing and procurement from those that provide marginal or no benefit (WHO 2020). The EML specifically considers the magnitude of clinical benefit associated with treatment (WHO 2020), and ESMO–MCBS has been used to screen for cancer treatments that warrant consideration for the EML since 2019 (WHO 2020).</w:t>
      </w:r>
    </w:p>
    <w:p w14:paraId="1DF66496" w14:textId="77777777" w:rsidR="00B12E4F" w:rsidRPr="003C12F2" w:rsidRDefault="00B12E4F" w:rsidP="003C12F2">
      <w:pPr>
        <w:pStyle w:val="Heading2"/>
        <w:rPr>
          <w:rFonts w:eastAsiaTheme="majorEastAsia"/>
        </w:rPr>
      </w:pPr>
      <w:bookmarkStart w:id="64" w:name="_Toc99442399"/>
      <w:bookmarkStart w:id="65" w:name="_Toc99443144"/>
      <w:bookmarkStart w:id="66" w:name="_Toc99443555"/>
      <w:bookmarkStart w:id="67" w:name="_Toc99443710"/>
      <w:bookmarkStart w:id="68" w:name="_Toc100739007"/>
      <w:bookmarkStart w:id="69" w:name="_Toc101618148"/>
      <w:bookmarkStart w:id="70" w:name="_Toc97554783"/>
      <w:r w:rsidRPr="003C12F2">
        <w:rPr>
          <w:rFonts w:eastAsiaTheme="majorEastAsia"/>
        </w:rPr>
        <w:lastRenderedPageBreak/>
        <w:t>Countries make decisions about the value of cancer medicines differently</w:t>
      </w:r>
      <w:bookmarkEnd w:id="64"/>
      <w:bookmarkEnd w:id="65"/>
      <w:bookmarkEnd w:id="66"/>
      <w:bookmarkEnd w:id="67"/>
      <w:bookmarkEnd w:id="68"/>
      <w:bookmarkEnd w:id="69"/>
    </w:p>
    <w:p w14:paraId="107D821F" w14:textId="77777777" w:rsidR="00D34911" w:rsidRDefault="00B12E4F" w:rsidP="003B51F4">
      <w:pPr>
        <w:keepNext/>
        <w:keepLines/>
      </w:pPr>
      <w:r w:rsidRPr="00ED04E8">
        <w:t xml:space="preserve">Head-to-head comparisons of the availability of cancer medicines across different countries must be made cautiously, as </w:t>
      </w:r>
      <w:bookmarkEnd w:id="70"/>
      <w:r w:rsidRPr="00ED04E8">
        <w:t>there are large and important differences in how cancer medicines are approved, assessed, funded and implemented across countries. Each of these factors influence</w:t>
      </w:r>
      <w:r>
        <w:t>s</w:t>
      </w:r>
      <w:r w:rsidRPr="00ED04E8">
        <w:t xml:space="preserve"> not just how many and which cancer medicines are made available but also how comprehensive and consistent </w:t>
      </w:r>
      <w:r>
        <w:t>access is.</w:t>
      </w:r>
    </w:p>
    <w:p w14:paraId="1DE88460" w14:textId="77777777" w:rsidR="00B12E4F" w:rsidRPr="00ED04E8" w:rsidRDefault="00B12E4F" w:rsidP="005852F2">
      <w:pPr>
        <w:pStyle w:val="Heading3"/>
      </w:pPr>
      <w:bookmarkStart w:id="71" w:name="_Toc99442400"/>
      <w:bookmarkStart w:id="72" w:name="_Toc99443145"/>
      <w:bookmarkStart w:id="73" w:name="_Toc99443556"/>
      <w:bookmarkStart w:id="74" w:name="_Toc99443711"/>
      <w:bookmarkStart w:id="75" w:name="_Toc99451896"/>
      <w:bookmarkStart w:id="76" w:name="_Toc99456167"/>
      <w:bookmarkStart w:id="77" w:name="_Toc100738306"/>
      <w:bookmarkStart w:id="78" w:name="_Toc100739008"/>
      <w:r w:rsidRPr="00ED04E8">
        <w:t>The approach to medicines funding</w:t>
      </w:r>
      <w:bookmarkEnd w:id="71"/>
      <w:bookmarkEnd w:id="72"/>
      <w:bookmarkEnd w:id="73"/>
      <w:bookmarkEnd w:id="74"/>
      <w:bookmarkEnd w:id="75"/>
      <w:bookmarkEnd w:id="76"/>
      <w:r w:rsidRPr="00ED04E8">
        <w:t xml:space="preserve"> </w:t>
      </w:r>
      <w:r>
        <w:t xml:space="preserve">in </w:t>
      </w:r>
      <w:r w:rsidRPr="00ED04E8">
        <w:t>Aotearoa</w:t>
      </w:r>
      <w:bookmarkEnd w:id="77"/>
      <w:bookmarkEnd w:id="78"/>
    </w:p>
    <w:p w14:paraId="56A864B8" w14:textId="34CC8059" w:rsidR="00740E82" w:rsidRDefault="00B12E4F" w:rsidP="003B51F4">
      <w:pPr>
        <w:rPr>
          <w:lang w:eastAsia="en-NZ"/>
        </w:rPr>
      </w:pPr>
      <w:r w:rsidRPr="003B51F4">
        <w:rPr>
          <w:spacing w:val="-2"/>
        </w:rPr>
        <w:t xml:space="preserve">In Aotearoa (and internationally), a medicine cannot be made generally available to patients until regulatory approval has been granted. Medicines are approved by regulators when the likely benefit of treatment outweighs the likely risk of harm. Unlike most other countries, once a medicine has regulatory approval in Aotearoa, it can be advertised directly to patients. In Aotearoa, Medsafe (New Zealand Medicines and Medical Devices Safety Authority) is the regulatory authority (see </w:t>
      </w:r>
      <w:hyperlink w:anchor="Table_1" w:history="1">
        <w:r w:rsidR="00F41E5F" w:rsidRPr="00F41E5F">
          <w:rPr>
            <w:rStyle w:val="Hyperlink"/>
            <w:spacing w:val="-2"/>
          </w:rPr>
          <w:t>Table 1</w:t>
        </w:r>
      </w:hyperlink>
      <w:r w:rsidRPr="003B51F4">
        <w:rPr>
          <w:spacing w:val="-2"/>
        </w:rPr>
        <w:t>). Medsafe may complete its own entire risk-benefit assessment for regulatory approval or base its assessments on those of other international regulators</w:t>
      </w:r>
      <w:r w:rsidR="00102EAC">
        <w:rPr>
          <w:spacing w:val="-2"/>
        </w:rPr>
        <w:t xml:space="preserve"> (such as the FDA or Australia’s TGA)</w:t>
      </w:r>
      <w:r w:rsidRPr="003B51F4">
        <w:rPr>
          <w:spacing w:val="-2"/>
        </w:rPr>
        <w:t>. Medsafe is not responsible for assessing medicines for funding. In Aotearoa, this responsibility is held by the governmental agency Te Pātaka Whaioranga | Pharmaceutical Management Agency (Pharmac), which assesses and makes decisions about medicine funding and manages the budget for medicines funding. Usually, Pharmac</w:t>
      </w:r>
      <w:r w:rsidR="00D34911" w:rsidRPr="003B51F4">
        <w:rPr>
          <w:spacing w:val="-2"/>
        </w:rPr>
        <w:t>’</w:t>
      </w:r>
      <w:r w:rsidRPr="003B51F4">
        <w:rPr>
          <w:spacing w:val="-2"/>
        </w:rPr>
        <w:t>s assessment occurs after Medsafe approval.</w:t>
      </w:r>
      <w:r w:rsidRPr="003B51F4">
        <w:rPr>
          <w:rStyle w:val="FootnoteReference"/>
          <w:spacing w:val="-2"/>
        </w:rPr>
        <w:footnoteReference w:id="3"/>
      </w:r>
      <w:r w:rsidR="00740E82">
        <w:rPr>
          <w:lang w:eastAsia="en-NZ"/>
        </w:rPr>
        <w:t xml:space="preserve"> </w:t>
      </w:r>
      <w:r>
        <w:rPr>
          <w:lang w:eastAsia="en-NZ"/>
        </w:rPr>
        <w:t>Pharmac has a special parallel assessment path for c</w:t>
      </w:r>
      <w:r w:rsidRPr="00ED04E8">
        <w:rPr>
          <w:lang w:eastAsia="en-NZ"/>
        </w:rPr>
        <w:t xml:space="preserve">ancer medicines </w:t>
      </w:r>
      <w:r>
        <w:rPr>
          <w:lang w:eastAsia="en-NZ"/>
        </w:rPr>
        <w:t xml:space="preserve">(and medicines for rare diseases). Cancer medicines </w:t>
      </w:r>
      <w:r w:rsidRPr="00ED04E8">
        <w:rPr>
          <w:lang w:eastAsia="en-NZ"/>
        </w:rPr>
        <w:t xml:space="preserve">can </w:t>
      </w:r>
      <w:r>
        <w:rPr>
          <w:lang w:eastAsia="en-NZ"/>
        </w:rPr>
        <w:t xml:space="preserve">be </w:t>
      </w:r>
      <w:r w:rsidRPr="00ED04E8">
        <w:rPr>
          <w:lang w:eastAsia="en-NZ"/>
        </w:rPr>
        <w:t xml:space="preserve">considered for funding </w:t>
      </w:r>
      <w:r>
        <w:rPr>
          <w:lang w:eastAsia="en-NZ"/>
        </w:rPr>
        <w:t xml:space="preserve">by Pharmac </w:t>
      </w:r>
      <w:r w:rsidRPr="00ED04E8">
        <w:rPr>
          <w:lang w:eastAsia="en-NZ"/>
        </w:rPr>
        <w:t xml:space="preserve">at the same time as they are </w:t>
      </w:r>
      <w:r>
        <w:rPr>
          <w:lang w:eastAsia="en-NZ"/>
        </w:rPr>
        <w:t xml:space="preserve">undergoing </w:t>
      </w:r>
      <w:r w:rsidRPr="00ED04E8">
        <w:rPr>
          <w:lang w:eastAsia="en-NZ"/>
        </w:rPr>
        <w:t>Medsafe</w:t>
      </w:r>
      <w:r w:rsidR="00D34911">
        <w:rPr>
          <w:lang w:eastAsia="en-NZ"/>
        </w:rPr>
        <w:t>’</w:t>
      </w:r>
      <w:r>
        <w:rPr>
          <w:lang w:eastAsia="en-NZ"/>
        </w:rPr>
        <w:t xml:space="preserve">s regulatory assessment, rather than after Medsafe approval </w:t>
      </w:r>
      <w:r w:rsidRPr="00ED04E8">
        <w:rPr>
          <w:noProof/>
          <w:lang w:eastAsia="en-NZ"/>
        </w:rPr>
        <w:t>(Pharmac 2020a)</w:t>
      </w:r>
      <w:r w:rsidRPr="00ED04E8">
        <w:rPr>
          <w:lang w:eastAsia="en-NZ"/>
        </w:rPr>
        <w:t xml:space="preserve">. </w:t>
      </w:r>
    </w:p>
    <w:p w14:paraId="7552786B" w14:textId="77777777" w:rsidR="00740E82" w:rsidRDefault="00740E82" w:rsidP="003B51F4">
      <w:pPr>
        <w:rPr>
          <w:lang w:eastAsia="en-NZ"/>
        </w:rPr>
      </w:pPr>
    </w:p>
    <w:p w14:paraId="2C5BED7D" w14:textId="152CDE22" w:rsidR="00D34911" w:rsidRDefault="00B12E4F" w:rsidP="003B51F4">
      <w:pPr>
        <w:rPr>
          <w:color w:val="242424"/>
          <w:shd w:val="clear" w:color="auto" w:fill="FFFFFF"/>
          <w:lang w:eastAsia="en-NZ"/>
        </w:rPr>
      </w:pPr>
      <w:r w:rsidRPr="00ED04E8">
        <w:rPr>
          <w:lang w:eastAsia="en-NZ"/>
        </w:rPr>
        <w:t>Pharmaceutical companies, clinicians and consumers can apply to Pharmac for a medicine to be publicly funded. Pharmac</w:t>
      </w:r>
      <w:r w:rsidR="00D34911">
        <w:rPr>
          <w:lang w:eastAsia="en-NZ"/>
        </w:rPr>
        <w:t>’</w:t>
      </w:r>
      <w:r w:rsidRPr="00ED04E8">
        <w:rPr>
          <w:lang w:eastAsia="en-NZ"/>
        </w:rPr>
        <w:t xml:space="preserve">s </w:t>
      </w:r>
      <w:r>
        <w:rPr>
          <w:lang w:eastAsia="en-NZ"/>
        </w:rPr>
        <w:t>external</w:t>
      </w:r>
      <w:r w:rsidRPr="00ED04E8">
        <w:rPr>
          <w:lang w:eastAsia="en-NZ"/>
        </w:rPr>
        <w:t xml:space="preserve"> clinical advisory groups provide advice to Pharmac</w:t>
      </w:r>
      <w:r>
        <w:rPr>
          <w:lang w:eastAsia="en-NZ"/>
        </w:rPr>
        <w:t xml:space="preserve"> on the funding applications it receives,</w:t>
      </w:r>
      <w:r w:rsidRPr="00ED04E8">
        <w:rPr>
          <w:lang w:eastAsia="en-NZ"/>
        </w:rPr>
        <w:t xml:space="preserve"> using a framework that considers need, health benefits, costs and savings</w:t>
      </w:r>
      <w:r>
        <w:rPr>
          <w:lang w:eastAsia="en-NZ"/>
        </w:rPr>
        <w:t>,</w:t>
      </w:r>
      <w:r w:rsidRPr="00ED04E8">
        <w:rPr>
          <w:lang w:eastAsia="en-NZ"/>
        </w:rPr>
        <w:t xml:space="preserve"> and suitability </w:t>
      </w:r>
      <w:r w:rsidRPr="00ED04E8">
        <w:rPr>
          <w:noProof/>
          <w:lang w:eastAsia="en-NZ"/>
        </w:rPr>
        <w:t>(Pharmac 2020b)</w:t>
      </w:r>
      <w:r>
        <w:rPr>
          <w:noProof/>
          <w:lang w:eastAsia="en-NZ"/>
        </w:rPr>
        <w:t>.</w:t>
      </w:r>
      <w:r w:rsidRPr="00ED04E8">
        <w:rPr>
          <w:rFonts w:ascii="Segoe UI" w:hAnsi="Segoe UI" w:cs="Segoe UI"/>
          <w:color w:val="242424"/>
          <w:shd w:val="clear" w:color="auto" w:fill="FFFFFF"/>
          <w:lang w:eastAsia="en-NZ"/>
        </w:rPr>
        <w:t xml:space="preserve"> </w:t>
      </w:r>
      <w:r w:rsidRPr="00ED04E8">
        <w:rPr>
          <w:color w:val="242424"/>
          <w:shd w:val="clear" w:color="auto" w:fill="FFFFFF"/>
          <w:lang w:eastAsia="en-NZ"/>
        </w:rPr>
        <w:t xml:space="preserve">Funding applications are then assessed </w:t>
      </w:r>
      <w:r>
        <w:rPr>
          <w:color w:val="242424"/>
          <w:shd w:val="clear" w:color="auto" w:fill="FFFFFF"/>
          <w:lang w:eastAsia="en-NZ"/>
        </w:rPr>
        <w:t>further</w:t>
      </w:r>
      <w:r w:rsidRPr="00ED04E8">
        <w:rPr>
          <w:color w:val="242424"/>
          <w:shd w:val="clear" w:color="auto" w:fill="FFFFFF"/>
          <w:lang w:eastAsia="en-NZ"/>
        </w:rPr>
        <w:t xml:space="preserve"> by Pharmac and are categorised into three lists: </w:t>
      </w:r>
      <w:r>
        <w:rPr>
          <w:color w:val="242424"/>
          <w:shd w:val="clear" w:color="auto" w:fill="FFFFFF"/>
          <w:lang w:eastAsia="en-NZ"/>
        </w:rPr>
        <w:t>O</w:t>
      </w:r>
      <w:r w:rsidRPr="00ED04E8">
        <w:rPr>
          <w:color w:val="242424"/>
          <w:shd w:val="clear" w:color="auto" w:fill="FFFFFF"/>
          <w:lang w:eastAsia="en-NZ"/>
        </w:rPr>
        <w:t xml:space="preserve">ptions for </w:t>
      </w:r>
      <w:r>
        <w:rPr>
          <w:color w:val="242424"/>
          <w:shd w:val="clear" w:color="auto" w:fill="FFFFFF"/>
          <w:lang w:eastAsia="en-NZ"/>
        </w:rPr>
        <w:t>I</w:t>
      </w:r>
      <w:r w:rsidRPr="00ED04E8">
        <w:rPr>
          <w:color w:val="242424"/>
          <w:shd w:val="clear" w:color="auto" w:fill="FFFFFF"/>
          <w:lang w:eastAsia="en-NZ"/>
        </w:rPr>
        <w:t xml:space="preserve">nvestment (those that would be funded if </w:t>
      </w:r>
      <w:r w:rsidR="00EC2EFB">
        <w:rPr>
          <w:color w:val="242424"/>
          <w:shd w:val="clear" w:color="auto" w:fill="FFFFFF"/>
          <w:lang w:eastAsia="en-NZ"/>
        </w:rPr>
        <w:t>budget allowed</w:t>
      </w:r>
      <w:r w:rsidRPr="00ED04E8">
        <w:rPr>
          <w:color w:val="242424"/>
          <w:shd w:val="clear" w:color="auto" w:fill="FFFFFF"/>
          <w:lang w:eastAsia="en-NZ"/>
        </w:rPr>
        <w:t xml:space="preserve">), </w:t>
      </w:r>
      <w:r>
        <w:rPr>
          <w:color w:val="242424"/>
          <w:shd w:val="clear" w:color="auto" w:fill="FFFFFF"/>
          <w:lang w:eastAsia="en-NZ"/>
        </w:rPr>
        <w:t>O</w:t>
      </w:r>
      <w:r w:rsidRPr="00ED04E8">
        <w:rPr>
          <w:color w:val="242424"/>
          <w:shd w:val="clear" w:color="auto" w:fill="FFFFFF"/>
          <w:lang w:eastAsia="en-NZ"/>
        </w:rPr>
        <w:t xml:space="preserve">nly if </w:t>
      </w:r>
      <w:r>
        <w:rPr>
          <w:color w:val="242424"/>
          <w:shd w:val="clear" w:color="auto" w:fill="FFFFFF"/>
          <w:lang w:eastAsia="en-NZ"/>
        </w:rPr>
        <w:t>C</w:t>
      </w:r>
      <w:r w:rsidRPr="00ED04E8">
        <w:rPr>
          <w:color w:val="242424"/>
          <w:shd w:val="clear" w:color="auto" w:fill="FFFFFF"/>
          <w:lang w:eastAsia="en-NZ"/>
        </w:rPr>
        <w:t xml:space="preserve">ost </w:t>
      </w:r>
      <w:r>
        <w:rPr>
          <w:color w:val="242424"/>
          <w:shd w:val="clear" w:color="auto" w:fill="FFFFFF"/>
          <w:lang w:eastAsia="en-NZ"/>
        </w:rPr>
        <w:t>N</w:t>
      </w:r>
      <w:r w:rsidRPr="00ED04E8">
        <w:rPr>
          <w:color w:val="242424"/>
          <w:shd w:val="clear" w:color="auto" w:fill="FFFFFF"/>
          <w:lang w:eastAsia="en-NZ"/>
        </w:rPr>
        <w:t xml:space="preserve">eutral or </w:t>
      </w:r>
      <w:r>
        <w:rPr>
          <w:color w:val="242424"/>
          <w:shd w:val="clear" w:color="auto" w:fill="FFFFFF"/>
          <w:lang w:eastAsia="en-NZ"/>
        </w:rPr>
        <w:t>C</w:t>
      </w:r>
      <w:r w:rsidRPr="00ED04E8">
        <w:rPr>
          <w:color w:val="242424"/>
          <w:shd w:val="clear" w:color="auto" w:fill="FFFFFF"/>
          <w:lang w:eastAsia="en-NZ"/>
        </w:rPr>
        <w:t xml:space="preserve">ost </w:t>
      </w:r>
      <w:r>
        <w:rPr>
          <w:color w:val="242424"/>
          <w:shd w:val="clear" w:color="auto" w:fill="FFFFFF"/>
          <w:lang w:eastAsia="en-NZ"/>
        </w:rPr>
        <w:t>S</w:t>
      </w:r>
      <w:r w:rsidRPr="00ED04E8">
        <w:rPr>
          <w:color w:val="242424"/>
          <w:shd w:val="clear" w:color="auto" w:fill="FFFFFF"/>
          <w:lang w:eastAsia="en-NZ"/>
        </w:rPr>
        <w:t>aving (those that would be funded if a cost neutral or cost saving deal could be negotiated</w:t>
      </w:r>
      <w:r>
        <w:rPr>
          <w:color w:val="242424"/>
          <w:shd w:val="clear" w:color="auto" w:fill="FFFFFF"/>
          <w:lang w:eastAsia="en-NZ"/>
        </w:rPr>
        <w:t>, generally on the basis that they offer no substantial health benefit over what is currently funded</w:t>
      </w:r>
      <w:r w:rsidRPr="00ED04E8">
        <w:rPr>
          <w:color w:val="242424"/>
          <w:shd w:val="clear" w:color="auto" w:fill="FFFFFF"/>
          <w:lang w:eastAsia="en-NZ"/>
        </w:rPr>
        <w:t xml:space="preserve">) and </w:t>
      </w:r>
      <w:r>
        <w:rPr>
          <w:color w:val="242424"/>
          <w:shd w:val="clear" w:color="auto" w:fill="FFFFFF"/>
          <w:lang w:eastAsia="en-NZ"/>
        </w:rPr>
        <w:t>R</w:t>
      </w:r>
      <w:r w:rsidRPr="00ED04E8">
        <w:rPr>
          <w:color w:val="242424"/>
          <w:shd w:val="clear" w:color="auto" w:fill="FFFFFF"/>
          <w:lang w:eastAsia="en-NZ"/>
        </w:rPr>
        <w:t xml:space="preserve">ecommended for </w:t>
      </w:r>
      <w:r>
        <w:rPr>
          <w:color w:val="242424"/>
          <w:shd w:val="clear" w:color="auto" w:fill="FFFFFF"/>
          <w:lang w:eastAsia="en-NZ"/>
        </w:rPr>
        <w:t>D</w:t>
      </w:r>
      <w:r w:rsidRPr="00ED04E8">
        <w:rPr>
          <w:color w:val="242424"/>
          <w:shd w:val="clear" w:color="auto" w:fill="FFFFFF"/>
          <w:lang w:eastAsia="en-NZ"/>
        </w:rPr>
        <w:t xml:space="preserve">ecline (those that would not be funded, even if </w:t>
      </w:r>
      <w:r w:rsidR="00EC2EFB">
        <w:rPr>
          <w:color w:val="242424"/>
          <w:shd w:val="clear" w:color="auto" w:fill="FFFFFF"/>
          <w:lang w:eastAsia="en-NZ"/>
        </w:rPr>
        <w:t>budget allowed</w:t>
      </w:r>
      <w:r w:rsidRPr="00ED04E8">
        <w:rPr>
          <w:color w:val="242424"/>
          <w:shd w:val="clear" w:color="auto" w:fill="FFFFFF"/>
          <w:lang w:eastAsia="en-NZ"/>
        </w:rPr>
        <w:t xml:space="preserve">, unless new information came to light) </w:t>
      </w:r>
      <w:r>
        <w:rPr>
          <w:noProof/>
          <w:color w:val="242424"/>
          <w:shd w:val="clear" w:color="auto" w:fill="FFFFFF"/>
          <w:lang w:eastAsia="en-NZ"/>
        </w:rPr>
        <w:t>(Pharmac 2021b)</w:t>
      </w:r>
      <w:r w:rsidRPr="00ED04E8">
        <w:rPr>
          <w:color w:val="242424"/>
          <w:shd w:val="clear" w:color="auto" w:fill="FFFFFF"/>
          <w:lang w:eastAsia="en-NZ"/>
        </w:rPr>
        <w:t>.</w:t>
      </w:r>
      <w:r>
        <w:rPr>
          <w:color w:val="242424"/>
          <w:shd w:val="clear" w:color="auto" w:fill="FFFFFF"/>
          <w:lang w:eastAsia="en-NZ"/>
        </w:rPr>
        <w:t xml:space="preserve"> </w:t>
      </w:r>
      <w:r w:rsidRPr="00ED04E8">
        <w:rPr>
          <w:color w:val="242424"/>
          <w:shd w:val="clear" w:color="auto" w:fill="FFFFFF"/>
          <w:lang w:eastAsia="en-NZ"/>
        </w:rPr>
        <w:t xml:space="preserve">The </w:t>
      </w:r>
      <w:r>
        <w:rPr>
          <w:color w:val="242424"/>
          <w:shd w:val="clear" w:color="auto" w:fill="FFFFFF"/>
          <w:lang w:eastAsia="en-NZ"/>
        </w:rPr>
        <w:t>O</w:t>
      </w:r>
      <w:r w:rsidRPr="00ED04E8">
        <w:rPr>
          <w:color w:val="242424"/>
          <w:shd w:val="clear" w:color="auto" w:fill="FFFFFF"/>
          <w:lang w:eastAsia="en-NZ"/>
        </w:rPr>
        <w:t xml:space="preserve">ptions for </w:t>
      </w:r>
      <w:r>
        <w:rPr>
          <w:color w:val="242424"/>
          <w:shd w:val="clear" w:color="auto" w:fill="FFFFFF"/>
          <w:lang w:eastAsia="en-NZ"/>
        </w:rPr>
        <w:t>I</w:t>
      </w:r>
      <w:r w:rsidRPr="00ED04E8">
        <w:rPr>
          <w:color w:val="242424"/>
          <w:shd w:val="clear" w:color="auto" w:fill="FFFFFF"/>
          <w:lang w:eastAsia="en-NZ"/>
        </w:rPr>
        <w:t xml:space="preserve">nvestment list </w:t>
      </w:r>
      <w:r>
        <w:rPr>
          <w:color w:val="242424"/>
          <w:shd w:val="clear" w:color="auto" w:fill="FFFFFF"/>
          <w:lang w:eastAsia="en-NZ"/>
        </w:rPr>
        <w:t>is</w:t>
      </w:r>
      <w:r w:rsidRPr="00ED04E8">
        <w:rPr>
          <w:color w:val="242424"/>
          <w:shd w:val="clear" w:color="auto" w:fill="FFFFFF"/>
          <w:lang w:eastAsia="en-NZ"/>
        </w:rPr>
        <w:t xml:space="preserve"> ranked in order of priority for funding</w:t>
      </w:r>
      <w:r>
        <w:rPr>
          <w:color w:val="242424"/>
          <w:shd w:val="clear" w:color="auto" w:fill="FFFFFF"/>
          <w:lang w:eastAsia="en-NZ"/>
        </w:rPr>
        <w:t xml:space="preserve">, and this </w:t>
      </w:r>
      <w:r w:rsidRPr="00ED04E8">
        <w:rPr>
          <w:color w:val="242424"/>
          <w:shd w:val="clear" w:color="auto" w:fill="FFFFFF"/>
          <w:lang w:eastAsia="en-NZ"/>
        </w:rPr>
        <w:t>order is kept confidential to Pharmac.</w:t>
      </w:r>
      <w:r>
        <w:rPr>
          <w:color w:val="242424"/>
          <w:shd w:val="clear" w:color="auto" w:fill="FFFFFF"/>
          <w:lang w:eastAsia="en-NZ"/>
        </w:rPr>
        <w:t xml:space="preserve"> This confidentiality is to protect Pharmac</w:t>
      </w:r>
      <w:r w:rsidR="00D34911">
        <w:rPr>
          <w:color w:val="242424"/>
          <w:shd w:val="clear" w:color="auto" w:fill="FFFFFF"/>
          <w:lang w:eastAsia="en-NZ"/>
        </w:rPr>
        <w:t>’</w:t>
      </w:r>
      <w:r>
        <w:rPr>
          <w:color w:val="242424"/>
          <w:shd w:val="clear" w:color="auto" w:fill="FFFFFF"/>
          <w:lang w:eastAsia="en-NZ"/>
        </w:rPr>
        <w:t xml:space="preserve">s negotiating position </w:t>
      </w:r>
      <w:r>
        <w:rPr>
          <w:noProof/>
          <w:color w:val="242424"/>
          <w:shd w:val="clear" w:color="auto" w:fill="FFFFFF"/>
          <w:lang w:eastAsia="en-NZ"/>
        </w:rPr>
        <w:t>(Pharmac 2021a)</w:t>
      </w:r>
      <w:r>
        <w:rPr>
          <w:color w:val="242424"/>
          <w:shd w:val="clear" w:color="auto" w:fill="FFFFFF"/>
          <w:lang w:eastAsia="en-NZ"/>
        </w:rPr>
        <w:t>.</w:t>
      </w:r>
      <w:r w:rsidRPr="00ED04E8">
        <w:rPr>
          <w:color w:val="242424"/>
          <w:shd w:val="clear" w:color="auto" w:fill="FFFFFF"/>
          <w:lang w:eastAsia="en-NZ"/>
        </w:rPr>
        <w:t xml:space="preserve"> </w:t>
      </w:r>
      <w:r>
        <w:rPr>
          <w:color w:val="242424"/>
          <w:shd w:val="clear" w:color="auto" w:fill="FFFFFF"/>
          <w:lang w:eastAsia="en-NZ"/>
        </w:rPr>
        <w:t>The applications</w:t>
      </w:r>
      <w:r w:rsidR="00D34911">
        <w:rPr>
          <w:color w:val="242424"/>
          <w:shd w:val="clear" w:color="auto" w:fill="FFFFFF"/>
          <w:lang w:eastAsia="en-NZ"/>
        </w:rPr>
        <w:t>’</w:t>
      </w:r>
      <w:r>
        <w:rPr>
          <w:color w:val="242424"/>
          <w:shd w:val="clear" w:color="auto" w:fill="FFFFFF"/>
          <w:lang w:eastAsia="en-NZ"/>
        </w:rPr>
        <w:t xml:space="preserve"> progress is published on Pharmac</w:t>
      </w:r>
      <w:r w:rsidR="00D34911">
        <w:rPr>
          <w:color w:val="242424"/>
          <w:shd w:val="clear" w:color="auto" w:fill="FFFFFF"/>
          <w:lang w:eastAsia="en-NZ"/>
        </w:rPr>
        <w:t>’</w:t>
      </w:r>
      <w:r>
        <w:rPr>
          <w:color w:val="242424"/>
          <w:shd w:val="clear" w:color="auto" w:fill="FFFFFF"/>
          <w:lang w:eastAsia="en-NZ"/>
        </w:rPr>
        <w:t xml:space="preserve">s Application Tracker, including </w:t>
      </w:r>
      <w:r w:rsidRPr="00ED04E8">
        <w:rPr>
          <w:color w:val="242424"/>
          <w:shd w:val="clear" w:color="auto" w:fill="FFFFFF"/>
          <w:lang w:eastAsia="en-NZ"/>
        </w:rPr>
        <w:t>which of the three lists each funding application has been assigned to.</w:t>
      </w:r>
    </w:p>
    <w:p w14:paraId="27BD227D" w14:textId="1F41A4B4" w:rsidR="00D34911" w:rsidRDefault="00B12E4F" w:rsidP="003B51F4">
      <w:pPr>
        <w:keepNext/>
        <w:keepLines/>
        <w:rPr>
          <w:shd w:val="clear" w:color="auto" w:fill="FFFFFF"/>
          <w:lang w:eastAsia="en-NZ"/>
        </w:rPr>
      </w:pPr>
      <w:r w:rsidRPr="00ED04E8">
        <w:rPr>
          <w:shd w:val="clear" w:color="auto" w:fill="FFFFFF"/>
          <w:lang w:eastAsia="en-NZ"/>
        </w:rPr>
        <w:lastRenderedPageBreak/>
        <w:t>Once a medicine has been ranked as an option for investment, Pharmac is responsible for procur</w:t>
      </w:r>
      <w:r>
        <w:rPr>
          <w:shd w:val="clear" w:color="auto" w:fill="FFFFFF"/>
          <w:lang w:eastAsia="en-NZ"/>
        </w:rPr>
        <w:t>ing</w:t>
      </w:r>
      <w:r w:rsidRPr="00ED04E8">
        <w:rPr>
          <w:shd w:val="clear" w:color="auto" w:fill="FFFFFF"/>
          <w:lang w:eastAsia="en-NZ"/>
        </w:rPr>
        <w:t xml:space="preserve"> the medicine on behalf of district health boards</w:t>
      </w:r>
      <w:r>
        <w:rPr>
          <w:shd w:val="clear" w:color="auto" w:fill="FFFFFF"/>
          <w:lang w:eastAsia="en-NZ"/>
        </w:rPr>
        <w:t xml:space="preserve"> (DHBs)</w:t>
      </w:r>
      <w:r w:rsidR="009D5F19">
        <w:rPr>
          <w:shd w:val="clear" w:color="auto" w:fill="FFFFFF"/>
          <w:lang w:eastAsia="en-NZ"/>
        </w:rPr>
        <w:t>, using the available budget</w:t>
      </w:r>
      <w:r>
        <w:rPr>
          <w:shd w:val="clear" w:color="auto" w:fill="FFFFFF"/>
          <w:lang w:eastAsia="en-NZ"/>
        </w:rPr>
        <w:t xml:space="preserve">. </w:t>
      </w:r>
      <w:r w:rsidRPr="00ED04E8">
        <w:rPr>
          <w:shd w:val="clear" w:color="auto" w:fill="FFFFFF"/>
          <w:lang w:eastAsia="en-NZ"/>
        </w:rPr>
        <w:t xml:space="preserve">Because it </w:t>
      </w:r>
      <w:r>
        <w:rPr>
          <w:shd w:val="clear" w:color="auto" w:fill="FFFFFF"/>
          <w:lang w:eastAsia="en-NZ"/>
        </w:rPr>
        <w:t>negotiates for contracts on a national scale,</w:t>
      </w:r>
      <w:r w:rsidRPr="00ED04E8">
        <w:rPr>
          <w:shd w:val="clear" w:color="auto" w:fill="FFFFFF"/>
          <w:lang w:eastAsia="en-NZ"/>
        </w:rPr>
        <w:t xml:space="preserve"> Pharmac</w:t>
      </w:r>
      <w:r w:rsidR="00D34911">
        <w:rPr>
          <w:shd w:val="clear" w:color="auto" w:fill="FFFFFF"/>
          <w:lang w:eastAsia="en-NZ"/>
        </w:rPr>
        <w:t>’</w:t>
      </w:r>
      <w:r w:rsidRPr="00ED04E8">
        <w:rPr>
          <w:shd w:val="clear" w:color="auto" w:fill="FFFFFF"/>
          <w:lang w:eastAsia="en-NZ"/>
        </w:rPr>
        <w:t xml:space="preserve">s purchasing power means that it can achieve good prices on behalf of Aotearoa – rather than 20 different </w:t>
      </w:r>
      <w:r>
        <w:rPr>
          <w:shd w:val="clear" w:color="auto" w:fill="FFFFFF"/>
          <w:lang w:eastAsia="en-NZ"/>
        </w:rPr>
        <w:t xml:space="preserve">DHBs </w:t>
      </w:r>
      <w:r w:rsidRPr="00ED04E8">
        <w:rPr>
          <w:shd w:val="clear" w:color="auto" w:fill="FFFFFF"/>
          <w:lang w:eastAsia="en-NZ"/>
        </w:rPr>
        <w:t>trying to negotiate with each pharmaceutical supplier.</w:t>
      </w:r>
    </w:p>
    <w:p w14:paraId="1DE0DD32" w14:textId="77777777" w:rsidR="003B51F4" w:rsidRDefault="003B51F4" w:rsidP="003B51F4">
      <w:pPr>
        <w:rPr>
          <w:shd w:val="clear" w:color="auto" w:fill="FFFFFF"/>
          <w:lang w:eastAsia="en-NZ"/>
        </w:rPr>
      </w:pPr>
    </w:p>
    <w:p w14:paraId="56927B17" w14:textId="3ACEA4DE" w:rsidR="00D34911" w:rsidRPr="003B51F4" w:rsidRDefault="00B12E4F" w:rsidP="003B51F4">
      <w:r w:rsidRPr="00ED04E8">
        <w:rPr>
          <w:shd w:val="clear" w:color="auto" w:fill="FFFFFF"/>
          <w:lang w:eastAsia="en-NZ"/>
        </w:rPr>
        <w:t xml:space="preserve">Not all medicines that </w:t>
      </w:r>
      <w:r>
        <w:rPr>
          <w:shd w:val="clear" w:color="auto" w:fill="FFFFFF"/>
          <w:lang w:eastAsia="en-NZ"/>
        </w:rPr>
        <w:t>are</w:t>
      </w:r>
      <w:r w:rsidRPr="00ED04E8">
        <w:rPr>
          <w:shd w:val="clear" w:color="auto" w:fill="FFFFFF"/>
          <w:lang w:eastAsia="en-NZ"/>
        </w:rPr>
        <w:t xml:space="preserve"> ranked on the </w:t>
      </w:r>
      <w:r>
        <w:rPr>
          <w:shd w:val="clear" w:color="auto" w:fill="FFFFFF"/>
          <w:lang w:eastAsia="en-NZ"/>
        </w:rPr>
        <w:t>O</w:t>
      </w:r>
      <w:r w:rsidRPr="00ED04E8">
        <w:rPr>
          <w:shd w:val="clear" w:color="auto" w:fill="FFFFFF"/>
          <w:lang w:eastAsia="en-NZ"/>
        </w:rPr>
        <w:t xml:space="preserve">ptions for </w:t>
      </w:r>
      <w:r>
        <w:rPr>
          <w:shd w:val="clear" w:color="auto" w:fill="FFFFFF"/>
          <w:lang w:eastAsia="en-NZ"/>
        </w:rPr>
        <w:t>I</w:t>
      </w:r>
      <w:r w:rsidRPr="00ED04E8">
        <w:rPr>
          <w:shd w:val="clear" w:color="auto" w:fill="FFFFFF"/>
          <w:lang w:eastAsia="en-NZ"/>
        </w:rPr>
        <w:t>nvestment list are actually funded. This is because Pharmac operates within a fixed budget, set by the Government (NZ</w:t>
      </w:r>
      <w:r>
        <w:rPr>
          <w:shd w:val="clear" w:color="auto" w:fill="FFFFFF"/>
          <w:lang w:eastAsia="en-NZ"/>
        </w:rPr>
        <w:t>$</w:t>
      </w:r>
      <w:r w:rsidRPr="00ED04E8">
        <w:rPr>
          <w:shd w:val="clear" w:color="auto" w:fill="FFFFFF"/>
          <w:lang w:eastAsia="en-NZ"/>
        </w:rPr>
        <w:t xml:space="preserve">1.085 billion for 2021/22 </w:t>
      </w:r>
      <w:r>
        <w:rPr>
          <w:shd w:val="clear" w:color="auto" w:fill="FFFFFF"/>
          <w:lang w:eastAsia="en-NZ"/>
        </w:rPr>
        <w:t>(</w:t>
      </w:r>
      <w:r w:rsidRPr="00ED04E8">
        <w:rPr>
          <w:shd w:val="clear" w:color="auto" w:fill="FFFFFF"/>
          <w:lang w:eastAsia="en-NZ"/>
        </w:rPr>
        <w:t xml:space="preserve">Ministry of Health 2021). </w:t>
      </w:r>
      <w:r>
        <w:rPr>
          <w:shd w:val="clear" w:color="auto" w:fill="FFFFFF"/>
          <w:lang w:eastAsia="en-NZ"/>
        </w:rPr>
        <w:t xml:space="preserve">Pharmac is required by law to stay within its allocated budget for pharmaceuticals </w:t>
      </w:r>
      <w:r>
        <w:rPr>
          <w:noProof/>
          <w:shd w:val="clear" w:color="auto" w:fill="FFFFFF"/>
          <w:lang w:eastAsia="en-NZ"/>
        </w:rPr>
        <w:t>(New Zealand Parliamentary Counsel Office nd</w:t>
      </w:r>
      <w:r w:rsidR="003B51F4">
        <w:rPr>
          <w:noProof/>
          <w:shd w:val="clear" w:color="auto" w:fill="FFFFFF"/>
          <w:lang w:eastAsia="en-NZ"/>
        </w:rPr>
        <w:t>,</w:t>
      </w:r>
      <w:r>
        <w:rPr>
          <w:noProof/>
          <w:shd w:val="clear" w:color="auto" w:fill="FFFFFF"/>
          <w:lang w:eastAsia="en-NZ"/>
        </w:rPr>
        <w:t xml:space="preserve"> Pharmac 2022a)</w:t>
      </w:r>
      <w:r>
        <w:rPr>
          <w:shd w:val="clear" w:color="auto" w:fill="FFFFFF"/>
          <w:lang w:eastAsia="en-NZ"/>
        </w:rPr>
        <w:t xml:space="preserve">. </w:t>
      </w:r>
      <w:r w:rsidRPr="00ED04E8">
        <w:rPr>
          <w:shd w:val="clear" w:color="auto" w:fill="FFFFFF"/>
          <w:lang w:eastAsia="en-NZ"/>
        </w:rPr>
        <w:t xml:space="preserve">This fixed budget </w:t>
      </w:r>
      <w:r>
        <w:rPr>
          <w:shd w:val="clear" w:color="auto" w:fill="FFFFFF"/>
          <w:lang w:eastAsia="en-NZ"/>
        </w:rPr>
        <w:t>is managed on behalf of DHBs and</w:t>
      </w:r>
      <w:r w:rsidRPr="00ED04E8">
        <w:rPr>
          <w:shd w:val="clear" w:color="auto" w:fill="FFFFFF"/>
          <w:lang w:eastAsia="en-NZ"/>
        </w:rPr>
        <w:t xml:space="preserve"> ensures that pharmaceutical spending does not exceed </w:t>
      </w:r>
      <w:r>
        <w:rPr>
          <w:shd w:val="clear" w:color="auto" w:fill="FFFFFF"/>
          <w:lang w:eastAsia="en-NZ"/>
        </w:rPr>
        <w:t>the country</w:t>
      </w:r>
      <w:r w:rsidR="00D34911">
        <w:rPr>
          <w:shd w:val="clear" w:color="auto" w:fill="FFFFFF"/>
          <w:lang w:eastAsia="en-NZ"/>
        </w:rPr>
        <w:t>’</w:t>
      </w:r>
      <w:r>
        <w:rPr>
          <w:shd w:val="clear" w:color="auto" w:fill="FFFFFF"/>
          <w:lang w:eastAsia="en-NZ"/>
        </w:rPr>
        <w:t xml:space="preserve">s </w:t>
      </w:r>
      <w:r w:rsidRPr="00ED04E8">
        <w:rPr>
          <w:shd w:val="clear" w:color="auto" w:fill="FFFFFF"/>
          <w:lang w:eastAsia="en-NZ"/>
        </w:rPr>
        <w:t>ability to pay</w:t>
      </w:r>
      <w:r>
        <w:rPr>
          <w:shd w:val="clear" w:color="auto" w:fill="FFFFFF"/>
          <w:lang w:eastAsia="en-NZ"/>
        </w:rPr>
        <w:t>. Based on gross expenditure estimates, roughly 15</w:t>
      </w:r>
      <w:r w:rsidR="00F64599">
        <w:rPr>
          <w:shd w:val="clear" w:color="auto" w:fill="FFFFFF"/>
          <w:lang w:eastAsia="en-NZ"/>
        </w:rPr>
        <w:t> percent</w:t>
      </w:r>
      <w:r>
        <w:rPr>
          <w:shd w:val="clear" w:color="auto" w:fill="FFFFFF"/>
          <w:lang w:eastAsia="en-NZ"/>
        </w:rPr>
        <w:t xml:space="preserve"> of the pharmaceutical budget is spent on cancer medicines.</w:t>
      </w:r>
      <w:r>
        <w:rPr>
          <w:rStyle w:val="FootnoteReference"/>
          <w:rFonts w:ascii="Calibri" w:hAnsi="Calibri" w:cs="Calibri"/>
          <w:color w:val="242424"/>
          <w:shd w:val="clear" w:color="auto" w:fill="FFFFFF"/>
          <w:lang w:eastAsia="en-NZ"/>
        </w:rPr>
        <w:footnoteReference w:id="4"/>
      </w:r>
      <w:r>
        <w:rPr>
          <w:shd w:val="clear" w:color="auto" w:fill="FFFFFF"/>
          <w:lang w:eastAsia="en-NZ"/>
        </w:rPr>
        <w:t xml:space="preserve"> However,</w:t>
      </w:r>
      <w:r w:rsidRPr="00ED04E8">
        <w:rPr>
          <w:shd w:val="clear" w:color="auto" w:fill="FFFFFF"/>
          <w:lang w:eastAsia="en-NZ"/>
        </w:rPr>
        <w:t xml:space="preserve"> it is not sufficient to pay for all new medicines that are deemed fundable. </w:t>
      </w:r>
      <w:r>
        <w:rPr>
          <w:shd w:val="clear" w:color="auto" w:fill="FFFFFF"/>
          <w:lang w:eastAsia="en-NZ"/>
        </w:rPr>
        <w:t>Current</w:t>
      </w:r>
      <w:r w:rsidRPr="00ED04E8">
        <w:rPr>
          <w:shd w:val="clear" w:color="auto" w:fill="FFFFFF"/>
          <w:lang w:eastAsia="en-NZ"/>
        </w:rPr>
        <w:t xml:space="preserve"> at </w:t>
      </w:r>
      <w:r>
        <w:rPr>
          <w:shd w:val="clear" w:color="auto" w:fill="FFFFFF"/>
          <w:lang w:eastAsia="en-NZ"/>
        </w:rPr>
        <w:t>12 April</w:t>
      </w:r>
      <w:r w:rsidRPr="00ED04E8">
        <w:rPr>
          <w:shd w:val="clear" w:color="auto" w:fill="FFFFFF"/>
          <w:lang w:eastAsia="en-NZ"/>
        </w:rPr>
        <w:t xml:space="preserve"> 2022</w:t>
      </w:r>
      <w:r>
        <w:rPr>
          <w:shd w:val="clear" w:color="auto" w:fill="FFFFFF"/>
          <w:lang w:eastAsia="en-NZ"/>
        </w:rPr>
        <w:t>,</w:t>
      </w:r>
      <w:r w:rsidRPr="00ED04E8">
        <w:rPr>
          <w:shd w:val="clear" w:color="auto" w:fill="FFFFFF"/>
          <w:lang w:eastAsia="en-NZ"/>
        </w:rPr>
        <w:t xml:space="preserve"> there were 12</w:t>
      </w:r>
      <w:r>
        <w:rPr>
          <w:shd w:val="clear" w:color="auto" w:fill="FFFFFF"/>
          <w:lang w:eastAsia="en-NZ"/>
        </w:rPr>
        <w:t>1</w:t>
      </w:r>
      <w:r w:rsidRPr="00ED04E8">
        <w:rPr>
          <w:shd w:val="clear" w:color="auto" w:fill="FFFFFF"/>
          <w:lang w:eastAsia="en-NZ"/>
        </w:rPr>
        <w:t xml:space="preserve"> different applications listed as </w:t>
      </w:r>
      <w:r w:rsidR="00D34911">
        <w:rPr>
          <w:shd w:val="clear" w:color="auto" w:fill="FFFFFF"/>
          <w:lang w:eastAsia="en-NZ"/>
        </w:rPr>
        <w:t>‘</w:t>
      </w:r>
      <w:r>
        <w:rPr>
          <w:shd w:val="clear" w:color="auto" w:fill="FFFFFF"/>
          <w:lang w:eastAsia="en-NZ"/>
        </w:rPr>
        <w:t>O</w:t>
      </w:r>
      <w:r w:rsidRPr="00ED04E8">
        <w:rPr>
          <w:shd w:val="clear" w:color="auto" w:fill="FFFFFF"/>
          <w:lang w:eastAsia="en-NZ"/>
        </w:rPr>
        <w:t xml:space="preserve">ptions for </w:t>
      </w:r>
      <w:r>
        <w:rPr>
          <w:shd w:val="clear" w:color="auto" w:fill="FFFFFF"/>
          <w:lang w:eastAsia="en-NZ"/>
        </w:rPr>
        <w:t>I</w:t>
      </w:r>
      <w:r w:rsidRPr="00ED04E8">
        <w:rPr>
          <w:shd w:val="clear" w:color="auto" w:fill="FFFFFF"/>
          <w:lang w:eastAsia="en-NZ"/>
        </w:rPr>
        <w:t>nvestment</w:t>
      </w:r>
      <w:r w:rsidR="00D34911">
        <w:rPr>
          <w:shd w:val="clear" w:color="auto" w:fill="FFFFFF"/>
          <w:lang w:eastAsia="en-NZ"/>
        </w:rPr>
        <w:t>’</w:t>
      </w:r>
      <w:r>
        <w:rPr>
          <w:shd w:val="clear" w:color="auto" w:fill="FFFFFF"/>
          <w:lang w:eastAsia="en-NZ"/>
        </w:rPr>
        <w:t>, and of these, 49 were for cancer</w:t>
      </w:r>
      <w:r w:rsidR="001E76B6">
        <w:rPr>
          <w:shd w:val="clear" w:color="auto" w:fill="FFFFFF"/>
          <w:lang w:eastAsia="en-NZ"/>
        </w:rPr>
        <w:t xml:space="preserve"> treatments</w:t>
      </w:r>
      <w:r>
        <w:rPr>
          <w:shd w:val="clear" w:color="auto" w:fill="FFFFFF"/>
          <w:lang w:eastAsia="en-NZ"/>
        </w:rPr>
        <w:t>.</w:t>
      </w:r>
    </w:p>
    <w:p w14:paraId="4C88F679" w14:textId="77777777" w:rsidR="003B51F4" w:rsidRDefault="003B51F4" w:rsidP="003B51F4">
      <w:pPr>
        <w:rPr>
          <w:lang w:eastAsia="en-NZ"/>
        </w:rPr>
      </w:pPr>
    </w:p>
    <w:p w14:paraId="3D6466FC" w14:textId="2464B39F" w:rsidR="00D34911" w:rsidRDefault="00B12E4F" w:rsidP="003B51F4">
      <w:pPr>
        <w:rPr>
          <w:lang w:eastAsia="en-NZ"/>
        </w:rPr>
      </w:pPr>
      <w:r w:rsidRPr="00ED04E8">
        <w:rPr>
          <w:lang w:eastAsia="en-NZ"/>
        </w:rPr>
        <w:t xml:space="preserve">Medicines that have been approved for funding by Pharmac are listed on the national Pharmaceutical Schedule. </w:t>
      </w:r>
      <w:r>
        <w:rPr>
          <w:lang w:eastAsia="en-NZ"/>
        </w:rPr>
        <w:t xml:space="preserve">These medicines are then </w:t>
      </w:r>
      <w:r w:rsidRPr="00ED04E8">
        <w:rPr>
          <w:lang w:eastAsia="en-NZ"/>
        </w:rPr>
        <w:t xml:space="preserve">available to all </w:t>
      </w:r>
      <w:r>
        <w:rPr>
          <w:lang w:eastAsia="en-NZ"/>
        </w:rPr>
        <w:t xml:space="preserve">eligible </w:t>
      </w:r>
      <w:r w:rsidRPr="00ED04E8">
        <w:rPr>
          <w:lang w:eastAsia="en-NZ"/>
        </w:rPr>
        <w:t xml:space="preserve">patients </w:t>
      </w:r>
      <w:r>
        <w:rPr>
          <w:lang w:eastAsia="en-NZ"/>
        </w:rPr>
        <w:t xml:space="preserve">who meet any related funding criteria, across public hospital inpatient and outpatient, and community settings. </w:t>
      </w:r>
      <w:r w:rsidRPr="006B3DAF">
        <w:rPr>
          <w:lang w:eastAsia="en-NZ"/>
        </w:rPr>
        <w:t>Patients eligible for publicly funded health and disability services do not have to pay for medicines administered in the hospital or in an outpatient setting at the hospital</w:t>
      </w:r>
      <w:r>
        <w:rPr>
          <w:lang w:eastAsia="en-NZ"/>
        </w:rPr>
        <w:t xml:space="preserve"> </w:t>
      </w:r>
      <w:r>
        <w:rPr>
          <w:noProof/>
          <w:lang w:eastAsia="en-NZ"/>
        </w:rPr>
        <w:t xml:space="preserve">(Jatrana </w:t>
      </w:r>
      <w:r w:rsidR="00C338E8">
        <w:rPr>
          <w:noProof/>
          <w:lang w:eastAsia="en-NZ"/>
        </w:rPr>
        <w:t>et al</w:t>
      </w:r>
      <w:r w:rsidR="003B51F4">
        <w:rPr>
          <w:noProof/>
          <w:lang w:eastAsia="en-NZ"/>
        </w:rPr>
        <w:t xml:space="preserve"> 2</w:t>
      </w:r>
      <w:r>
        <w:rPr>
          <w:noProof/>
          <w:lang w:eastAsia="en-NZ"/>
        </w:rPr>
        <w:t>011)</w:t>
      </w:r>
      <w:r>
        <w:rPr>
          <w:lang w:eastAsia="en-NZ"/>
        </w:rPr>
        <w:t>. H</w:t>
      </w:r>
      <w:r w:rsidRPr="006B3DAF">
        <w:rPr>
          <w:lang w:eastAsia="en-NZ"/>
        </w:rPr>
        <w:t>owever</w:t>
      </w:r>
      <w:r>
        <w:rPr>
          <w:lang w:eastAsia="en-NZ"/>
        </w:rPr>
        <w:t>, they generally</w:t>
      </w:r>
      <w:r w:rsidRPr="006B3DAF">
        <w:rPr>
          <w:lang w:eastAsia="en-NZ"/>
        </w:rPr>
        <w:t xml:space="preserve"> have to pay NZ</w:t>
      </w:r>
      <w:r>
        <w:rPr>
          <w:lang w:eastAsia="en-NZ"/>
        </w:rPr>
        <w:t>$</w:t>
      </w:r>
      <w:r w:rsidRPr="006B3DAF">
        <w:rPr>
          <w:lang w:eastAsia="en-NZ"/>
        </w:rPr>
        <w:t>5 for subsidised medicines on prescription from any pharmacy</w:t>
      </w:r>
      <w:r>
        <w:rPr>
          <w:lang w:eastAsia="en-NZ"/>
        </w:rPr>
        <w:t>,</w:t>
      </w:r>
      <w:r w:rsidRPr="006B3DAF">
        <w:rPr>
          <w:lang w:eastAsia="en-NZ"/>
        </w:rPr>
        <w:t xml:space="preserve"> or NZ</w:t>
      </w:r>
      <w:r>
        <w:rPr>
          <w:lang w:eastAsia="en-NZ"/>
        </w:rPr>
        <w:t>$</w:t>
      </w:r>
      <w:r w:rsidRPr="006B3DAF">
        <w:rPr>
          <w:lang w:eastAsia="en-NZ"/>
        </w:rPr>
        <w:t>15 if it is a specialist prescription from a private specialist.</w:t>
      </w:r>
      <w:r>
        <w:rPr>
          <w:lang w:eastAsia="en-NZ"/>
        </w:rPr>
        <w:t xml:space="preserve"> </w:t>
      </w:r>
      <w:r>
        <w:rPr>
          <w:noProof/>
        </w:rPr>
        <w:t>Patients and their whānau who have collected 20 prescription items (NZ$100) in a year do not have to pay for any new prescriptions until the following year under the prescription subsidy scheme (New Zealand Government 2021).</w:t>
      </w:r>
      <w:r>
        <w:rPr>
          <w:lang w:eastAsia="en-NZ"/>
        </w:rPr>
        <w:t xml:space="preserve"> </w:t>
      </w:r>
      <w:r w:rsidRPr="00ED04E8">
        <w:rPr>
          <w:lang w:eastAsia="en-NZ"/>
        </w:rPr>
        <w:t>The</w:t>
      </w:r>
      <w:r>
        <w:rPr>
          <w:lang w:eastAsia="en-NZ"/>
        </w:rPr>
        <w:t>re are key differences in how medicines are funded in Aotearoa compared to other countries, as outlined below.</w:t>
      </w:r>
    </w:p>
    <w:p w14:paraId="6B8776CD" w14:textId="77777777" w:rsidR="00D34911" w:rsidRDefault="00B12E4F" w:rsidP="005852F2">
      <w:pPr>
        <w:pStyle w:val="Heading3"/>
      </w:pPr>
      <w:bookmarkStart w:id="79" w:name="_Toc99442401"/>
      <w:bookmarkStart w:id="80" w:name="_Toc99443146"/>
      <w:bookmarkStart w:id="81" w:name="_Toc99443557"/>
      <w:bookmarkStart w:id="82" w:name="_Toc99443712"/>
      <w:bookmarkStart w:id="83" w:name="_Toc99451897"/>
      <w:bookmarkStart w:id="84" w:name="_Toc99456168"/>
      <w:bookmarkStart w:id="85" w:name="_Toc100738307"/>
      <w:bookmarkStart w:id="86" w:name="_Toc100739009"/>
      <w:r w:rsidRPr="00ED04E8">
        <w:lastRenderedPageBreak/>
        <w:t>There is international variation in the value assessment</w:t>
      </w:r>
      <w:r>
        <w:t xml:space="preserve">, funding and procurement </w:t>
      </w:r>
      <w:r w:rsidRPr="00ED04E8">
        <w:t>of cancer medicines</w:t>
      </w:r>
      <w:bookmarkEnd w:id="79"/>
      <w:bookmarkEnd w:id="80"/>
      <w:bookmarkEnd w:id="81"/>
      <w:bookmarkEnd w:id="82"/>
      <w:bookmarkEnd w:id="83"/>
      <w:bookmarkEnd w:id="84"/>
      <w:bookmarkEnd w:id="85"/>
      <w:bookmarkEnd w:id="86"/>
    </w:p>
    <w:p w14:paraId="46E58045" w14:textId="77777777" w:rsidR="00D34911" w:rsidRDefault="00B12E4F" w:rsidP="005909C0">
      <w:pPr>
        <w:keepNext/>
        <w:keepLines/>
      </w:pPr>
      <w:r>
        <w:t xml:space="preserve">In Aotearoa, a single agency (Pharmac) assesses medicines for funding, decides which medicines are to be funded, and then funds and procures them. This is different to other countries that Aotearoa is often compared against (such as Australia, Canada, the UK and USA), where multiple separate entities look after each of these functions. In fact, Pharmac is the only government agency in the world that takes this approach </w:t>
      </w:r>
      <w:r>
        <w:rPr>
          <w:noProof/>
        </w:rPr>
        <w:t>(Pharmac, 2022c)</w:t>
      </w:r>
      <w:r>
        <w:t>.</w:t>
      </w:r>
    </w:p>
    <w:p w14:paraId="6D76C32F" w14:textId="77777777" w:rsidR="003B51F4" w:rsidRDefault="003B51F4" w:rsidP="00DE75CB">
      <w:pPr>
        <w:keepNext/>
      </w:pPr>
    </w:p>
    <w:p w14:paraId="002AE667" w14:textId="77777777" w:rsidR="00D34911" w:rsidRDefault="00B12E4F" w:rsidP="005909C0">
      <w:pPr>
        <w:keepNext/>
        <w:keepLines/>
      </w:pPr>
      <w:r>
        <w:t>For example, i</w:t>
      </w:r>
      <w:r w:rsidRPr="00ED04E8">
        <w:t xml:space="preserve">n Australia, the Pharmaceutical Benefits Advisory Committee (PBAC) assesses submissions and recommends which medicines should be publicly funded. The Australian </w:t>
      </w:r>
      <w:r>
        <w:t>G</w:t>
      </w:r>
      <w:r w:rsidRPr="00ED04E8">
        <w:t xml:space="preserve">overnment reviews PBAC recommendations and decides which medicines </w:t>
      </w:r>
      <w:r>
        <w:t xml:space="preserve">should be </w:t>
      </w:r>
      <w:r w:rsidRPr="00ED04E8">
        <w:t>included on the government-subsidised Pharmaceutical Benefits Scheme (PBS).</w:t>
      </w:r>
      <w:r>
        <w:t xml:space="preserve"> Similarly, i</w:t>
      </w:r>
      <w:r w:rsidRPr="00ED04E8">
        <w:t xml:space="preserve">n Canada, the pan-Canadian Oncology Drug Review </w:t>
      </w:r>
      <w:r>
        <w:t xml:space="preserve">(pCODR) assesses new cancer medicines and then makes </w:t>
      </w:r>
      <w:r w:rsidRPr="00ED04E8">
        <w:t>funding recommendations to each Canadian province or territory (except Quebec</w:t>
      </w:r>
      <w:r w:rsidR="003B51F4">
        <w:t>).</w:t>
      </w:r>
      <w:r w:rsidRPr="003B51F4">
        <w:rPr>
          <w:rStyle w:val="FootnoteReference"/>
          <w:rFonts w:eastAsia="MS Gothic"/>
        </w:rPr>
        <w:footnoteReference w:id="5"/>
      </w:r>
      <w:r>
        <w:t xml:space="preserve"> Each </w:t>
      </w:r>
      <w:r w:rsidRPr="00ED04E8">
        <w:t xml:space="preserve">jurisdiction makes </w:t>
      </w:r>
      <w:r>
        <w:t>its</w:t>
      </w:r>
      <w:r w:rsidRPr="00ED04E8">
        <w:t xml:space="preserve"> own decisions about which medicines to fund.</w:t>
      </w:r>
    </w:p>
    <w:p w14:paraId="08D5A881" w14:textId="77777777" w:rsidR="003B51F4" w:rsidRDefault="003B51F4" w:rsidP="003B51F4"/>
    <w:p w14:paraId="07AE215A" w14:textId="77777777" w:rsidR="00D34911" w:rsidRDefault="00B12E4F" w:rsidP="003B51F4">
      <w:r>
        <w:t>In t</w:t>
      </w:r>
      <w:r w:rsidRPr="00ED04E8">
        <w:t xml:space="preserve">he </w:t>
      </w:r>
      <w:r>
        <w:t>UK</w:t>
      </w:r>
      <w:r w:rsidRPr="00ED04E8">
        <w:t xml:space="preserve">, England, Wales, Scotland and Northern Ireland have individual assessment and funding arrangements. For instance, the National Institute for Health and Care Excellence (NICE) </w:t>
      </w:r>
      <w:r>
        <w:t>makes</w:t>
      </w:r>
      <w:r w:rsidRPr="00ED04E8">
        <w:t xml:space="preserve"> the value assessments and </w:t>
      </w:r>
      <w:r>
        <w:t>delivers</w:t>
      </w:r>
      <w:r w:rsidRPr="00ED04E8">
        <w:t xml:space="preserve"> recommendations on which medicines should be funded by the National Health Service (NHS) in England (and usually Northern Ireland and generally Wales</w:t>
      </w:r>
      <w:r w:rsidRPr="003B51F4">
        <w:rPr>
          <w:rStyle w:val="FootnoteReference"/>
        </w:rPr>
        <w:footnoteReference w:id="6"/>
      </w:r>
      <w:r w:rsidRPr="00ED04E8">
        <w:t xml:space="preserve"> also). It is then up to individual NHS clinical commissioning groups to arrange funding of the medicines</w:t>
      </w:r>
      <w:r>
        <w:t xml:space="preserve">. </w:t>
      </w:r>
      <w:r w:rsidRPr="00ED04E8">
        <w:t>The US</w:t>
      </w:r>
      <w:r>
        <w:t>A</w:t>
      </w:r>
      <w:r w:rsidRPr="00ED04E8">
        <w:t xml:space="preserve"> has a complicated health care system comprising private insurers and public health coverage. Individual funders (eg, insurance companies and </w:t>
      </w:r>
      <w:r>
        <w:t xml:space="preserve">state </w:t>
      </w:r>
      <w:r w:rsidRPr="00ED04E8">
        <w:t>government</w:t>
      </w:r>
      <w:r>
        <w:t>s</w:t>
      </w:r>
      <w:r w:rsidRPr="00ED04E8">
        <w:t xml:space="preserve">) </w:t>
      </w:r>
      <w:r>
        <w:t xml:space="preserve">negotiate with </w:t>
      </w:r>
      <w:r w:rsidRPr="00ED04E8">
        <w:t xml:space="preserve">pharmaceutical companies </w:t>
      </w:r>
      <w:r>
        <w:t xml:space="preserve">on the </w:t>
      </w:r>
      <w:r w:rsidRPr="00ED04E8">
        <w:t xml:space="preserve">best price at which to fund medicines for individual patients. The exception is the national Medicare </w:t>
      </w:r>
      <w:r>
        <w:t xml:space="preserve">health insurance </w:t>
      </w:r>
      <w:r w:rsidRPr="00ED04E8">
        <w:t>program</w:t>
      </w:r>
      <w:r>
        <w:t xml:space="preserve">me, </w:t>
      </w:r>
      <w:r w:rsidRPr="00ED04E8">
        <w:t xml:space="preserve">which is legally required to pay for any medicine approved by the FDA without negotiation on price </w:t>
      </w:r>
      <w:r w:rsidRPr="00ED04E8">
        <w:rPr>
          <w:noProof/>
        </w:rPr>
        <w:t xml:space="preserve">(Kantarjian </w:t>
      </w:r>
      <w:r>
        <w:rPr>
          <w:noProof/>
        </w:rPr>
        <w:t>and</w:t>
      </w:r>
      <w:r w:rsidRPr="00ED04E8">
        <w:rPr>
          <w:noProof/>
        </w:rPr>
        <w:t xml:space="preserve"> Rajkumar 2015)</w:t>
      </w:r>
      <w:r w:rsidRPr="00ED04E8">
        <w:t>.</w:t>
      </w:r>
    </w:p>
    <w:p w14:paraId="3E423C4C" w14:textId="77777777" w:rsidR="003B51F4" w:rsidRDefault="003B51F4" w:rsidP="003B51F4">
      <w:pPr>
        <w:rPr>
          <w:lang w:eastAsia="en-NZ"/>
        </w:rPr>
      </w:pPr>
    </w:p>
    <w:p w14:paraId="0E100C8D" w14:textId="77777777" w:rsidR="00D34911" w:rsidRDefault="00B12E4F" w:rsidP="003B51F4">
      <w:r>
        <w:rPr>
          <w:lang w:eastAsia="en-NZ"/>
        </w:rPr>
        <w:t>Pharmac</w:t>
      </w:r>
      <w:r w:rsidR="00D34911">
        <w:rPr>
          <w:lang w:eastAsia="en-NZ"/>
        </w:rPr>
        <w:t>’</w:t>
      </w:r>
      <w:r>
        <w:rPr>
          <w:lang w:eastAsia="en-NZ"/>
        </w:rPr>
        <w:t xml:space="preserve">s </w:t>
      </w:r>
      <w:r w:rsidRPr="00ED04E8">
        <w:rPr>
          <w:lang w:eastAsia="en-NZ"/>
        </w:rPr>
        <w:t xml:space="preserve">fixed pharmaceutical budget is a key </w:t>
      </w:r>
      <w:r>
        <w:rPr>
          <w:lang w:eastAsia="en-NZ"/>
        </w:rPr>
        <w:t xml:space="preserve">distinction of </w:t>
      </w:r>
      <w:r w:rsidRPr="00ED04E8">
        <w:rPr>
          <w:lang w:eastAsia="en-NZ"/>
        </w:rPr>
        <w:t>medicine funding in Aotearoa</w:t>
      </w:r>
      <w:r>
        <w:rPr>
          <w:lang w:eastAsia="en-NZ"/>
        </w:rPr>
        <w:t xml:space="preserve"> compared with these other countries – new medicines can only be funded using the savings achieved from medicines that are already funded, or if the Government approves an increase to the fixed budget. For example, in Australia, the </w:t>
      </w:r>
      <w:r>
        <w:t xml:space="preserve">PBAC </w:t>
      </w:r>
      <w:r w:rsidRPr="00ED04E8">
        <w:t>considers each new medicine on its own merit</w:t>
      </w:r>
      <w:r>
        <w:t>,</w:t>
      </w:r>
      <w:r w:rsidRPr="00ED04E8">
        <w:t xml:space="preserve"> and the PBS budget can expand to accommodate new medicines. </w:t>
      </w:r>
      <w:r>
        <w:t>This results in</w:t>
      </w:r>
      <w:r w:rsidRPr="00ED04E8">
        <w:t xml:space="preserve"> access to </w:t>
      </w:r>
      <w:r>
        <w:t>more</w:t>
      </w:r>
      <w:r w:rsidRPr="00ED04E8">
        <w:t xml:space="preserve"> new medicines </w:t>
      </w:r>
      <w:r>
        <w:t>in Australia</w:t>
      </w:r>
      <w:r w:rsidRPr="00ED04E8">
        <w:t xml:space="preserve"> (compared </w:t>
      </w:r>
      <w:r>
        <w:t>with</w:t>
      </w:r>
      <w:r w:rsidRPr="00ED04E8">
        <w:t xml:space="preserve"> Aotearoa), along with an expanding pharmaceutical budget</w:t>
      </w:r>
      <w:r>
        <w:t xml:space="preserve"> </w:t>
      </w:r>
      <w:r>
        <w:rPr>
          <w:noProof/>
        </w:rPr>
        <w:t xml:space="preserve">(Babar </w:t>
      </w:r>
      <w:r w:rsidR="00C338E8">
        <w:rPr>
          <w:noProof/>
        </w:rPr>
        <w:t>et al</w:t>
      </w:r>
      <w:r w:rsidR="003B51F4">
        <w:rPr>
          <w:noProof/>
        </w:rPr>
        <w:t xml:space="preserve"> 2</w:t>
      </w:r>
      <w:r>
        <w:rPr>
          <w:noProof/>
        </w:rPr>
        <w:t>019)</w:t>
      </w:r>
      <w:r w:rsidRPr="00ED04E8">
        <w:t>.</w:t>
      </w:r>
      <w:r>
        <w:t xml:space="preserve"> Similarly, the UK does not have a capped medicines budget, however, various policies aim to control pharmaceutical spending, including a robust cost-effectiveness assessment by NICE before it recommends a medicine for use, and contractual agreements between the NHS and pharmaceutical companies </w:t>
      </w:r>
      <w:r>
        <w:rPr>
          <w:noProof/>
        </w:rPr>
        <w:t>(Rodwin 2021)</w:t>
      </w:r>
      <w:r>
        <w:t>.</w:t>
      </w:r>
    </w:p>
    <w:p w14:paraId="55D49860" w14:textId="77777777" w:rsidR="00B12E4F" w:rsidRPr="00ED04E8" w:rsidRDefault="00B12E4F" w:rsidP="005852F2">
      <w:pPr>
        <w:pStyle w:val="Heading3"/>
      </w:pPr>
      <w:bookmarkStart w:id="87" w:name="_Toc97554786"/>
      <w:bookmarkStart w:id="88" w:name="_Toc99442402"/>
      <w:bookmarkStart w:id="89" w:name="_Toc99443147"/>
      <w:bookmarkStart w:id="90" w:name="_Toc99443558"/>
      <w:bookmarkStart w:id="91" w:name="_Toc99443713"/>
      <w:bookmarkStart w:id="92" w:name="_Toc99451898"/>
      <w:bookmarkStart w:id="93" w:name="_Toc99456169"/>
      <w:bookmarkStart w:id="94" w:name="_Toc100738308"/>
      <w:bookmarkStart w:id="95" w:name="_Toc100739010"/>
      <w:r w:rsidRPr="00ED04E8">
        <w:lastRenderedPageBreak/>
        <w:t>There is international variation in coverage, co-payments and out-of-pocket costs</w:t>
      </w:r>
      <w:bookmarkEnd w:id="87"/>
      <w:bookmarkEnd w:id="88"/>
      <w:bookmarkEnd w:id="89"/>
      <w:bookmarkEnd w:id="90"/>
      <w:bookmarkEnd w:id="91"/>
      <w:bookmarkEnd w:id="92"/>
      <w:bookmarkEnd w:id="93"/>
      <w:bookmarkEnd w:id="94"/>
      <w:bookmarkEnd w:id="95"/>
    </w:p>
    <w:p w14:paraId="57E68679" w14:textId="77777777" w:rsidR="00D34911" w:rsidRDefault="00B12E4F" w:rsidP="00222AA7">
      <w:pPr>
        <w:rPr>
          <w:lang w:eastAsia="en-NZ"/>
        </w:rPr>
      </w:pPr>
      <w:r w:rsidRPr="00ED04E8">
        <w:rPr>
          <w:lang w:eastAsia="en-NZ"/>
        </w:rPr>
        <w:t xml:space="preserve">In general, there is greater universal availability of medicines </w:t>
      </w:r>
      <w:r>
        <w:rPr>
          <w:lang w:eastAsia="en-NZ"/>
        </w:rPr>
        <w:t xml:space="preserve">in Aotearoa </w:t>
      </w:r>
      <w:r w:rsidRPr="00ED04E8">
        <w:rPr>
          <w:lang w:eastAsia="en-NZ"/>
        </w:rPr>
        <w:t xml:space="preserve">once listed in the Pharmaceutical Schedule, with no inter-jurisdiction differences or differences by cancer treatment settings. Out-of-pocket costs </w:t>
      </w:r>
      <w:r>
        <w:rPr>
          <w:lang w:eastAsia="en-NZ"/>
        </w:rPr>
        <w:t>– that is, the amount that an individual person has to pay towards their treatment</w:t>
      </w:r>
      <w:r w:rsidR="00D34911">
        <w:rPr>
          <w:lang w:eastAsia="en-NZ"/>
        </w:rPr>
        <w:t xml:space="preserve"> – </w:t>
      </w:r>
      <w:r w:rsidRPr="00ED04E8">
        <w:rPr>
          <w:lang w:eastAsia="en-NZ"/>
        </w:rPr>
        <w:t xml:space="preserve">are also significantly lower in Aotearoa compared </w:t>
      </w:r>
      <w:r>
        <w:rPr>
          <w:lang w:eastAsia="en-NZ"/>
        </w:rPr>
        <w:t>with</w:t>
      </w:r>
      <w:r w:rsidRPr="00ED04E8">
        <w:rPr>
          <w:lang w:eastAsia="en-NZ"/>
        </w:rPr>
        <w:t xml:space="preserve"> other countries.</w:t>
      </w:r>
    </w:p>
    <w:p w14:paraId="41C1A381" w14:textId="77777777" w:rsidR="00222AA7" w:rsidRDefault="00222AA7" w:rsidP="00222AA7">
      <w:pPr>
        <w:rPr>
          <w:lang w:eastAsia="en-NZ"/>
        </w:rPr>
      </w:pPr>
    </w:p>
    <w:p w14:paraId="3CAA53A5" w14:textId="77777777" w:rsidR="00B12E4F" w:rsidRDefault="00B12E4F" w:rsidP="00222AA7">
      <w:r w:rsidRPr="00222AA7">
        <w:t>For example, in Australia, a medicine funded via the PBS is available to anyone who meets the funding criteria in the community</w:t>
      </w:r>
      <w:r w:rsidRPr="00ED04E8">
        <w:t xml:space="preserve"> and hospital outpatient setting but not </w:t>
      </w:r>
      <w:r>
        <w:t xml:space="preserve">in </w:t>
      </w:r>
      <w:r w:rsidRPr="00ED04E8">
        <w:t>the inpatient setting</w:t>
      </w:r>
      <w:r>
        <w:t xml:space="preserve">, where </w:t>
      </w:r>
      <w:r w:rsidRPr="00ED04E8">
        <w:t xml:space="preserve">individual hospitals or hospital networks decide which medicines are funded for inpatient use. </w:t>
      </w:r>
      <w:r>
        <w:t>Intravenous</w:t>
      </w:r>
      <w:r w:rsidRPr="00ED04E8">
        <w:t xml:space="preserve"> chemotherapy is free for inpatients at public hospitals, but </w:t>
      </w:r>
      <w:r>
        <w:t>i</w:t>
      </w:r>
      <w:r w:rsidRPr="00ED04E8">
        <w:t>n some states or territories, there may be out-of-pocket costs for cancer treatments administered in outpatient infusion clinics</w:t>
      </w:r>
      <w:r>
        <w:t xml:space="preserve">. </w:t>
      </w:r>
      <w:r w:rsidRPr="00ED04E8">
        <w:t>Most outpatient prescription medicines are subsided via the PBS, and patients may expect to pay up to NZ</w:t>
      </w:r>
      <w:r>
        <w:t>$</w:t>
      </w:r>
      <w:r w:rsidRPr="00ED04E8">
        <w:t>45</w:t>
      </w:r>
      <w:r>
        <w:t xml:space="preserve">. </w:t>
      </w:r>
      <w:r w:rsidRPr="00ED04E8">
        <w:t xml:space="preserve">Although the cost of many cancer medicines </w:t>
      </w:r>
      <w:r>
        <w:t>is</w:t>
      </w:r>
      <w:r w:rsidRPr="00ED04E8">
        <w:t xml:space="preserve"> subsidised for those with a current Medicare</w:t>
      </w:r>
      <w:r w:rsidRPr="00222AA7">
        <w:rPr>
          <w:rStyle w:val="FootnoteReference"/>
        </w:rPr>
        <w:footnoteReference w:id="7"/>
      </w:r>
      <w:r w:rsidRPr="00ED04E8">
        <w:t xml:space="preserve"> card, out-of-pocket costs can still be substantial for patients </w:t>
      </w:r>
      <w:r w:rsidRPr="00ED04E8">
        <w:rPr>
          <w:noProof/>
        </w:rPr>
        <w:t xml:space="preserve">(Gordon </w:t>
      </w:r>
      <w:r w:rsidR="00C338E8">
        <w:rPr>
          <w:noProof/>
        </w:rPr>
        <w:t>et al</w:t>
      </w:r>
      <w:r w:rsidR="003B51F4">
        <w:rPr>
          <w:noProof/>
        </w:rPr>
        <w:t xml:space="preserve"> 2</w:t>
      </w:r>
      <w:r w:rsidRPr="00ED04E8">
        <w:rPr>
          <w:noProof/>
        </w:rPr>
        <w:t>018)</w:t>
      </w:r>
      <w:r w:rsidRPr="00ED04E8">
        <w:t xml:space="preserve">. </w:t>
      </w:r>
      <w:r>
        <w:t>These differences may have important implications for equitable access to medicines.</w:t>
      </w:r>
    </w:p>
    <w:p w14:paraId="6D57BB3A" w14:textId="77777777" w:rsidR="00222AA7" w:rsidRDefault="00222AA7" w:rsidP="00222AA7"/>
    <w:p w14:paraId="59B69B8D" w14:textId="77777777" w:rsidR="00D34911" w:rsidRDefault="00B12E4F" w:rsidP="00222AA7">
      <w:r w:rsidRPr="00ED04E8">
        <w:t>In Canada, medicines prescribed outside the hospital are not covered by the universal health insurance system. There is no national standard for prescription medicine coverage, and patients can access medicines either through government</w:t>
      </w:r>
      <w:r>
        <w:t>-</w:t>
      </w:r>
      <w:r w:rsidRPr="00ED04E8">
        <w:t>funded plans</w:t>
      </w:r>
      <w:r>
        <w:t xml:space="preserve"> or</w:t>
      </w:r>
      <w:r w:rsidRPr="00ED04E8">
        <w:t xml:space="preserve"> private health insurance coverage or </w:t>
      </w:r>
      <w:r>
        <w:t xml:space="preserve">they </w:t>
      </w:r>
      <w:r w:rsidRPr="00ED04E8">
        <w:t>pay directly out</w:t>
      </w:r>
      <w:r>
        <w:t xml:space="preserve"> </w:t>
      </w:r>
      <w:r w:rsidRPr="00ED04E8">
        <w:t>of</w:t>
      </w:r>
      <w:r>
        <w:t xml:space="preserve"> their own </w:t>
      </w:r>
      <w:r w:rsidRPr="00ED04E8">
        <w:t xml:space="preserve">pocket. Each province offers </w:t>
      </w:r>
      <w:r>
        <w:t>its</w:t>
      </w:r>
      <w:r w:rsidRPr="00ED04E8">
        <w:t xml:space="preserve"> own government</w:t>
      </w:r>
      <w:r>
        <w:t>-</w:t>
      </w:r>
      <w:r w:rsidRPr="00ED04E8">
        <w:t>funded programme that can cover medicines for eligible individuals, based on age, income and/or medical condition. However, some may have to pay the full cost of prescription medicines, and even those with insurance may still need to bear some or all the costs of their medicines.</w:t>
      </w:r>
    </w:p>
    <w:p w14:paraId="4D7A5740" w14:textId="77777777" w:rsidR="00222AA7" w:rsidRDefault="00222AA7" w:rsidP="00222AA7"/>
    <w:p w14:paraId="697202B9" w14:textId="77777777" w:rsidR="00D34911" w:rsidRDefault="00B12E4F" w:rsidP="00222AA7">
      <w:r w:rsidRPr="00ED04E8">
        <w:t xml:space="preserve">There are differences across the </w:t>
      </w:r>
      <w:r>
        <w:t>UK</w:t>
      </w:r>
      <w:r w:rsidRPr="00ED04E8">
        <w:t xml:space="preserve"> in cost-sharing arrangements with patients for prescription drugs, apart from medicines prescribed in NHS hospitals </w:t>
      </w:r>
      <w:r>
        <w:t>that</w:t>
      </w:r>
      <w:r w:rsidRPr="00ED04E8">
        <w:t xml:space="preserve"> are free of charge. In Scotland, Wales and Northern Ireland</w:t>
      </w:r>
      <w:r>
        <w:t>,</w:t>
      </w:r>
      <w:r w:rsidRPr="00ED04E8">
        <w:t xml:space="preserve"> there is no charge for outpatient prescriptions. In England, people </w:t>
      </w:r>
      <w:r>
        <w:t>who</w:t>
      </w:r>
      <w:r w:rsidRPr="00ED04E8">
        <w:t xml:space="preserve"> are receiving treatment for cancer are eligible for free NHS prescriptions with a medical exemption certificate for five years.</w:t>
      </w:r>
    </w:p>
    <w:p w14:paraId="55DF5031" w14:textId="77777777" w:rsidR="00222AA7" w:rsidRDefault="00222AA7" w:rsidP="00222AA7"/>
    <w:p w14:paraId="73145199" w14:textId="77777777" w:rsidR="00D34911" w:rsidRDefault="00B12E4F" w:rsidP="00222AA7">
      <w:r w:rsidRPr="00ED04E8">
        <w:t>In the USA, approximately 10</w:t>
      </w:r>
      <w:r w:rsidR="00F64599">
        <w:t> percent</w:t>
      </w:r>
      <w:r w:rsidRPr="00ED04E8">
        <w:t xml:space="preserve"> of the population (31.1 million people) were uninsured in 2021 </w:t>
      </w:r>
      <w:r w:rsidRPr="00ED04E8">
        <w:rPr>
          <w:noProof/>
        </w:rPr>
        <w:t xml:space="preserve">(Cohen </w:t>
      </w:r>
      <w:r w:rsidR="00C338E8">
        <w:rPr>
          <w:noProof/>
        </w:rPr>
        <w:t>et al</w:t>
      </w:r>
      <w:r w:rsidR="003B51F4">
        <w:rPr>
          <w:noProof/>
        </w:rPr>
        <w:t xml:space="preserve"> 2</w:t>
      </w:r>
      <w:r w:rsidRPr="00ED04E8">
        <w:rPr>
          <w:noProof/>
        </w:rPr>
        <w:t>021)</w:t>
      </w:r>
      <w:r w:rsidRPr="00ED04E8">
        <w:t>, and many with insurance still incur high co</w:t>
      </w:r>
      <w:r w:rsidR="00222AA7">
        <w:noBreakHyphen/>
      </w:r>
      <w:r w:rsidRPr="00ED04E8">
        <w:t xml:space="preserve">payments and out-of-pocket payments for medicines. High out-of-pocket costs for medicines </w:t>
      </w:r>
      <w:r>
        <w:t>presents</w:t>
      </w:r>
      <w:r w:rsidRPr="00ED04E8">
        <w:t xml:space="preserve"> a major concern for many </w:t>
      </w:r>
      <w:r>
        <w:t>people with cancer</w:t>
      </w:r>
      <w:r w:rsidRPr="00ED04E8">
        <w:t xml:space="preserve">, and vary greatly depending on insurance and type of treatment received. </w:t>
      </w:r>
      <w:r>
        <w:t>The results can be financially catastrophic for some cancer patients in the US, even for basic treatments.</w:t>
      </w:r>
    </w:p>
    <w:p w14:paraId="1324456E" w14:textId="7DFD0BBA" w:rsidR="00D34911" w:rsidRDefault="00B12E4F" w:rsidP="00222AA7">
      <w:pPr>
        <w:keepNext/>
        <w:keepLines/>
        <w:rPr>
          <w:lang w:eastAsia="en-NZ"/>
        </w:rPr>
      </w:pPr>
      <w:r>
        <w:rPr>
          <w:lang w:eastAsia="en-NZ"/>
        </w:rPr>
        <w:lastRenderedPageBreak/>
        <w:t xml:space="preserve">Although there is greater availability of cancer medicines in Aotearoa once funded, and lower out-of-pocket costs, this does not necessarily guarantee accessibility, especially for Māori and Pacific peoples </w:t>
      </w:r>
      <w:r>
        <w:rPr>
          <w:noProof/>
          <w:lang w:eastAsia="en-NZ"/>
        </w:rPr>
        <w:t>(Goodyear-Smith and Ashton 2019)</w:t>
      </w:r>
      <w:r>
        <w:rPr>
          <w:lang w:eastAsia="en-NZ"/>
        </w:rPr>
        <w:t>. For example, if a funded medicine needs to be given by infusion in a specialised infusion centre, but the person who needs it lives far away</w:t>
      </w:r>
      <w:r w:rsidR="001A729B">
        <w:rPr>
          <w:lang w:eastAsia="en-NZ"/>
        </w:rPr>
        <w:t xml:space="preserve"> an</w:t>
      </w:r>
      <w:r w:rsidR="00383EE8">
        <w:rPr>
          <w:lang w:eastAsia="en-NZ"/>
        </w:rPr>
        <w:t xml:space="preserve">d </w:t>
      </w:r>
      <w:r>
        <w:rPr>
          <w:lang w:eastAsia="en-NZ"/>
        </w:rPr>
        <w:t>does not have access to transport or accommodation</w:t>
      </w:r>
      <w:r w:rsidR="00383EE8">
        <w:rPr>
          <w:lang w:eastAsia="en-NZ"/>
        </w:rPr>
        <w:t xml:space="preserve">, </w:t>
      </w:r>
      <w:r>
        <w:rPr>
          <w:lang w:eastAsia="en-NZ"/>
        </w:rPr>
        <w:t>then the medicine is available, but not accessible.</w:t>
      </w:r>
    </w:p>
    <w:p w14:paraId="6FB7DA0D" w14:textId="77777777" w:rsidR="001A21DE" w:rsidRDefault="001A21DE" w:rsidP="00222AA7">
      <w:pPr>
        <w:keepNext/>
        <w:keepLines/>
        <w:rPr>
          <w:lang w:eastAsia="en-NZ"/>
        </w:rPr>
      </w:pPr>
    </w:p>
    <w:p w14:paraId="12E35CF3" w14:textId="2F164E76" w:rsidR="00B12E4F" w:rsidRDefault="00222AA7" w:rsidP="00222AA7">
      <w:pPr>
        <w:pStyle w:val="Table"/>
      </w:pPr>
      <w:bookmarkStart w:id="96" w:name="Table_1"/>
      <w:bookmarkStart w:id="97" w:name="_Ref101269369"/>
      <w:bookmarkStart w:id="98" w:name="_Toc101365595"/>
      <w:bookmarkEnd w:id="96"/>
      <w:r>
        <w:t>Table </w:t>
      </w:r>
      <w:r w:rsidR="0056499C">
        <w:fldChar w:fldCharType="begin"/>
      </w:r>
      <w:r w:rsidR="0056499C">
        <w:instrText xml:space="preserve"> SEQ Table \* ARABIC </w:instrText>
      </w:r>
      <w:r w:rsidR="0056499C">
        <w:fldChar w:fldCharType="separate"/>
      </w:r>
      <w:r w:rsidR="00386819">
        <w:rPr>
          <w:noProof/>
        </w:rPr>
        <w:t>1</w:t>
      </w:r>
      <w:r w:rsidR="0056499C">
        <w:rPr>
          <w:noProof/>
        </w:rPr>
        <w:fldChar w:fldCharType="end"/>
      </w:r>
      <w:bookmarkEnd w:id="97"/>
      <w:r w:rsidR="00B12E4F" w:rsidRPr="001F3BAB">
        <w:t>: Summary of entities responsible for the regulation, value assessment, funding and procurement of new medicines, by country</w:t>
      </w:r>
      <w:bookmarkEnd w:id="9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134"/>
        <w:gridCol w:w="2268"/>
        <w:gridCol w:w="2658"/>
        <w:gridCol w:w="2020"/>
      </w:tblGrid>
      <w:tr w:rsidR="00222AA7" w:rsidRPr="00222AA7" w14:paraId="204EFED6" w14:textId="77777777" w:rsidTr="00222AA7">
        <w:trPr>
          <w:cantSplit/>
        </w:trPr>
        <w:tc>
          <w:tcPr>
            <w:tcW w:w="1134" w:type="dxa"/>
            <w:tcBorders>
              <w:top w:val="nil"/>
              <w:bottom w:val="nil"/>
            </w:tcBorders>
            <w:shd w:val="clear" w:color="auto" w:fill="C2D9BA"/>
          </w:tcPr>
          <w:p w14:paraId="37718F26" w14:textId="77777777" w:rsidR="00222AA7" w:rsidRPr="00222AA7" w:rsidRDefault="00222AA7" w:rsidP="00222AA7">
            <w:pPr>
              <w:pStyle w:val="TableText"/>
              <w:ind w:right="113"/>
              <w:rPr>
                <w:b/>
              </w:rPr>
            </w:pPr>
            <w:r w:rsidRPr="00222AA7">
              <w:rPr>
                <w:b/>
              </w:rPr>
              <w:t>Country</w:t>
            </w:r>
          </w:p>
        </w:tc>
        <w:tc>
          <w:tcPr>
            <w:tcW w:w="2268" w:type="dxa"/>
            <w:tcBorders>
              <w:top w:val="nil"/>
              <w:bottom w:val="nil"/>
            </w:tcBorders>
            <w:shd w:val="clear" w:color="auto" w:fill="C2D9BA"/>
          </w:tcPr>
          <w:p w14:paraId="1A8D797A" w14:textId="77777777" w:rsidR="00222AA7" w:rsidRPr="00222AA7" w:rsidRDefault="00222AA7" w:rsidP="00222AA7">
            <w:pPr>
              <w:pStyle w:val="TableText"/>
              <w:ind w:right="113"/>
              <w:rPr>
                <w:b/>
              </w:rPr>
            </w:pPr>
            <w:r w:rsidRPr="00222AA7">
              <w:rPr>
                <w:b/>
              </w:rPr>
              <w:t>Medicines regulator</w:t>
            </w:r>
          </w:p>
        </w:tc>
        <w:tc>
          <w:tcPr>
            <w:tcW w:w="2658" w:type="dxa"/>
            <w:tcBorders>
              <w:top w:val="nil"/>
              <w:bottom w:val="nil"/>
            </w:tcBorders>
            <w:shd w:val="clear" w:color="auto" w:fill="C2D9BA"/>
          </w:tcPr>
          <w:p w14:paraId="4079FA89" w14:textId="77777777" w:rsidR="00222AA7" w:rsidRPr="00222AA7" w:rsidRDefault="00222AA7" w:rsidP="00222AA7">
            <w:pPr>
              <w:pStyle w:val="TableText"/>
              <w:ind w:right="113"/>
              <w:rPr>
                <w:b/>
              </w:rPr>
            </w:pPr>
            <w:r w:rsidRPr="00222AA7">
              <w:rPr>
                <w:b/>
              </w:rPr>
              <w:t>Medicines value assessment and recommendation for funding</w:t>
            </w:r>
          </w:p>
        </w:tc>
        <w:tc>
          <w:tcPr>
            <w:tcW w:w="2020" w:type="dxa"/>
            <w:tcBorders>
              <w:top w:val="nil"/>
              <w:bottom w:val="nil"/>
            </w:tcBorders>
            <w:shd w:val="clear" w:color="auto" w:fill="C2D9BA"/>
          </w:tcPr>
          <w:p w14:paraId="228D42F9" w14:textId="77777777" w:rsidR="00222AA7" w:rsidRPr="00222AA7" w:rsidRDefault="00222AA7" w:rsidP="00C56A35">
            <w:pPr>
              <w:pStyle w:val="TableText"/>
              <w:rPr>
                <w:b/>
              </w:rPr>
            </w:pPr>
            <w:r w:rsidRPr="00222AA7">
              <w:rPr>
                <w:b/>
              </w:rPr>
              <w:t>National medicines procurement and contracting</w:t>
            </w:r>
          </w:p>
        </w:tc>
      </w:tr>
      <w:tr w:rsidR="00222AA7" w14:paraId="7535B224" w14:textId="77777777" w:rsidTr="00222AA7">
        <w:trPr>
          <w:cantSplit/>
        </w:trPr>
        <w:tc>
          <w:tcPr>
            <w:tcW w:w="1134" w:type="dxa"/>
            <w:tcBorders>
              <w:top w:val="nil"/>
              <w:bottom w:val="single" w:sz="4" w:space="0" w:color="C2D9BA"/>
            </w:tcBorders>
            <w:shd w:val="clear" w:color="auto" w:fill="auto"/>
          </w:tcPr>
          <w:p w14:paraId="119309F3" w14:textId="77777777" w:rsidR="00222AA7" w:rsidRPr="002D7CE2" w:rsidRDefault="00222AA7" w:rsidP="00222AA7">
            <w:pPr>
              <w:pStyle w:val="TableText"/>
              <w:ind w:right="113"/>
            </w:pPr>
            <w:r w:rsidRPr="002D7CE2">
              <w:t>Aotearoa</w:t>
            </w:r>
          </w:p>
        </w:tc>
        <w:tc>
          <w:tcPr>
            <w:tcW w:w="2268" w:type="dxa"/>
            <w:tcBorders>
              <w:top w:val="nil"/>
              <w:bottom w:val="single" w:sz="4" w:space="0" w:color="C2D9BA"/>
            </w:tcBorders>
            <w:shd w:val="clear" w:color="auto" w:fill="auto"/>
          </w:tcPr>
          <w:p w14:paraId="50F15737" w14:textId="77777777" w:rsidR="00222AA7" w:rsidRPr="002D7CE2" w:rsidRDefault="00222AA7" w:rsidP="00222AA7">
            <w:pPr>
              <w:pStyle w:val="TableText"/>
              <w:ind w:right="113"/>
            </w:pPr>
            <w:r w:rsidRPr="002D7CE2">
              <w:t>Medsafe</w:t>
            </w:r>
          </w:p>
        </w:tc>
        <w:tc>
          <w:tcPr>
            <w:tcW w:w="2658" w:type="dxa"/>
            <w:tcBorders>
              <w:top w:val="nil"/>
              <w:bottom w:val="single" w:sz="4" w:space="0" w:color="C2D9BA"/>
            </w:tcBorders>
            <w:shd w:val="clear" w:color="auto" w:fill="auto"/>
          </w:tcPr>
          <w:p w14:paraId="55ABABB3" w14:textId="77777777" w:rsidR="00222AA7" w:rsidRPr="002D7CE2" w:rsidRDefault="00222AA7" w:rsidP="00222AA7">
            <w:pPr>
              <w:pStyle w:val="TableText"/>
              <w:ind w:right="113"/>
            </w:pPr>
            <w:r w:rsidRPr="002D7CE2">
              <w:t>Pharmac</w:t>
            </w:r>
          </w:p>
        </w:tc>
        <w:tc>
          <w:tcPr>
            <w:tcW w:w="2020" w:type="dxa"/>
            <w:tcBorders>
              <w:top w:val="nil"/>
              <w:bottom w:val="single" w:sz="4" w:space="0" w:color="C2D9BA"/>
            </w:tcBorders>
            <w:shd w:val="clear" w:color="auto" w:fill="auto"/>
          </w:tcPr>
          <w:p w14:paraId="35E6E03F" w14:textId="77777777" w:rsidR="00222AA7" w:rsidRPr="002D7CE2" w:rsidRDefault="00222AA7" w:rsidP="00C56A35">
            <w:pPr>
              <w:pStyle w:val="TableText"/>
            </w:pPr>
            <w:r>
              <w:t xml:space="preserve">Yes – </w:t>
            </w:r>
            <w:r w:rsidRPr="002D7CE2">
              <w:t>Pharmac</w:t>
            </w:r>
          </w:p>
        </w:tc>
      </w:tr>
      <w:tr w:rsidR="00222AA7" w14:paraId="10AFCB25" w14:textId="77777777" w:rsidTr="00222AA7">
        <w:trPr>
          <w:cantSplit/>
        </w:trPr>
        <w:tc>
          <w:tcPr>
            <w:tcW w:w="1134" w:type="dxa"/>
            <w:tcBorders>
              <w:top w:val="single" w:sz="4" w:space="0" w:color="C2D9BA"/>
              <w:bottom w:val="single" w:sz="4" w:space="0" w:color="C2D9BA"/>
            </w:tcBorders>
            <w:shd w:val="clear" w:color="auto" w:fill="auto"/>
          </w:tcPr>
          <w:p w14:paraId="28000671" w14:textId="77777777" w:rsidR="00222AA7" w:rsidRPr="002D7CE2" w:rsidRDefault="00222AA7" w:rsidP="00222AA7">
            <w:pPr>
              <w:pStyle w:val="TableText"/>
              <w:ind w:right="113"/>
            </w:pPr>
            <w:r w:rsidRPr="002D7CE2">
              <w:t>Australia</w:t>
            </w:r>
          </w:p>
        </w:tc>
        <w:tc>
          <w:tcPr>
            <w:tcW w:w="2268" w:type="dxa"/>
            <w:tcBorders>
              <w:top w:val="single" w:sz="4" w:space="0" w:color="C2D9BA"/>
              <w:bottom w:val="single" w:sz="4" w:space="0" w:color="C2D9BA"/>
            </w:tcBorders>
            <w:shd w:val="clear" w:color="auto" w:fill="auto"/>
          </w:tcPr>
          <w:p w14:paraId="2403DE2A" w14:textId="77777777" w:rsidR="00222AA7" w:rsidRPr="002D7CE2" w:rsidRDefault="00222AA7" w:rsidP="00222AA7">
            <w:pPr>
              <w:pStyle w:val="TableText"/>
              <w:ind w:right="113"/>
            </w:pPr>
            <w:r>
              <w:t>Therapeutic Goods Administration (</w:t>
            </w:r>
            <w:r w:rsidRPr="002D7CE2">
              <w:t>TGA</w:t>
            </w:r>
            <w:r>
              <w:t>)</w:t>
            </w:r>
          </w:p>
        </w:tc>
        <w:tc>
          <w:tcPr>
            <w:tcW w:w="2658" w:type="dxa"/>
            <w:tcBorders>
              <w:top w:val="single" w:sz="4" w:space="0" w:color="C2D9BA"/>
              <w:bottom w:val="single" w:sz="4" w:space="0" w:color="C2D9BA"/>
            </w:tcBorders>
            <w:shd w:val="clear" w:color="auto" w:fill="auto"/>
          </w:tcPr>
          <w:p w14:paraId="436EC52D" w14:textId="77777777" w:rsidR="00222AA7" w:rsidRPr="002D7CE2" w:rsidRDefault="00222AA7" w:rsidP="00222AA7">
            <w:pPr>
              <w:pStyle w:val="TableText"/>
              <w:ind w:right="113"/>
            </w:pPr>
            <w:r>
              <w:t>Pharmaceutical Benefits Advisory Committee (</w:t>
            </w:r>
            <w:r w:rsidRPr="002D7CE2">
              <w:t>PBAC</w:t>
            </w:r>
            <w:r>
              <w:t>)</w:t>
            </w:r>
          </w:p>
        </w:tc>
        <w:tc>
          <w:tcPr>
            <w:tcW w:w="2020" w:type="dxa"/>
            <w:tcBorders>
              <w:top w:val="single" w:sz="4" w:space="0" w:color="C2D9BA"/>
              <w:bottom w:val="single" w:sz="4" w:space="0" w:color="C2D9BA"/>
            </w:tcBorders>
            <w:shd w:val="clear" w:color="auto" w:fill="auto"/>
          </w:tcPr>
          <w:p w14:paraId="0B8F39F9" w14:textId="77777777" w:rsidR="00222AA7" w:rsidRPr="002D7CE2" w:rsidRDefault="00222AA7" w:rsidP="00C56A35">
            <w:pPr>
              <w:pStyle w:val="TableText"/>
            </w:pPr>
            <w:r>
              <w:t xml:space="preserve">Yes – </w:t>
            </w:r>
            <w:r w:rsidRPr="002D7CE2">
              <w:t>Australian Government</w:t>
            </w:r>
            <w:r>
              <w:t xml:space="preserve"> / Department of Health</w:t>
            </w:r>
          </w:p>
        </w:tc>
      </w:tr>
      <w:tr w:rsidR="00222AA7" w14:paraId="5E621702" w14:textId="77777777" w:rsidTr="00222AA7">
        <w:trPr>
          <w:cantSplit/>
        </w:trPr>
        <w:tc>
          <w:tcPr>
            <w:tcW w:w="1134" w:type="dxa"/>
            <w:tcBorders>
              <w:top w:val="single" w:sz="4" w:space="0" w:color="C2D9BA"/>
              <w:bottom w:val="single" w:sz="4" w:space="0" w:color="C2D9BA"/>
            </w:tcBorders>
            <w:shd w:val="clear" w:color="auto" w:fill="auto"/>
          </w:tcPr>
          <w:p w14:paraId="4310FB12" w14:textId="77777777" w:rsidR="00222AA7" w:rsidRPr="002D7CE2" w:rsidRDefault="00222AA7" w:rsidP="00222AA7">
            <w:pPr>
              <w:pStyle w:val="TableText"/>
              <w:ind w:right="113"/>
            </w:pPr>
            <w:r w:rsidRPr="002D7CE2">
              <w:t>Canada</w:t>
            </w:r>
          </w:p>
        </w:tc>
        <w:tc>
          <w:tcPr>
            <w:tcW w:w="2268" w:type="dxa"/>
            <w:tcBorders>
              <w:top w:val="single" w:sz="4" w:space="0" w:color="C2D9BA"/>
              <w:bottom w:val="single" w:sz="4" w:space="0" w:color="C2D9BA"/>
            </w:tcBorders>
            <w:shd w:val="clear" w:color="auto" w:fill="auto"/>
          </w:tcPr>
          <w:p w14:paraId="7D7CB6F4" w14:textId="77777777" w:rsidR="00222AA7" w:rsidRPr="002D7CE2" w:rsidRDefault="00222AA7" w:rsidP="00222AA7">
            <w:pPr>
              <w:pStyle w:val="TableText"/>
              <w:ind w:right="113"/>
            </w:pPr>
            <w:r>
              <w:t>Health Canada</w:t>
            </w:r>
          </w:p>
        </w:tc>
        <w:tc>
          <w:tcPr>
            <w:tcW w:w="2658" w:type="dxa"/>
            <w:tcBorders>
              <w:top w:val="single" w:sz="4" w:space="0" w:color="C2D9BA"/>
              <w:bottom w:val="single" w:sz="4" w:space="0" w:color="C2D9BA"/>
            </w:tcBorders>
            <w:shd w:val="clear" w:color="auto" w:fill="auto"/>
          </w:tcPr>
          <w:p w14:paraId="3483B18B" w14:textId="77777777" w:rsidR="00222AA7" w:rsidRDefault="00222AA7" w:rsidP="00222AA7">
            <w:pPr>
              <w:pStyle w:val="TableText"/>
              <w:ind w:right="113"/>
            </w:pPr>
            <w:r w:rsidRPr="00ED04E8">
              <w:t>pan-Canadian Oncology Drug Review (pCODR)</w:t>
            </w:r>
            <w:r>
              <w:t xml:space="preserve"> (all provinces/territories except Quebec)</w:t>
            </w:r>
          </w:p>
          <w:p w14:paraId="3B3EE18F" w14:textId="77777777" w:rsidR="00222AA7" w:rsidRPr="002D7CE2" w:rsidRDefault="00222AA7" w:rsidP="00222AA7">
            <w:pPr>
              <w:pStyle w:val="TableText"/>
              <w:ind w:right="113"/>
            </w:pPr>
            <w:r w:rsidRPr="009D3291">
              <w:t>Institut national d</w:t>
            </w:r>
            <w:r>
              <w:t>’</w:t>
            </w:r>
            <w:r w:rsidRPr="009D3291">
              <w:t xml:space="preserve">excellence en santé et en services sociaux </w:t>
            </w:r>
            <w:r>
              <w:t>(INESSS) for Quebec</w:t>
            </w:r>
          </w:p>
        </w:tc>
        <w:tc>
          <w:tcPr>
            <w:tcW w:w="2020" w:type="dxa"/>
            <w:tcBorders>
              <w:top w:val="single" w:sz="4" w:space="0" w:color="C2D9BA"/>
              <w:bottom w:val="single" w:sz="4" w:space="0" w:color="C2D9BA"/>
            </w:tcBorders>
            <w:shd w:val="clear" w:color="auto" w:fill="auto"/>
          </w:tcPr>
          <w:p w14:paraId="76601066" w14:textId="77777777" w:rsidR="00222AA7" w:rsidRPr="002D7CE2" w:rsidRDefault="00222AA7" w:rsidP="00C56A35">
            <w:pPr>
              <w:pStyle w:val="TableText"/>
            </w:pPr>
            <w:r>
              <w:t>No single entity – various public and private funders</w:t>
            </w:r>
          </w:p>
        </w:tc>
      </w:tr>
      <w:tr w:rsidR="00222AA7" w14:paraId="403ACF48" w14:textId="77777777" w:rsidTr="00222AA7">
        <w:trPr>
          <w:cantSplit/>
        </w:trPr>
        <w:tc>
          <w:tcPr>
            <w:tcW w:w="1134" w:type="dxa"/>
            <w:tcBorders>
              <w:top w:val="single" w:sz="4" w:space="0" w:color="C2D9BA"/>
              <w:bottom w:val="single" w:sz="4" w:space="0" w:color="C2D9BA"/>
            </w:tcBorders>
            <w:shd w:val="clear" w:color="auto" w:fill="auto"/>
          </w:tcPr>
          <w:p w14:paraId="74198E9A" w14:textId="77777777" w:rsidR="00222AA7" w:rsidRPr="002D7CE2" w:rsidRDefault="00222AA7" w:rsidP="00222AA7">
            <w:pPr>
              <w:pStyle w:val="TableText"/>
              <w:ind w:right="113"/>
            </w:pPr>
            <w:r w:rsidRPr="002D7CE2">
              <w:t>United Kingdom</w:t>
            </w:r>
          </w:p>
        </w:tc>
        <w:tc>
          <w:tcPr>
            <w:tcW w:w="2268" w:type="dxa"/>
            <w:tcBorders>
              <w:top w:val="single" w:sz="4" w:space="0" w:color="C2D9BA"/>
              <w:bottom w:val="single" w:sz="4" w:space="0" w:color="C2D9BA"/>
            </w:tcBorders>
            <w:shd w:val="clear" w:color="auto" w:fill="auto"/>
          </w:tcPr>
          <w:p w14:paraId="138092D9" w14:textId="77777777" w:rsidR="00222AA7" w:rsidRPr="002D7CE2" w:rsidRDefault="00222AA7" w:rsidP="00222AA7">
            <w:pPr>
              <w:pStyle w:val="TableText"/>
              <w:ind w:right="113"/>
            </w:pPr>
            <w:r>
              <w:t>Medicines and Healthcare Products Regulatory Agency (</w:t>
            </w:r>
            <w:r w:rsidRPr="002D7CE2">
              <w:t>MHRA</w:t>
            </w:r>
            <w:r>
              <w:t>)</w:t>
            </w:r>
            <w:r w:rsidRPr="002D7CE2">
              <w:t xml:space="preserve"> (also previously </w:t>
            </w:r>
            <w:r>
              <w:t>European Medicines Agency</w:t>
            </w:r>
            <w:r w:rsidRPr="002D7CE2">
              <w:t>)</w:t>
            </w:r>
          </w:p>
        </w:tc>
        <w:tc>
          <w:tcPr>
            <w:tcW w:w="2658" w:type="dxa"/>
            <w:tcBorders>
              <w:top w:val="single" w:sz="4" w:space="0" w:color="C2D9BA"/>
              <w:bottom w:val="single" w:sz="4" w:space="0" w:color="C2D9BA"/>
            </w:tcBorders>
            <w:shd w:val="clear" w:color="auto" w:fill="auto"/>
          </w:tcPr>
          <w:p w14:paraId="468E4DB2" w14:textId="77777777" w:rsidR="00222AA7" w:rsidRPr="002D7CE2" w:rsidRDefault="00222AA7" w:rsidP="00222AA7">
            <w:pPr>
              <w:pStyle w:val="TableText"/>
              <w:ind w:right="113"/>
            </w:pPr>
            <w:r>
              <w:t>National Institute for Health Care and Excellence (</w:t>
            </w:r>
            <w:r w:rsidRPr="002D7CE2">
              <w:t>NICE</w:t>
            </w:r>
            <w:r>
              <w:t>)</w:t>
            </w:r>
          </w:p>
        </w:tc>
        <w:tc>
          <w:tcPr>
            <w:tcW w:w="2020" w:type="dxa"/>
            <w:tcBorders>
              <w:top w:val="single" w:sz="4" w:space="0" w:color="C2D9BA"/>
              <w:bottom w:val="single" w:sz="4" w:space="0" w:color="C2D9BA"/>
            </w:tcBorders>
            <w:shd w:val="clear" w:color="auto" w:fill="auto"/>
          </w:tcPr>
          <w:p w14:paraId="5C478EB6" w14:textId="77777777" w:rsidR="00222AA7" w:rsidRPr="002D7CE2" w:rsidRDefault="00222AA7" w:rsidP="00C56A35">
            <w:pPr>
              <w:pStyle w:val="TableText"/>
            </w:pPr>
            <w:r>
              <w:t xml:space="preserve">No – various </w:t>
            </w:r>
            <w:r w:rsidRPr="002D7CE2">
              <w:t xml:space="preserve">NHS </w:t>
            </w:r>
            <w:r>
              <w:t>commissioners, including NHS England clinical commissioning groups</w:t>
            </w:r>
          </w:p>
        </w:tc>
      </w:tr>
      <w:tr w:rsidR="00222AA7" w14:paraId="69E0AB32" w14:textId="77777777" w:rsidTr="00222AA7">
        <w:trPr>
          <w:cantSplit/>
        </w:trPr>
        <w:tc>
          <w:tcPr>
            <w:tcW w:w="1134" w:type="dxa"/>
            <w:tcBorders>
              <w:top w:val="single" w:sz="4" w:space="0" w:color="C2D9BA"/>
              <w:bottom w:val="single" w:sz="4" w:space="0" w:color="C2D9BA"/>
            </w:tcBorders>
            <w:shd w:val="clear" w:color="auto" w:fill="auto"/>
          </w:tcPr>
          <w:p w14:paraId="2B2EDDF7" w14:textId="77777777" w:rsidR="00222AA7" w:rsidRPr="002D7CE2" w:rsidRDefault="00222AA7" w:rsidP="00222AA7">
            <w:pPr>
              <w:pStyle w:val="TableText"/>
              <w:ind w:right="113"/>
            </w:pPr>
            <w:r>
              <w:t>United States of America</w:t>
            </w:r>
          </w:p>
        </w:tc>
        <w:tc>
          <w:tcPr>
            <w:tcW w:w="2268" w:type="dxa"/>
            <w:tcBorders>
              <w:top w:val="single" w:sz="4" w:space="0" w:color="C2D9BA"/>
              <w:bottom w:val="single" w:sz="4" w:space="0" w:color="C2D9BA"/>
            </w:tcBorders>
            <w:shd w:val="clear" w:color="auto" w:fill="auto"/>
          </w:tcPr>
          <w:p w14:paraId="40061A48" w14:textId="77777777" w:rsidR="00222AA7" w:rsidRDefault="00222AA7" w:rsidP="00222AA7">
            <w:pPr>
              <w:pStyle w:val="TableText"/>
              <w:ind w:right="113"/>
            </w:pPr>
            <w:r>
              <w:t>Food and Drug Administration (FDA)</w:t>
            </w:r>
          </w:p>
        </w:tc>
        <w:tc>
          <w:tcPr>
            <w:tcW w:w="2658" w:type="dxa"/>
            <w:tcBorders>
              <w:top w:val="single" w:sz="4" w:space="0" w:color="C2D9BA"/>
              <w:bottom w:val="single" w:sz="4" w:space="0" w:color="C2D9BA"/>
            </w:tcBorders>
            <w:shd w:val="clear" w:color="auto" w:fill="auto"/>
          </w:tcPr>
          <w:p w14:paraId="452B15EC" w14:textId="77777777" w:rsidR="00222AA7" w:rsidRPr="002D7CE2" w:rsidRDefault="00222AA7" w:rsidP="00222AA7">
            <w:pPr>
              <w:pStyle w:val="TableText"/>
              <w:ind w:right="113"/>
            </w:pPr>
            <w:r>
              <w:t>Various</w:t>
            </w:r>
          </w:p>
        </w:tc>
        <w:tc>
          <w:tcPr>
            <w:tcW w:w="2020" w:type="dxa"/>
            <w:tcBorders>
              <w:top w:val="single" w:sz="4" w:space="0" w:color="C2D9BA"/>
              <w:bottom w:val="single" w:sz="4" w:space="0" w:color="C2D9BA"/>
            </w:tcBorders>
            <w:shd w:val="clear" w:color="auto" w:fill="auto"/>
          </w:tcPr>
          <w:p w14:paraId="20F4C971" w14:textId="77777777" w:rsidR="00222AA7" w:rsidRPr="002D7CE2" w:rsidRDefault="00222AA7" w:rsidP="00C56A35">
            <w:pPr>
              <w:pStyle w:val="TableText"/>
            </w:pPr>
            <w:r>
              <w:t>No single entity – various public and private funders</w:t>
            </w:r>
          </w:p>
        </w:tc>
      </w:tr>
    </w:tbl>
    <w:p w14:paraId="6B149160" w14:textId="77777777" w:rsidR="00222AA7" w:rsidRPr="00222AA7" w:rsidRDefault="00222AA7" w:rsidP="00222AA7"/>
    <w:p w14:paraId="0F1A0584" w14:textId="77777777" w:rsidR="00B12E4F" w:rsidRPr="005909C0" w:rsidRDefault="00B12E4F" w:rsidP="005909C0">
      <w:pPr>
        <w:pStyle w:val="Heading2"/>
      </w:pPr>
      <w:bookmarkStart w:id="99" w:name="_Toc99442403"/>
      <w:bookmarkStart w:id="100" w:name="_Toc99443148"/>
      <w:bookmarkStart w:id="101" w:name="_Toc99443559"/>
      <w:bookmarkStart w:id="102" w:name="_Toc99443714"/>
      <w:bookmarkStart w:id="103" w:name="_Toc100739011"/>
      <w:bookmarkStart w:id="104" w:name="_Toc101618149"/>
      <w:r w:rsidRPr="005909C0">
        <w:t>What this analysis sets out to achieve</w:t>
      </w:r>
      <w:bookmarkEnd w:id="99"/>
      <w:bookmarkEnd w:id="100"/>
      <w:bookmarkEnd w:id="101"/>
      <w:bookmarkEnd w:id="102"/>
      <w:bookmarkEnd w:id="103"/>
      <w:bookmarkEnd w:id="104"/>
    </w:p>
    <w:p w14:paraId="74525352" w14:textId="77777777" w:rsidR="00D34911" w:rsidRDefault="00B12E4F" w:rsidP="00222AA7">
      <w:pPr>
        <w:rPr>
          <w:lang w:eastAsia="en-NZ"/>
        </w:rPr>
      </w:pPr>
      <w:r w:rsidRPr="006540BB">
        <w:rPr>
          <w:lang w:eastAsia="en-NZ"/>
        </w:rPr>
        <w:t xml:space="preserve">Given the </w:t>
      </w:r>
      <w:r>
        <w:rPr>
          <w:lang w:eastAsia="en-NZ"/>
        </w:rPr>
        <w:t xml:space="preserve">opportunities and the challenges posed by cancer medicines </w:t>
      </w:r>
      <w:r w:rsidRPr="006540BB">
        <w:rPr>
          <w:lang w:eastAsia="en-NZ"/>
        </w:rPr>
        <w:t xml:space="preserve">described above, we wanted to better understand the current situation for cancer medicines availability in Aotearoa. We therefore conducted a </w:t>
      </w:r>
      <w:r>
        <w:rPr>
          <w:lang w:eastAsia="en-NZ"/>
        </w:rPr>
        <w:t xml:space="preserve">descriptive analysis to compare cancer medicines availability </w:t>
      </w:r>
      <w:r w:rsidRPr="006540BB">
        <w:rPr>
          <w:lang w:eastAsia="en-NZ"/>
        </w:rPr>
        <w:t>between Aotearoa and one similar country (Australia)</w:t>
      </w:r>
      <w:r>
        <w:rPr>
          <w:lang w:eastAsia="en-NZ"/>
        </w:rPr>
        <w:t xml:space="preserve"> </w:t>
      </w:r>
      <w:r w:rsidRPr="006540BB">
        <w:rPr>
          <w:lang w:eastAsia="en-NZ"/>
        </w:rPr>
        <w:t xml:space="preserve">– considering not only the difference in number of medicines available, but also </w:t>
      </w:r>
      <w:r>
        <w:rPr>
          <w:lang w:eastAsia="en-NZ"/>
        </w:rPr>
        <w:t xml:space="preserve">(where possible) </w:t>
      </w:r>
      <w:r w:rsidRPr="006540BB">
        <w:rPr>
          <w:lang w:eastAsia="en-NZ"/>
        </w:rPr>
        <w:t>the magnitude of clinical benefit associated with any gaps.</w:t>
      </w:r>
      <w:r w:rsidR="00222AA7">
        <w:rPr>
          <w:lang w:eastAsia="en-NZ"/>
        </w:rPr>
        <w:t xml:space="preserve"> </w:t>
      </w:r>
      <w:r>
        <w:rPr>
          <w:lang w:eastAsia="en-NZ"/>
        </w:rPr>
        <w:t>Acknowledging the key differences in medicines funding across jurisdictions, we wanted to establish a system-level understanding of the current situation in Aotearoa, to inform future policy discussions.</w:t>
      </w:r>
    </w:p>
    <w:p w14:paraId="3A3FD355" w14:textId="4F7E5D24" w:rsidR="00B12E4F" w:rsidRPr="00465BD3" w:rsidRDefault="00B12E4F" w:rsidP="00C338E8">
      <w:pPr>
        <w:pStyle w:val="Heading1"/>
        <w:rPr>
          <w:rFonts w:ascii="Montserrat" w:hAnsi="Montserrat"/>
        </w:rPr>
      </w:pPr>
      <w:bookmarkStart w:id="105" w:name="_Toc100739012"/>
      <w:bookmarkStart w:id="106" w:name="_Toc101618150"/>
      <w:r w:rsidRPr="00465BD3">
        <w:rPr>
          <w:rFonts w:ascii="Montserrat" w:hAnsi="Montserrat"/>
        </w:rPr>
        <w:lastRenderedPageBreak/>
        <w:t>NGĀ TUKANGA</w:t>
      </w:r>
      <w:r w:rsidR="005218B6">
        <w:rPr>
          <w:rFonts w:ascii="Montserrat" w:hAnsi="Montserrat"/>
        </w:rPr>
        <w:br/>
      </w:r>
      <w:r w:rsidRPr="00465BD3">
        <w:rPr>
          <w:rFonts w:ascii="Montserrat" w:hAnsi="Montserrat"/>
          <w:color w:val="0AB58F"/>
        </w:rPr>
        <w:t>METHODS</w:t>
      </w:r>
      <w:bookmarkEnd w:id="105"/>
      <w:bookmarkEnd w:id="106"/>
    </w:p>
    <w:p w14:paraId="3D9B3C25" w14:textId="5DAD04A0" w:rsidR="00B12E4F" w:rsidRPr="00523370" w:rsidRDefault="00B12E4F" w:rsidP="005C32EF">
      <w:pPr>
        <w:pStyle w:val="Heading2"/>
      </w:pPr>
      <w:bookmarkStart w:id="107" w:name="_Toc99442404"/>
      <w:bookmarkStart w:id="108" w:name="_Toc99443150"/>
      <w:bookmarkStart w:id="109" w:name="_Toc99443561"/>
      <w:bookmarkStart w:id="110" w:name="_Toc99443716"/>
      <w:bookmarkStart w:id="111" w:name="_Toc99451901"/>
      <w:bookmarkStart w:id="112" w:name="_Toc99456172"/>
      <w:bookmarkStart w:id="113" w:name="_Toc100738311"/>
      <w:bookmarkStart w:id="114" w:name="_Toc100739013"/>
      <w:bookmarkStart w:id="115" w:name="_Toc101618151"/>
      <w:r w:rsidRPr="00523370">
        <w:t xml:space="preserve">Overview of </w:t>
      </w:r>
      <w:r w:rsidR="00765060">
        <w:t xml:space="preserve">the </w:t>
      </w:r>
      <w:r w:rsidRPr="00523370">
        <w:t>analysis</w:t>
      </w:r>
      <w:bookmarkEnd w:id="107"/>
      <w:bookmarkEnd w:id="108"/>
      <w:bookmarkEnd w:id="109"/>
      <w:bookmarkEnd w:id="110"/>
      <w:bookmarkEnd w:id="111"/>
      <w:bookmarkEnd w:id="112"/>
      <w:bookmarkEnd w:id="113"/>
      <w:bookmarkEnd w:id="114"/>
      <w:bookmarkEnd w:id="115"/>
    </w:p>
    <w:p w14:paraId="075F303C" w14:textId="77777777" w:rsidR="00D34911" w:rsidRDefault="00B12E4F" w:rsidP="00C338E8">
      <w:r w:rsidRPr="00523370">
        <w:t xml:space="preserve">The </w:t>
      </w:r>
      <w:r>
        <w:t>main</w:t>
      </w:r>
      <w:r w:rsidRPr="00523370">
        <w:t xml:space="preserve"> purpose of this analysis was to compare the availability of cancer medicines in Aotearoa </w:t>
      </w:r>
      <w:r>
        <w:t>with their availability in Australia,</w:t>
      </w:r>
      <w:r w:rsidRPr="00523370">
        <w:t xml:space="preserve"> and to highlight gaps in availability </w:t>
      </w:r>
      <w:r>
        <w:t xml:space="preserve">that were likely to be associated with substantial clinical benefit. </w:t>
      </w:r>
      <w:r w:rsidRPr="00523370">
        <w:t xml:space="preserve">For the purpose of this analysis, </w:t>
      </w:r>
      <w:r>
        <w:t xml:space="preserve">a medicine was considered </w:t>
      </w:r>
      <w:r w:rsidRPr="00523370">
        <w:t xml:space="preserve">to be available if it </w:t>
      </w:r>
      <w:r>
        <w:t>was</w:t>
      </w:r>
      <w:r w:rsidRPr="00523370">
        <w:t xml:space="preserve"> publicly funded.</w:t>
      </w:r>
    </w:p>
    <w:p w14:paraId="69CA2AA3" w14:textId="77777777" w:rsidR="00C338E8" w:rsidRDefault="00C338E8" w:rsidP="00C338E8"/>
    <w:p w14:paraId="0BD29BF0" w14:textId="77777777" w:rsidR="00D34911" w:rsidRDefault="00B12E4F" w:rsidP="00C338E8">
      <w:r>
        <w:t xml:space="preserve">As an initial check, </w:t>
      </w:r>
      <w:r w:rsidRPr="00523370">
        <w:t xml:space="preserve">a comparison was made with the </w:t>
      </w:r>
      <w:r>
        <w:t>WHO</w:t>
      </w:r>
      <w:r w:rsidR="00D34911">
        <w:t>’</w:t>
      </w:r>
      <w:r>
        <w:t xml:space="preserve">s Essential Medicines List </w:t>
      </w:r>
      <w:r w:rsidRPr="00523370">
        <w:t xml:space="preserve">to determine if cancer medicines considered essential </w:t>
      </w:r>
      <w:r>
        <w:t>by the WHO are being</w:t>
      </w:r>
      <w:r w:rsidRPr="00523370">
        <w:t xml:space="preserve"> publicly funded in Aotearoa.</w:t>
      </w:r>
    </w:p>
    <w:p w14:paraId="29B50F2B" w14:textId="77777777" w:rsidR="00C338E8" w:rsidRDefault="00C338E8" w:rsidP="00C338E8"/>
    <w:p w14:paraId="2213BB51" w14:textId="269928E7" w:rsidR="00B12E4F" w:rsidRDefault="00B12E4F" w:rsidP="00C338E8">
      <w:r>
        <w:t xml:space="preserve">For the main </w:t>
      </w:r>
      <w:r w:rsidRPr="00523370">
        <w:t>gap analysis, Australia was selected as the primary comparator country</w:t>
      </w:r>
      <w:r>
        <w:t xml:space="preserve">, </w:t>
      </w:r>
      <w:r w:rsidRPr="00523370">
        <w:t>due to its broadly similar health system and approach to pharmaceutical funding</w:t>
      </w:r>
      <w:r>
        <w:t xml:space="preserve">, </w:t>
      </w:r>
      <w:r w:rsidRPr="00523370">
        <w:t xml:space="preserve">and the accessibility of detailed information regarding its cancer medicine funding. </w:t>
      </w:r>
      <w:r>
        <w:t>Gaps in cancer medicines</w:t>
      </w:r>
      <w:r w:rsidR="00D34911">
        <w:t>’</w:t>
      </w:r>
      <w:r>
        <w:t xml:space="preserve"> availability identified in both Aotearoa and Australia were assessed </w:t>
      </w:r>
      <w:r w:rsidRPr="00523370">
        <w:t xml:space="preserve">for clinical relevance and </w:t>
      </w:r>
      <w:r>
        <w:t xml:space="preserve">associated </w:t>
      </w:r>
      <w:r w:rsidRPr="00523370">
        <w:t>magnitude of clinical benefit according to the ESMO-MCBS scoring tool.</w:t>
      </w:r>
      <w:r>
        <w:t xml:space="preserve"> This scoring tool was selected not only because it is internationally recognised and validated, but also because it is specifically intended for use in policy settings, given the purpose of this analysis was to consider medicines</w:t>
      </w:r>
      <w:r w:rsidR="00D34911">
        <w:t>’</w:t>
      </w:r>
      <w:r>
        <w:t xml:space="preserve"> availability at a systems level.</w:t>
      </w:r>
      <w:r w:rsidR="00D34911">
        <w:t xml:space="preserve"> </w:t>
      </w:r>
      <w:r>
        <w:t>Unfortunately, it has not been validated for medicines for blood cancers.</w:t>
      </w:r>
    </w:p>
    <w:p w14:paraId="6A05CBF8" w14:textId="77777777" w:rsidR="00C338E8" w:rsidRDefault="00C338E8" w:rsidP="00C338E8"/>
    <w:p w14:paraId="7B6ED61C" w14:textId="77777777" w:rsidR="00C338E8" w:rsidRDefault="00B12E4F" w:rsidP="00C338E8">
      <w:r w:rsidRPr="00523370">
        <w:t xml:space="preserve">As there is no </w:t>
      </w:r>
      <w:r w:rsidR="00D34911">
        <w:t>‘</w:t>
      </w:r>
      <w:r w:rsidRPr="00523370">
        <w:t>gold-standard</w:t>
      </w:r>
      <w:r w:rsidR="00D34911">
        <w:t>’</w:t>
      </w:r>
      <w:r w:rsidRPr="00523370">
        <w:t xml:space="preserve"> approach to </w:t>
      </w:r>
      <w:r>
        <w:t xml:space="preserve">the </w:t>
      </w:r>
      <w:r w:rsidRPr="00523370">
        <w:t xml:space="preserve">funding </w:t>
      </w:r>
      <w:r>
        <w:t xml:space="preserve">of </w:t>
      </w:r>
      <w:r w:rsidRPr="00523370">
        <w:t xml:space="preserve">cancer medicines, clinically relevant gaps </w:t>
      </w:r>
      <w:r>
        <w:t>for solid tumour medicines in</w:t>
      </w:r>
      <w:r w:rsidRPr="00523370">
        <w:t xml:space="preserve"> Aotearoa associated with a substantial magnitude of clinical benefit were </w:t>
      </w:r>
      <w:r>
        <w:t>also</w:t>
      </w:r>
      <w:r w:rsidRPr="00523370">
        <w:t xml:space="preserve"> compared </w:t>
      </w:r>
      <w:r>
        <w:t>with</w:t>
      </w:r>
      <w:r w:rsidRPr="00523370">
        <w:t xml:space="preserve"> another funding jurisdiction – Ontario, Canada. This comparison was </w:t>
      </w:r>
      <w:r>
        <w:t>made</w:t>
      </w:r>
      <w:r w:rsidRPr="00523370">
        <w:t xml:space="preserve"> as a test of whether Australia should be considered an outlier amongst other similar countries</w:t>
      </w:r>
      <w:r>
        <w:t>/</w:t>
      </w:r>
      <w:r w:rsidRPr="00523370">
        <w:t xml:space="preserve">jurisdictions. </w:t>
      </w:r>
      <w:r>
        <w:t xml:space="preserve">Again, </w:t>
      </w:r>
      <w:r w:rsidRPr="00523370">
        <w:t xml:space="preserve">Ontario was selected as it has a broadly similar health system, </w:t>
      </w:r>
      <w:r>
        <w:t>with funding of pharmaceuticals decided at the province level.</w:t>
      </w:r>
    </w:p>
    <w:p w14:paraId="6770F1AF" w14:textId="77777777" w:rsidR="00C338E8" w:rsidRDefault="00B12E4F" w:rsidP="005528D9">
      <w:pPr>
        <w:pStyle w:val="Heading4"/>
      </w:pPr>
      <w:bookmarkStart w:id="116" w:name="_Toc99442405"/>
      <w:bookmarkStart w:id="117" w:name="_Toc99443151"/>
      <w:bookmarkStart w:id="118" w:name="_Toc99443562"/>
      <w:bookmarkStart w:id="119" w:name="_Toc99443717"/>
      <w:bookmarkStart w:id="120" w:name="_Toc99451902"/>
      <w:bookmarkStart w:id="121" w:name="_Toc99456173"/>
      <w:bookmarkStart w:id="122" w:name="_Toc100738312"/>
      <w:bookmarkStart w:id="123" w:name="_Toc100739014"/>
      <w:r w:rsidRPr="00523370">
        <w:t>Medicine-indication pairs</w:t>
      </w:r>
      <w:bookmarkEnd w:id="116"/>
      <w:bookmarkEnd w:id="117"/>
      <w:bookmarkEnd w:id="118"/>
      <w:bookmarkEnd w:id="119"/>
      <w:bookmarkEnd w:id="120"/>
      <w:bookmarkEnd w:id="121"/>
      <w:bookmarkEnd w:id="122"/>
      <w:bookmarkEnd w:id="123"/>
    </w:p>
    <w:p w14:paraId="30F3CF10" w14:textId="28E4DDF8" w:rsidR="00C338E8" w:rsidRDefault="00B12E4F" w:rsidP="00C338E8">
      <w:pPr>
        <w:rPr>
          <w:bdr w:val="none" w:sz="0" w:space="0" w:color="auto" w:frame="1"/>
        </w:rPr>
      </w:pPr>
      <w:r w:rsidRPr="00523370">
        <w:t>Central to this analysis is the concept of medicine-indication pairs (or in some cases regimen-indication pairs). Indication is a medical term used to describe the reason for using a particular medicine or treatment. For example, headache is an indication for paracetamol. In this report</w:t>
      </w:r>
      <w:r>
        <w:t>,</w:t>
      </w:r>
      <w:r w:rsidRPr="00523370">
        <w:t xml:space="preserve"> a medicine-indication pair </w:t>
      </w:r>
      <w:r>
        <w:t xml:space="preserve">is defined as a medicine </w:t>
      </w:r>
      <w:r>
        <w:rPr>
          <w:bdr w:val="none" w:sz="0" w:space="0" w:color="auto" w:frame="1"/>
        </w:rPr>
        <w:t xml:space="preserve">that is </w:t>
      </w:r>
      <w:r w:rsidRPr="00523370">
        <w:rPr>
          <w:bdr w:val="none" w:sz="0" w:space="0" w:color="auto" w:frame="1"/>
        </w:rPr>
        <w:t xml:space="preserve">linked to a specific </w:t>
      </w:r>
      <w:r>
        <w:rPr>
          <w:bdr w:val="none" w:sz="0" w:space="0" w:color="auto" w:frame="1"/>
        </w:rPr>
        <w:t xml:space="preserve">cancer </w:t>
      </w:r>
      <w:r w:rsidRPr="00523370">
        <w:rPr>
          <w:bdr w:val="none" w:sz="0" w:space="0" w:color="auto" w:frame="1"/>
        </w:rPr>
        <w:t>indication. The same applies to a regimen-indication pair, where more than one medicine must be used in combination (ie</w:t>
      </w:r>
      <w:r>
        <w:rPr>
          <w:bdr w:val="none" w:sz="0" w:space="0" w:color="auto" w:frame="1"/>
        </w:rPr>
        <w:t>,</w:t>
      </w:r>
      <w:r w:rsidRPr="00523370">
        <w:rPr>
          <w:bdr w:val="none" w:sz="0" w:space="0" w:color="auto" w:frame="1"/>
        </w:rPr>
        <w:t xml:space="preserve"> as a regimen) for a given </w:t>
      </w:r>
      <w:r>
        <w:rPr>
          <w:bdr w:val="none" w:sz="0" w:space="0" w:color="auto" w:frame="1"/>
        </w:rPr>
        <w:t xml:space="preserve">cancer </w:t>
      </w:r>
      <w:r w:rsidRPr="00523370">
        <w:rPr>
          <w:bdr w:val="none" w:sz="0" w:space="0" w:color="auto" w:frame="1"/>
        </w:rPr>
        <w:t>indication. Th</w:t>
      </w:r>
      <w:r w:rsidR="004D53B5">
        <w:rPr>
          <w:bdr w:val="none" w:sz="0" w:space="0" w:color="auto" w:frame="1"/>
        </w:rPr>
        <w:t>e use of medicine</w:t>
      </w:r>
      <w:r w:rsidR="00746547">
        <w:rPr>
          <w:bdr w:val="none" w:sz="0" w:space="0" w:color="auto" w:frame="1"/>
        </w:rPr>
        <w:t xml:space="preserve">-indication pairs was necessary </w:t>
      </w:r>
      <w:r w:rsidRPr="00523370">
        <w:rPr>
          <w:bdr w:val="none" w:sz="0" w:space="0" w:color="auto" w:frame="1"/>
        </w:rPr>
        <w:t xml:space="preserve">as cancer medicines funding is often restricted to specific indications – particularly for newer, higher cost medicines. This means that even if a certain medicine is funded in a given jurisdiction, it is not necessarily </w:t>
      </w:r>
      <w:r>
        <w:rPr>
          <w:bdr w:val="none" w:sz="0" w:space="0" w:color="auto" w:frame="1"/>
        </w:rPr>
        <w:t xml:space="preserve">funded </w:t>
      </w:r>
      <w:r w:rsidRPr="00523370">
        <w:rPr>
          <w:bdr w:val="none" w:sz="0" w:space="0" w:color="auto" w:frame="1"/>
        </w:rPr>
        <w:t>for every cancer type that it might be indicated for.</w:t>
      </w:r>
    </w:p>
    <w:p w14:paraId="145B78CC" w14:textId="77777777" w:rsidR="00C338E8" w:rsidRDefault="00B12E4F" w:rsidP="005528D9">
      <w:pPr>
        <w:pStyle w:val="Heading4"/>
      </w:pPr>
      <w:bookmarkStart w:id="124" w:name="_Toc99442406"/>
      <w:bookmarkStart w:id="125" w:name="_Toc99443152"/>
      <w:bookmarkStart w:id="126" w:name="_Toc99443563"/>
      <w:bookmarkStart w:id="127" w:name="_Toc99443718"/>
      <w:bookmarkStart w:id="128" w:name="_Toc99451903"/>
      <w:bookmarkStart w:id="129" w:name="_Toc99456174"/>
      <w:bookmarkStart w:id="130" w:name="_Toc100738313"/>
      <w:bookmarkStart w:id="131" w:name="_Toc100739015"/>
      <w:r>
        <w:lastRenderedPageBreak/>
        <w:t>Scope and definitions of c</w:t>
      </w:r>
      <w:r w:rsidRPr="00523370">
        <w:t>ancer medicines</w:t>
      </w:r>
      <w:bookmarkEnd w:id="124"/>
      <w:bookmarkEnd w:id="125"/>
      <w:bookmarkEnd w:id="126"/>
      <w:bookmarkEnd w:id="127"/>
      <w:bookmarkEnd w:id="128"/>
      <w:bookmarkEnd w:id="129"/>
      <w:bookmarkEnd w:id="130"/>
      <w:bookmarkEnd w:id="131"/>
    </w:p>
    <w:p w14:paraId="1435F7BD" w14:textId="77777777" w:rsidR="00C338E8" w:rsidRDefault="00B12E4F" w:rsidP="00C338E8">
      <w:r>
        <w:t xml:space="preserve">For this analysis, cancer medicines were defined as medicines used to </w:t>
      </w:r>
      <w:r w:rsidRPr="00523370">
        <w:t>actively treat cancer</w:t>
      </w:r>
      <w:r>
        <w:t xml:space="preserve">. </w:t>
      </w:r>
      <w:r w:rsidRPr="00523370">
        <w:t xml:space="preserve">Medicines used exclusively to manage symptoms or side effects without any direct effect on the tumour, whilst critical to cancer care, were outside </w:t>
      </w:r>
      <w:r>
        <w:t xml:space="preserve">the </w:t>
      </w:r>
      <w:r w:rsidRPr="00523370">
        <w:t xml:space="preserve">scope of this analysis. Medicines for </w:t>
      </w:r>
      <w:r>
        <w:t xml:space="preserve">blood </w:t>
      </w:r>
      <w:r w:rsidRPr="00523370">
        <w:t xml:space="preserve">cancers were included </w:t>
      </w:r>
      <w:r>
        <w:t>when</w:t>
      </w:r>
      <w:r w:rsidRPr="00523370">
        <w:t xml:space="preserve"> summarising </w:t>
      </w:r>
      <w:r>
        <w:t xml:space="preserve">the </w:t>
      </w:r>
      <w:r w:rsidRPr="00523370">
        <w:t>numbers of medicines and medicine-indication pairs available in different jurisdictions. However, when analysing gaps for magnitude of clinical benefit,</w:t>
      </w:r>
      <w:r w:rsidRPr="00523370" w:rsidDel="004D39E4">
        <w:t xml:space="preserve"> </w:t>
      </w:r>
      <w:r>
        <w:t xml:space="preserve">blood cancer </w:t>
      </w:r>
      <w:r w:rsidRPr="00523370">
        <w:t xml:space="preserve">medicines were considered out of scope due to the absence of a validated tool to conduct this assessment. </w:t>
      </w:r>
      <w:r>
        <w:t>The ESMO-MCBS scoring tool has not yet been validated for blood cancers, and no other appropriate tool was found.</w:t>
      </w:r>
    </w:p>
    <w:p w14:paraId="756DC807" w14:textId="77777777" w:rsidR="00C338E8" w:rsidRDefault="00C338E8" w:rsidP="00C338E8"/>
    <w:p w14:paraId="0F9FA17E" w14:textId="77777777" w:rsidR="00C338E8" w:rsidRDefault="00B12E4F" w:rsidP="00C338E8">
      <w:r w:rsidRPr="00523370">
        <w:t xml:space="preserve">Where a generic or biosimilar </w:t>
      </w:r>
      <w:r>
        <w:t xml:space="preserve">product </w:t>
      </w:r>
      <w:r w:rsidRPr="00523370">
        <w:t>was available in one jurisdiction and the reference product (also called originator, innovator</w:t>
      </w:r>
      <w:r>
        <w:t xml:space="preserve"> or</w:t>
      </w:r>
      <w:r w:rsidRPr="00523370">
        <w:t xml:space="preserve"> brand-name product) was available in another, these were considered to be identical for the purposes of this analysis.</w:t>
      </w:r>
    </w:p>
    <w:p w14:paraId="6380EBAE" w14:textId="77777777" w:rsidR="00C338E8" w:rsidRDefault="00B12E4F" w:rsidP="005528D9">
      <w:pPr>
        <w:pStyle w:val="Heading4"/>
      </w:pPr>
      <w:bookmarkStart w:id="132" w:name="_Toc99442407"/>
      <w:bookmarkStart w:id="133" w:name="_Toc99443153"/>
      <w:bookmarkStart w:id="134" w:name="_Toc99443564"/>
      <w:bookmarkStart w:id="135" w:name="_Toc99443719"/>
      <w:bookmarkStart w:id="136" w:name="_Toc99451904"/>
      <w:bookmarkStart w:id="137" w:name="_Toc99456175"/>
      <w:bookmarkStart w:id="138" w:name="_Toc100738314"/>
      <w:bookmarkStart w:id="139" w:name="_Toc100739016"/>
      <w:r>
        <w:t>Scope and definitions of a</w:t>
      </w:r>
      <w:r w:rsidRPr="00523370">
        <w:t>vailable cancer medicines</w:t>
      </w:r>
      <w:bookmarkEnd w:id="132"/>
      <w:bookmarkEnd w:id="133"/>
      <w:bookmarkEnd w:id="134"/>
      <w:bookmarkEnd w:id="135"/>
      <w:bookmarkEnd w:id="136"/>
      <w:bookmarkEnd w:id="137"/>
      <w:bookmarkEnd w:id="138"/>
      <w:bookmarkEnd w:id="139"/>
    </w:p>
    <w:p w14:paraId="63DE4B26" w14:textId="77777777" w:rsidR="00C338E8" w:rsidRDefault="00B12E4F" w:rsidP="00C338E8">
      <w:r w:rsidRPr="00523370">
        <w:t>The scope of available cancer medicines in Aotearoa was limited to those funded via Pharmac</w:t>
      </w:r>
      <w:r w:rsidR="00D34911">
        <w:t>’</w:t>
      </w:r>
      <w:r w:rsidRPr="00523370">
        <w:t>s Pharmaceutical Schedule. Medicines publicly funded in Aotearoa via other means (</w:t>
      </w:r>
      <w:r>
        <w:t>eg,</w:t>
      </w:r>
      <w:r w:rsidRPr="00523370">
        <w:t xml:space="preserve"> Pharmac</w:t>
      </w:r>
      <w:r w:rsidR="00D34911">
        <w:t>’</w:t>
      </w:r>
      <w:r w:rsidRPr="00523370">
        <w:t>s exceptional circumstances processes, paediatric cancer medicines or clinical trials in the public health setting) were excluded from the analysis. Medicines funded outside the public system (</w:t>
      </w:r>
      <w:r>
        <w:t>eg,</w:t>
      </w:r>
      <w:r w:rsidRPr="00523370">
        <w:t xml:space="preserve"> via private financing, private health insurance or compassionate supply by pharmaceutical companies) were also </w:t>
      </w:r>
      <w:r>
        <w:t xml:space="preserve">excluded from this </w:t>
      </w:r>
      <w:r w:rsidRPr="00523370">
        <w:t>analysis.</w:t>
      </w:r>
    </w:p>
    <w:p w14:paraId="61F5E1F2" w14:textId="77777777" w:rsidR="00C338E8" w:rsidRDefault="00C338E8" w:rsidP="00C338E8"/>
    <w:p w14:paraId="30E9E565" w14:textId="77777777" w:rsidR="00C338E8" w:rsidRDefault="00B12E4F" w:rsidP="00C338E8">
      <w:r w:rsidRPr="00523370">
        <w:t xml:space="preserve">The scope of available cancer medicines in Australia was limited to those included in the PBS </w:t>
      </w:r>
      <w:r>
        <w:t>s</w:t>
      </w:r>
      <w:r w:rsidRPr="00523370">
        <w:t xml:space="preserve">chedule </w:t>
      </w:r>
      <w:r w:rsidRPr="00523370">
        <w:rPr>
          <w:noProof/>
        </w:rPr>
        <w:t>(Australian Government Department of Health 2022)</w:t>
      </w:r>
      <w:r w:rsidRPr="00523370">
        <w:t xml:space="preserve">. </w:t>
      </w:r>
      <w:r>
        <w:t>This analysis focused on medicines that were consistently available across all of Australia. In line with that reasoning, the analysis excluded m</w:t>
      </w:r>
      <w:r w:rsidRPr="00523370">
        <w:t>edicines publicly funded in Australia via other means</w:t>
      </w:r>
      <w:r>
        <w:t xml:space="preserve">, </w:t>
      </w:r>
      <w:r w:rsidRPr="00523370">
        <w:t xml:space="preserve">such as </w:t>
      </w:r>
      <w:r>
        <w:t>medicines</w:t>
      </w:r>
      <w:r w:rsidRPr="00523370">
        <w:t xml:space="preserve"> </w:t>
      </w:r>
      <w:r>
        <w:t>used in the public hospital inpatient setting or where the funding is provided by an individual hospital or state government.</w:t>
      </w:r>
      <w:r w:rsidRPr="00523370">
        <w:t xml:space="preserve"> Medicines funded via private means were </w:t>
      </w:r>
      <w:r>
        <w:t xml:space="preserve">also </w:t>
      </w:r>
      <w:r w:rsidRPr="00523370">
        <w:t>excluded from the analysis.</w:t>
      </w:r>
    </w:p>
    <w:p w14:paraId="18121D6C" w14:textId="77777777" w:rsidR="00C338E8" w:rsidRDefault="00C338E8" w:rsidP="00C338E8"/>
    <w:p w14:paraId="09FF87E3" w14:textId="77777777" w:rsidR="00C338E8" w:rsidRDefault="00B12E4F" w:rsidP="00C338E8">
      <w:r w:rsidRPr="00523370">
        <w:t>The scope of available cancer medicines in Ontario, Canada</w:t>
      </w:r>
      <w:r>
        <w:t>,</w:t>
      </w:r>
      <w:r w:rsidRPr="00523370">
        <w:t xml:space="preserve"> was limited to those funded via one of the multiple public funding mechanisms available in that province, for example the New Drug Funding Program </w:t>
      </w:r>
      <w:r>
        <w:t xml:space="preserve">(NDFP) </w:t>
      </w:r>
      <w:r w:rsidRPr="00523370">
        <w:t xml:space="preserve">and the Ontario Drug Benefit </w:t>
      </w:r>
      <w:r>
        <w:t xml:space="preserve">(ODB) </w:t>
      </w:r>
      <w:r w:rsidRPr="00523370">
        <w:t xml:space="preserve">Program. Medicines funded via private means were </w:t>
      </w:r>
      <w:r>
        <w:t xml:space="preserve">again </w:t>
      </w:r>
      <w:r w:rsidRPr="00523370">
        <w:t>excluded from the analysis.</w:t>
      </w:r>
    </w:p>
    <w:p w14:paraId="241B03AA" w14:textId="77777777" w:rsidR="00C338E8" w:rsidRDefault="00B12E4F" w:rsidP="0092043E">
      <w:pPr>
        <w:pStyle w:val="Heading4"/>
      </w:pPr>
      <w:bookmarkStart w:id="140" w:name="_Toc99442408"/>
      <w:bookmarkStart w:id="141" w:name="_Toc99443154"/>
      <w:bookmarkStart w:id="142" w:name="_Toc99443565"/>
      <w:bookmarkStart w:id="143" w:name="_Toc99443720"/>
      <w:bookmarkStart w:id="144" w:name="_Toc99451905"/>
      <w:bookmarkStart w:id="145" w:name="_Toc99456176"/>
      <w:bookmarkStart w:id="146" w:name="_Toc100738315"/>
      <w:bookmarkStart w:id="147" w:name="_Toc100739017"/>
      <w:r>
        <w:lastRenderedPageBreak/>
        <w:t>Definition of substantial clinical benefit</w:t>
      </w:r>
      <w:bookmarkEnd w:id="140"/>
      <w:bookmarkEnd w:id="141"/>
      <w:bookmarkEnd w:id="142"/>
      <w:bookmarkEnd w:id="143"/>
      <w:bookmarkEnd w:id="144"/>
      <w:bookmarkEnd w:id="145"/>
      <w:bookmarkEnd w:id="146"/>
      <w:bookmarkEnd w:id="147"/>
    </w:p>
    <w:p w14:paraId="3B685265" w14:textId="4A865EA1" w:rsidR="00C338E8" w:rsidRDefault="00B12E4F" w:rsidP="00C338E8">
      <w:pPr>
        <w:keepNext/>
        <w:keepLines/>
      </w:pPr>
      <w:r>
        <w:t xml:space="preserve">The thresholds for substantial clinical benefit were a score of A or B in a curative setting and 4 or 5 in a non-curative setting. These thresholds are in accordance with ESMO guidance </w:t>
      </w:r>
      <w:r>
        <w:rPr>
          <w:noProof/>
        </w:rPr>
        <w:t>(ESMO nd-b)</w:t>
      </w:r>
      <w:r>
        <w:t xml:space="preserve"> (</w:t>
      </w:r>
      <w:r w:rsidR="00C338E8">
        <w:t xml:space="preserve">see </w:t>
      </w:r>
      <w:hyperlink w:anchor="Figure_1" w:history="1">
        <w:r w:rsidR="00F41E5F" w:rsidRPr="00F41E5F">
          <w:rPr>
            <w:rStyle w:val="Hyperlink"/>
          </w:rPr>
          <w:t>Figure 1</w:t>
        </w:r>
      </w:hyperlink>
      <w:r>
        <w:t xml:space="preserve">), and have been determined and validated previously using robust statistical methods </w:t>
      </w:r>
      <w:r>
        <w:rPr>
          <w:noProof/>
        </w:rPr>
        <w:t xml:space="preserve">(Cherny </w:t>
      </w:r>
      <w:r w:rsidR="00C338E8">
        <w:rPr>
          <w:noProof/>
        </w:rPr>
        <w:t>et al</w:t>
      </w:r>
      <w:r w:rsidR="003B51F4">
        <w:rPr>
          <w:noProof/>
        </w:rPr>
        <w:t xml:space="preserve"> 2</w:t>
      </w:r>
      <w:r>
        <w:rPr>
          <w:noProof/>
        </w:rPr>
        <w:t>017</w:t>
      </w:r>
      <w:r w:rsidR="00C338E8">
        <w:rPr>
          <w:noProof/>
        </w:rPr>
        <w:t>,</w:t>
      </w:r>
      <w:r>
        <w:rPr>
          <w:noProof/>
        </w:rPr>
        <w:t xml:space="preserve"> Cherny </w:t>
      </w:r>
      <w:r w:rsidR="00C338E8">
        <w:rPr>
          <w:noProof/>
        </w:rPr>
        <w:t>et al</w:t>
      </w:r>
      <w:r w:rsidR="003B51F4">
        <w:rPr>
          <w:noProof/>
        </w:rPr>
        <w:t xml:space="preserve"> 2</w:t>
      </w:r>
      <w:r>
        <w:rPr>
          <w:noProof/>
        </w:rPr>
        <w:t>015</w:t>
      </w:r>
      <w:r w:rsidR="00C338E8">
        <w:rPr>
          <w:noProof/>
        </w:rPr>
        <w:t>,</w:t>
      </w:r>
      <w:r>
        <w:rPr>
          <w:noProof/>
        </w:rPr>
        <w:t xml:space="preserve"> Dafni </w:t>
      </w:r>
      <w:r w:rsidR="00C338E8">
        <w:rPr>
          <w:noProof/>
        </w:rPr>
        <w:t>et al</w:t>
      </w:r>
      <w:r w:rsidR="003B51F4">
        <w:rPr>
          <w:noProof/>
        </w:rPr>
        <w:t xml:space="preserve"> 2</w:t>
      </w:r>
      <w:r>
        <w:rPr>
          <w:noProof/>
        </w:rPr>
        <w:t>017)</w:t>
      </w:r>
      <w:r>
        <w:t xml:space="preserve">. There is international precedent in applying the scores </w:t>
      </w:r>
      <w:r>
        <w:rPr>
          <w:noProof/>
        </w:rPr>
        <w:t>(WHO 2019a)</w:t>
      </w:r>
      <w:r>
        <w:t>. As described above, these thresholds were only applied to medicines for solid tumours, as the ESMO-MCBS has not been validated for blood cancers.</w:t>
      </w:r>
    </w:p>
    <w:p w14:paraId="1FE928F2" w14:textId="77777777" w:rsidR="00433424" w:rsidRDefault="00433424" w:rsidP="00C338E8">
      <w:pPr>
        <w:keepNext/>
        <w:keepLines/>
      </w:pPr>
    </w:p>
    <w:p w14:paraId="73D29951" w14:textId="77777777" w:rsidR="00C338E8" w:rsidRDefault="00B12E4F" w:rsidP="0092043E">
      <w:pPr>
        <w:keepLines/>
      </w:pPr>
      <w:r>
        <w:t>In general terms, in the curative setting, an ESMO-MCBS score of A or B represents a minimum of a 3</w:t>
      </w:r>
      <w:r w:rsidR="00F64599">
        <w:t> percent</w:t>
      </w:r>
      <w:r>
        <w:t xml:space="preserve"> increase in the number of people alive after three years (ie, an improvement in overall survival) or improved quality of life – even in the absence of a survival benefit. In the non-curative setting, the definitions vary further, depending on the prognosis of the condition. An ESMO-MCBS score of 4 or 5 can be based on overall survival improvements of a minimum of two months (only where there is an associated quality of life benefit proven), to over nine months. In the absence of overall survival benefit in the non-curative setting, an ESMO-MCBS score of 4 or 5 can be based on a progression-free survival improvement of 1.5 months (again, only with proven quality of life benefits) to over three months. Again, a medicine can score 4 based on improved quality of life even in the absence of a benefit in progression-free or overall survival. Medicines that have not met these clinical benefit thresholds in clinical trials will be scored C, 3, 2 or 1. A detailed description of the ESMO-MCBS scoring methods is available on the Guidelines page on the ESMO website at: </w:t>
      </w:r>
      <w:hyperlink r:id="rId30" w:history="1">
        <w:r w:rsidR="00C338E8" w:rsidRPr="00C338E8">
          <w:rPr>
            <w:rStyle w:val="Hyperlink"/>
          </w:rPr>
          <w:t>www.esmo.org/guidelines/esmo-mcbs</w:t>
        </w:r>
      </w:hyperlink>
      <w:r w:rsidR="00C338E8">
        <w:t>.</w:t>
      </w:r>
    </w:p>
    <w:p w14:paraId="3E27287F" w14:textId="77777777" w:rsidR="00C338E8" w:rsidRDefault="00B12E4F" w:rsidP="0092043E">
      <w:pPr>
        <w:pStyle w:val="Heading4"/>
        <w:rPr>
          <w:rFonts w:eastAsiaTheme="majorEastAsia"/>
        </w:rPr>
      </w:pPr>
      <w:bookmarkStart w:id="148" w:name="_Toc99442409"/>
      <w:bookmarkStart w:id="149" w:name="_Toc99443155"/>
      <w:bookmarkStart w:id="150" w:name="_Toc99443566"/>
      <w:bookmarkStart w:id="151" w:name="_Toc99443721"/>
      <w:bookmarkStart w:id="152" w:name="_Toc99451906"/>
      <w:bookmarkStart w:id="153" w:name="_Toc99456177"/>
      <w:bookmarkStart w:id="154" w:name="_Toc100738316"/>
      <w:bookmarkStart w:id="155" w:name="_Toc100739018"/>
      <w:r w:rsidRPr="00523370">
        <w:rPr>
          <w:rFonts w:eastAsiaTheme="majorEastAsia"/>
        </w:rPr>
        <w:t>Information sources</w:t>
      </w:r>
      <w:bookmarkEnd w:id="148"/>
      <w:bookmarkEnd w:id="149"/>
      <w:bookmarkEnd w:id="150"/>
      <w:bookmarkEnd w:id="151"/>
      <w:bookmarkEnd w:id="152"/>
      <w:bookmarkEnd w:id="153"/>
      <w:bookmarkEnd w:id="154"/>
      <w:bookmarkEnd w:id="155"/>
    </w:p>
    <w:p w14:paraId="7F4975D0" w14:textId="77777777" w:rsidR="00C338E8" w:rsidRDefault="00B12E4F" w:rsidP="00C338E8">
      <w:r w:rsidRPr="008450AE">
        <w:t xml:space="preserve">All information regarding funding status was obtained from publicly available information. </w:t>
      </w:r>
      <w:r>
        <w:t>More specific d</w:t>
      </w:r>
      <w:r w:rsidRPr="008450AE">
        <w:t>etail</w:t>
      </w:r>
      <w:r>
        <w:t xml:space="preserve"> regarding the information sources</w:t>
      </w:r>
      <w:r w:rsidRPr="008450AE">
        <w:t xml:space="preserve"> is provided in </w:t>
      </w:r>
      <w:hyperlink w:anchor="Appendix_1" w:history="1">
        <w:r w:rsidRPr="006E0906">
          <w:rPr>
            <w:rStyle w:val="Hyperlink"/>
            <w:rFonts w:eastAsia="MS Gothic"/>
          </w:rPr>
          <w:t>Appendix 1: Key sources of information</w:t>
        </w:r>
      </w:hyperlink>
      <w:r w:rsidRPr="008450AE">
        <w:t>.</w:t>
      </w:r>
    </w:p>
    <w:p w14:paraId="7CB1AEE2" w14:textId="77777777" w:rsidR="00C338E8" w:rsidRDefault="00B12E4F" w:rsidP="0092043E">
      <w:pPr>
        <w:pStyle w:val="Heading4"/>
      </w:pPr>
      <w:bookmarkStart w:id="156" w:name="_Toc99442410"/>
      <w:bookmarkStart w:id="157" w:name="_Toc99443156"/>
      <w:bookmarkStart w:id="158" w:name="_Toc99443567"/>
      <w:bookmarkStart w:id="159" w:name="_Toc99443722"/>
      <w:bookmarkStart w:id="160" w:name="_Toc99451907"/>
      <w:bookmarkStart w:id="161" w:name="_Toc99456178"/>
      <w:bookmarkStart w:id="162" w:name="_Toc100738317"/>
      <w:bookmarkStart w:id="163" w:name="_Toc100739019"/>
      <w:r w:rsidRPr="00523370">
        <w:t>Timeframe</w:t>
      </w:r>
      <w:bookmarkEnd w:id="156"/>
      <w:bookmarkEnd w:id="157"/>
      <w:bookmarkEnd w:id="158"/>
      <w:bookmarkEnd w:id="159"/>
      <w:bookmarkEnd w:id="160"/>
      <w:bookmarkEnd w:id="161"/>
      <w:bookmarkEnd w:id="162"/>
      <w:bookmarkEnd w:id="163"/>
    </w:p>
    <w:p w14:paraId="478F1D85" w14:textId="77777777" w:rsidR="00C338E8" w:rsidRDefault="00B12E4F" w:rsidP="00C338E8">
      <w:r w:rsidRPr="00523370">
        <w:t xml:space="preserve">Comparisons </w:t>
      </w:r>
      <w:r>
        <w:t xml:space="preserve">were made </w:t>
      </w:r>
      <w:r w:rsidRPr="00523370">
        <w:t xml:space="preserve">between the </w:t>
      </w:r>
      <w:r>
        <w:t xml:space="preserve">cancer medicines funded in </w:t>
      </w:r>
      <w:r w:rsidRPr="00523370">
        <w:t xml:space="preserve">Aotearoa </w:t>
      </w:r>
      <w:r>
        <w:t xml:space="preserve">and those on </w:t>
      </w:r>
      <w:r w:rsidRPr="00523370">
        <w:t>the WHO</w:t>
      </w:r>
      <w:r>
        <w:t xml:space="preserve">-EML </w:t>
      </w:r>
      <w:r w:rsidRPr="00523370">
        <w:t xml:space="preserve">and the Australian PBS using information available at 1 July 2021. </w:t>
      </w:r>
      <w:r>
        <w:t>The c</w:t>
      </w:r>
      <w:r w:rsidRPr="00523370">
        <w:t xml:space="preserve">omparison with </w:t>
      </w:r>
      <w:r>
        <w:t xml:space="preserve">cancer medicines funded in </w:t>
      </w:r>
      <w:r w:rsidRPr="00523370">
        <w:t>Ontario, Canada</w:t>
      </w:r>
      <w:r>
        <w:t>,</w:t>
      </w:r>
      <w:r w:rsidRPr="00523370">
        <w:t xml:space="preserve"> was made in October 2021.</w:t>
      </w:r>
    </w:p>
    <w:p w14:paraId="586C5640" w14:textId="77777777" w:rsidR="00C338E8" w:rsidRDefault="00C338E8" w:rsidP="00C338E8"/>
    <w:p w14:paraId="4F35B469" w14:textId="6021C0B9" w:rsidR="00C338E8" w:rsidRDefault="00B12E4F" w:rsidP="00C338E8">
      <w:r>
        <w:t xml:space="preserve">There has been an updated EML since the time of analysis and, given the rapid pace of change in cancer medicines, it is likely that there will have been changes to cancer medicines funded in Australia and Ontario over this time as well. Any updates or additions to the EML, or changes in cancer medicines funded in Australia or Ontario were not captured by this analysis. However, where there were changes to the Pharmac Pharmaceutical Schedule subsequent to the analysis, this </w:t>
      </w:r>
      <w:r w:rsidR="00BC3598">
        <w:t xml:space="preserve">has been </w:t>
      </w:r>
      <w:r>
        <w:t>noted in the results.</w:t>
      </w:r>
    </w:p>
    <w:p w14:paraId="53EF5F2B" w14:textId="77777777" w:rsidR="00C338E8" w:rsidRDefault="00B12E4F" w:rsidP="00244EE8">
      <w:pPr>
        <w:pStyle w:val="Heading2"/>
        <w:keepLines/>
      </w:pPr>
      <w:bookmarkStart w:id="164" w:name="_Toc100738318"/>
      <w:bookmarkStart w:id="165" w:name="_Toc100739020"/>
      <w:bookmarkStart w:id="166" w:name="_Toc99443157"/>
      <w:bookmarkStart w:id="167" w:name="_Toc99443568"/>
      <w:bookmarkStart w:id="168" w:name="_Toc99443723"/>
      <w:bookmarkStart w:id="169" w:name="_Toc99451908"/>
      <w:bookmarkStart w:id="170" w:name="_Toc99456179"/>
      <w:bookmarkStart w:id="171" w:name="_Toc101618152"/>
      <w:r w:rsidRPr="00523370">
        <w:lastRenderedPageBreak/>
        <w:t xml:space="preserve">Comparison with </w:t>
      </w:r>
      <w:r>
        <w:t xml:space="preserve">the </w:t>
      </w:r>
      <w:r w:rsidRPr="00523370">
        <w:t>World Health Organization</w:t>
      </w:r>
      <w:r w:rsidR="00D34911">
        <w:t>’</w:t>
      </w:r>
      <w:r w:rsidRPr="00523370">
        <w:t>s Essential Medicines List</w:t>
      </w:r>
      <w:bookmarkEnd w:id="164"/>
      <w:bookmarkEnd w:id="165"/>
      <w:bookmarkEnd w:id="166"/>
      <w:bookmarkEnd w:id="167"/>
      <w:bookmarkEnd w:id="168"/>
      <w:bookmarkEnd w:id="169"/>
      <w:bookmarkEnd w:id="170"/>
      <w:bookmarkEnd w:id="171"/>
    </w:p>
    <w:p w14:paraId="2122DD73" w14:textId="77777777" w:rsidR="00C338E8" w:rsidRDefault="00B12E4F" w:rsidP="00244EE8">
      <w:pPr>
        <w:keepNext/>
        <w:keepLines/>
      </w:pPr>
      <w:r w:rsidRPr="00523370">
        <w:t>Cancer medicines publicly funded in Aotearoa were compared with those included in the 21</w:t>
      </w:r>
      <w:r w:rsidR="00C56A35">
        <w:t>st</w:t>
      </w:r>
      <w:r w:rsidRPr="00523370">
        <w:t xml:space="preserve"> WHO EML </w:t>
      </w:r>
      <w:r>
        <w:rPr>
          <w:noProof/>
        </w:rPr>
        <w:t>(WHO 2019b)</w:t>
      </w:r>
      <w:r w:rsidRPr="00523370">
        <w:t>. All medicines included in section 8 (</w:t>
      </w:r>
      <w:r w:rsidR="00D34911">
        <w:t>‘</w:t>
      </w:r>
      <w:r w:rsidRPr="00523370">
        <w:t>immunomodulators and antineoplastics</w:t>
      </w:r>
      <w:r w:rsidR="00D34911">
        <w:t>’</w:t>
      </w:r>
      <w:r w:rsidRPr="00523370">
        <w:t>) of the EML were extracted. Medicines used for reasons other than the active treatment of cancer</w:t>
      </w:r>
      <w:r>
        <w:t xml:space="preserve">, </w:t>
      </w:r>
      <w:r w:rsidRPr="00523370">
        <w:t>such as supportive care medicines</w:t>
      </w:r>
      <w:r>
        <w:t xml:space="preserve">, </w:t>
      </w:r>
      <w:r w:rsidRPr="00523370">
        <w:t>were excluded. For each remaining medicine (and specific cancer indication where this was stated), a manual search of Pharmac</w:t>
      </w:r>
      <w:r w:rsidR="00D34911">
        <w:t>’</w:t>
      </w:r>
      <w:r w:rsidRPr="00523370">
        <w:t>s online Pharmaceutical Schedule was conducted</w:t>
      </w:r>
      <w:r>
        <w:t>. A</w:t>
      </w:r>
      <w:r w:rsidRPr="00523370">
        <w:t xml:space="preserve"> manual search of Pharmac</w:t>
      </w:r>
      <w:r w:rsidR="00D34911">
        <w:t>’</w:t>
      </w:r>
      <w:r w:rsidRPr="00523370">
        <w:t xml:space="preserve">s application tracker was conducted </w:t>
      </w:r>
      <w:r>
        <w:t>f</w:t>
      </w:r>
      <w:r w:rsidRPr="00523370">
        <w:t>or all medicines or medicine-indication pairs that were identified as not included in the Pharmaceutical Schedule. Any perceived omissions at the end of this process were individually assessed to determine if there were alternatives in the Pharmaceutical Schedule generally accepted as being equivalent, before being formally identified as a gap.</w:t>
      </w:r>
    </w:p>
    <w:p w14:paraId="0BA27FA9" w14:textId="77777777" w:rsidR="00C338E8" w:rsidRDefault="00B12E4F" w:rsidP="005C32EF">
      <w:pPr>
        <w:pStyle w:val="Heading2"/>
      </w:pPr>
      <w:bookmarkStart w:id="172" w:name="_Toc99443158"/>
      <w:bookmarkStart w:id="173" w:name="_Toc99443569"/>
      <w:bookmarkStart w:id="174" w:name="_Toc99443724"/>
      <w:bookmarkStart w:id="175" w:name="_Toc99451909"/>
      <w:bookmarkStart w:id="176" w:name="_Toc99456180"/>
      <w:bookmarkStart w:id="177" w:name="_Toc100738319"/>
      <w:bookmarkStart w:id="178" w:name="_Toc100739021"/>
      <w:bookmarkStart w:id="179" w:name="_Toc101618153"/>
      <w:r w:rsidRPr="00523370">
        <w:t>Comparison with Australia</w:t>
      </w:r>
      <w:r w:rsidR="00D34911">
        <w:t>’</w:t>
      </w:r>
      <w:r>
        <w:t>s</w:t>
      </w:r>
      <w:r w:rsidRPr="00523370">
        <w:t xml:space="preserve"> Pharmaceutical Benefits Scheme</w:t>
      </w:r>
      <w:bookmarkEnd w:id="172"/>
      <w:bookmarkEnd w:id="173"/>
      <w:bookmarkEnd w:id="174"/>
      <w:bookmarkEnd w:id="175"/>
      <w:bookmarkEnd w:id="176"/>
      <w:bookmarkEnd w:id="177"/>
      <w:bookmarkEnd w:id="178"/>
      <w:bookmarkEnd w:id="179"/>
    </w:p>
    <w:p w14:paraId="74081C75" w14:textId="77777777" w:rsidR="00C338E8" w:rsidRDefault="00B12E4F" w:rsidP="00C56A35">
      <w:r w:rsidRPr="00523370">
        <w:t xml:space="preserve">Cancer medicines publicly funded in Aotearoa were compared with those included in the Australian PBS </w:t>
      </w:r>
      <w:r>
        <w:t>schedule</w:t>
      </w:r>
      <w:r w:rsidRPr="00523370">
        <w:t xml:space="preserve"> of pharmaceuticals</w:t>
      </w:r>
      <w:r>
        <w:t xml:space="preserve"> using</w:t>
      </w:r>
      <w:r w:rsidRPr="00523370">
        <w:t xml:space="preserve"> the </w:t>
      </w:r>
      <w:r>
        <w:t>stepwise process</w:t>
      </w:r>
      <w:r w:rsidRPr="00523370">
        <w:t xml:space="preserve"> described </w:t>
      </w:r>
      <w:r>
        <w:t>below.</w:t>
      </w:r>
    </w:p>
    <w:p w14:paraId="744C059B" w14:textId="77777777" w:rsidR="00C338E8" w:rsidRDefault="00B12E4F" w:rsidP="00AB141F">
      <w:pPr>
        <w:pStyle w:val="Heading4"/>
      </w:pPr>
      <w:r>
        <w:t>Collation</w:t>
      </w:r>
      <w:r w:rsidRPr="00B25B80">
        <w:t xml:space="preserve"> of medicines available in Australia</w:t>
      </w:r>
    </w:p>
    <w:p w14:paraId="2380109C" w14:textId="77777777" w:rsidR="00C338E8" w:rsidRDefault="00B12E4F" w:rsidP="00C56A35">
      <w:r w:rsidRPr="00523370">
        <w:t xml:space="preserve">All medicines included in section L of the PBS </w:t>
      </w:r>
      <w:r>
        <w:t>schedule</w:t>
      </w:r>
      <w:r w:rsidRPr="00523370">
        <w:t xml:space="preserve"> (</w:t>
      </w:r>
      <w:r w:rsidR="00D34911">
        <w:t>‘</w:t>
      </w:r>
      <w:r w:rsidRPr="00523370">
        <w:t>antineoplastic and immunomodulating agents</w:t>
      </w:r>
      <w:r w:rsidR="00D34911">
        <w:t>’</w:t>
      </w:r>
      <w:r w:rsidRPr="00523370">
        <w:t xml:space="preserve">) were manually extracted from the PBS website </w:t>
      </w:r>
      <w:r w:rsidRPr="00523370">
        <w:rPr>
          <w:noProof/>
        </w:rPr>
        <w:t>(Australian Government Department of Health</w:t>
      </w:r>
      <w:r>
        <w:rPr>
          <w:noProof/>
        </w:rPr>
        <w:t xml:space="preserve"> nd</w:t>
      </w:r>
      <w:r w:rsidRPr="00523370">
        <w:rPr>
          <w:noProof/>
        </w:rPr>
        <w:t>)</w:t>
      </w:r>
      <w:r w:rsidRPr="00523370">
        <w:t xml:space="preserve">. For each medicine, the following information was considered: medicine name, formulation(s), relevant restrictions on funding where applicable (such as cancer type, cancer subtype, line of therapy and medicines required in combination). </w:t>
      </w:r>
      <w:r>
        <w:t>Medicines and indications were handled in the following ways:</w:t>
      </w:r>
    </w:p>
    <w:p w14:paraId="0309E98C" w14:textId="77777777" w:rsidR="00C338E8" w:rsidRDefault="00B12E4F" w:rsidP="00C56A35">
      <w:pPr>
        <w:pStyle w:val="Bullet"/>
        <w:spacing w:before="120"/>
      </w:pPr>
      <w:r w:rsidRPr="00523370">
        <w:t>Where a medicine was listed for multiple different indications, each medicine-indication pair was considered separately.</w:t>
      </w:r>
    </w:p>
    <w:p w14:paraId="2E514E2B" w14:textId="77777777" w:rsidR="00C338E8" w:rsidRDefault="00B12E4F" w:rsidP="00C56A35">
      <w:pPr>
        <w:pStyle w:val="Bullet"/>
        <w:spacing w:before="120"/>
      </w:pPr>
      <w:r>
        <w:t>Different specified lines of treatment were considered to be different indications.</w:t>
      </w:r>
    </w:p>
    <w:p w14:paraId="003084D8" w14:textId="77777777" w:rsidR="00C338E8" w:rsidRDefault="00B12E4F" w:rsidP="00C56A35">
      <w:pPr>
        <w:pStyle w:val="Bullet"/>
        <w:spacing w:before="120"/>
      </w:pPr>
      <w:r w:rsidRPr="00523370">
        <w:t>Where multiple medicines were required to be used in combination for a given indication, these were considered together as a single regimen-indication pair.</w:t>
      </w:r>
    </w:p>
    <w:p w14:paraId="606505F1" w14:textId="69E014E6" w:rsidR="00C338E8" w:rsidRDefault="00B12E4F" w:rsidP="00C56A35">
      <w:pPr>
        <w:pStyle w:val="Bullet"/>
        <w:keepNext/>
        <w:keepLines/>
        <w:spacing w:before="120"/>
      </w:pPr>
      <w:r>
        <w:t>For</w:t>
      </w:r>
      <w:r w:rsidRPr="00523370">
        <w:t xml:space="preserve"> medicines listed without restriction in Australia that were either not included or listed with restrictions in Pharmac</w:t>
      </w:r>
      <w:r w:rsidR="00D34911">
        <w:t>’</w:t>
      </w:r>
      <w:r w:rsidRPr="00523370">
        <w:t>s Pharmaceutical Schedule</w:t>
      </w:r>
      <w:r>
        <w:t>,</w:t>
      </w:r>
      <w:r w:rsidRPr="00523370">
        <w:t xml:space="preserve"> specific indications were sought using the Australian </w:t>
      </w:r>
      <w:r>
        <w:t>TGA-</w:t>
      </w:r>
      <w:r w:rsidRPr="00523370">
        <w:t>approved product information (the equivalent of the Medsafe approved Data Sheet in Aotearoa) and eviQ</w:t>
      </w:r>
      <w:r w:rsidRPr="00523370">
        <w:rPr>
          <w:vertAlign w:val="superscript"/>
        </w:rPr>
        <w:footnoteReference w:id="8"/>
      </w:r>
      <w:r w:rsidRPr="00523370">
        <w:t xml:space="preserve"> treatment protocols </w:t>
      </w:r>
      <w:r w:rsidRPr="00523370">
        <w:rPr>
          <w:noProof/>
        </w:rPr>
        <w:t>(Cancer Institute NSW</w:t>
      </w:r>
      <w:r>
        <w:rPr>
          <w:noProof/>
        </w:rPr>
        <w:t xml:space="preserve"> nd-a</w:t>
      </w:r>
      <w:r w:rsidRPr="00523370">
        <w:rPr>
          <w:noProof/>
        </w:rPr>
        <w:t>)</w:t>
      </w:r>
      <w:r w:rsidRPr="00523370">
        <w:t xml:space="preserve">. Each indication was then included as a separate medicine-indication </w:t>
      </w:r>
      <w:r w:rsidR="006C3758">
        <w:t xml:space="preserve">(or regimen-indication) </w:t>
      </w:r>
      <w:r w:rsidRPr="00523370">
        <w:t>pair.</w:t>
      </w:r>
    </w:p>
    <w:p w14:paraId="1EA1E697" w14:textId="77777777" w:rsidR="00C338E8" w:rsidRDefault="00C338E8" w:rsidP="00C56A35"/>
    <w:p w14:paraId="4417F045" w14:textId="77777777" w:rsidR="00C338E8" w:rsidRDefault="00B12E4F" w:rsidP="00AB141F">
      <w:pPr>
        <w:pStyle w:val="Heading4"/>
      </w:pPr>
      <w:r>
        <w:lastRenderedPageBreak/>
        <w:t>Identification</w:t>
      </w:r>
      <w:r w:rsidRPr="00285E33">
        <w:t xml:space="preserve"> of gaps between Australia and Aotearoa</w:t>
      </w:r>
    </w:p>
    <w:p w14:paraId="6569507F" w14:textId="77777777" w:rsidR="00C338E8" w:rsidRDefault="00B12E4F" w:rsidP="00A322C5">
      <w:r w:rsidRPr="00523370">
        <w:t xml:space="preserve">For each medicine-indication pair derived from the PBS </w:t>
      </w:r>
      <w:r>
        <w:t>schedule</w:t>
      </w:r>
      <w:r w:rsidRPr="00523370">
        <w:t xml:space="preserve"> at the end of this process, a manual search of Pharmac</w:t>
      </w:r>
      <w:r w:rsidR="00D34911">
        <w:t>’</w:t>
      </w:r>
      <w:r w:rsidRPr="00523370">
        <w:t>s online Pharmaceutical Schedule was conducted</w:t>
      </w:r>
      <w:r>
        <w:t xml:space="preserve">. </w:t>
      </w:r>
      <w:r w:rsidRPr="00523370">
        <w:t xml:space="preserve">Additionally, a reverse comparison was also </w:t>
      </w:r>
      <w:r>
        <w:t>made –</w:t>
      </w:r>
      <w:r w:rsidRPr="00523370">
        <w:t xml:space="preserve"> where the oncology and immunosuppressants section of the Pharmaceutical Schedule was </w:t>
      </w:r>
      <w:r>
        <w:t>assessed</w:t>
      </w:r>
      <w:r w:rsidRPr="00523370">
        <w:t xml:space="preserve"> for medicines that were funded in Aotearoa but not included in the PBS </w:t>
      </w:r>
      <w:r>
        <w:t>schedule</w:t>
      </w:r>
      <w:r w:rsidRPr="00523370">
        <w:t>.</w:t>
      </w:r>
    </w:p>
    <w:p w14:paraId="40F854FA" w14:textId="77777777" w:rsidR="00C338E8" w:rsidRDefault="00B12E4F" w:rsidP="00E4256B">
      <w:pPr>
        <w:pStyle w:val="Heading4"/>
        <w:keepLines/>
      </w:pPr>
      <w:r>
        <w:t>Assessment and categorisation</w:t>
      </w:r>
      <w:r w:rsidRPr="00285E33">
        <w:t xml:space="preserve"> of gaps </w:t>
      </w:r>
      <w:r>
        <w:t>for solid tumours</w:t>
      </w:r>
      <w:r w:rsidRPr="00285E33">
        <w:t xml:space="preserve"> based on ESMO-MCBS score</w:t>
      </w:r>
    </w:p>
    <w:p w14:paraId="11E0C3BB" w14:textId="77777777" w:rsidR="00C338E8" w:rsidRDefault="00B12E4F" w:rsidP="00E4256B">
      <w:pPr>
        <w:keepNext/>
        <w:keepLines/>
      </w:pPr>
      <w:r>
        <w:t>For</w:t>
      </w:r>
      <w:r w:rsidRPr="00523370">
        <w:t xml:space="preserve"> </w:t>
      </w:r>
      <w:r>
        <w:t xml:space="preserve">medicine-indication pairs that were funded in both countries, no further analysis was undertaken and they were categorised as </w:t>
      </w:r>
      <w:r w:rsidR="00D34911">
        <w:t>‘</w:t>
      </w:r>
      <w:r>
        <w:t>not a gap</w:t>
      </w:r>
      <w:r w:rsidR="00D34911">
        <w:t>’</w:t>
      </w:r>
      <w:r>
        <w:t>.</w:t>
      </w:r>
    </w:p>
    <w:p w14:paraId="76C1864A" w14:textId="77777777" w:rsidR="00C338E8" w:rsidRDefault="00C338E8" w:rsidP="00E4256B">
      <w:pPr>
        <w:keepNext/>
        <w:keepLines/>
      </w:pPr>
    </w:p>
    <w:p w14:paraId="7949CF46" w14:textId="77777777" w:rsidR="00C338E8" w:rsidRDefault="00B12E4F" w:rsidP="00E4256B">
      <w:pPr>
        <w:keepNext/>
        <w:keepLines/>
      </w:pPr>
      <w:r>
        <w:t xml:space="preserve">An </w:t>
      </w:r>
      <w:r w:rsidRPr="00523370">
        <w:t>ESMO-MCBS score was obtained (if available)</w:t>
      </w:r>
      <w:r>
        <w:t xml:space="preserve"> f</w:t>
      </w:r>
      <w:r w:rsidRPr="00523370">
        <w:t>or medicine-indication pairs funded in Australia but not included in Pharmac</w:t>
      </w:r>
      <w:r w:rsidR="00D34911">
        <w:t>’</w:t>
      </w:r>
      <w:r>
        <w:t>s</w:t>
      </w:r>
      <w:r w:rsidRPr="00523370">
        <w:t xml:space="preserve"> Pharmaceutical Schedule</w:t>
      </w:r>
      <w:r>
        <w:t>.</w:t>
      </w:r>
      <w:r w:rsidRPr="00523370">
        <w:t xml:space="preserve"> Where there were multiple ESMO-MCBS scores available for the same or similar medicine-indication pair gap, the highest score was used.</w:t>
      </w:r>
      <w:r>
        <w:t xml:space="preserve"> Where the PBS indication was broad and therefore covered multiple ESMO-MCBS scores, the highest score was used.</w:t>
      </w:r>
    </w:p>
    <w:p w14:paraId="1FA19D27" w14:textId="77777777" w:rsidR="00C338E8" w:rsidRDefault="00C338E8" w:rsidP="00A322C5"/>
    <w:p w14:paraId="1616AA3A" w14:textId="77777777" w:rsidR="00C338E8" w:rsidRDefault="00B12E4F" w:rsidP="00A322C5">
      <w:r w:rsidRPr="00523370">
        <w:t>For medicine-indication pair gaps with a</w:t>
      </w:r>
      <w:r>
        <w:t>n</w:t>
      </w:r>
      <w:r w:rsidRPr="00523370">
        <w:t xml:space="preserve"> ESMO-MCBS score </w:t>
      </w:r>
      <w:r>
        <w:t>of 1 or 2,</w:t>
      </w:r>
      <w:r w:rsidRPr="00523370">
        <w:t xml:space="preserve"> no further analysis was undertaken</w:t>
      </w:r>
      <w:r>
        <w:t xml:space="preserve">, and the gap was categorised as </w:t>
      </w:r>
      <w:r w:rsidR="00D34911">
        <w:t>‘</w:t>
      </w:r>
      <w:r>
        <w:t>not substantial clinical benefit</w:t>
      </w:r>
      <w:r w:rsidR="00D34911">
        <w:t>’</w:t>
      </w:r>
      <w:r>
        <w:t>. For gaps with an ESMO-MCBS score of 3 or C, an additional check of Pharmac</w:t>
      </w:r>
      <w:r w:rsidR="00D34911">
        <w:t>’</w:t>
      </w:r>
      <w:r>
        <w:t xml:space="preserve">s Pharmaceutical Schedule was made to see whether the comparator was funded. If the comparator was funded (or the comparator was a placebo) or there was no comparator (ie, a single-arm study), no further analysis was undertaken, and the gap was categorised as </w:t>
      </w:r>
      <w:r w:rsidR="00D34911">
        <w:t>‘</w:t>
      </w:r>
      <w:r>
        <w:t>not substantial clinical benefit</w:t>
      </w:r>
      <w:r w:rsidR="00D34911">
        <w:t>’</w:t>
      </w:r>
      <w:r>
        <w:t>.</w:t>
      </w:r>
    </w:p>
    <w:p w14:paraId="7E8D2A5D" w14:textId="77777777" w:rsidR="00C338E8" w:rsidRDefault="00C338E8" w:rsidP="00A322C5"/>
    <w:p w14:paraId="089F33F0" w14:textId="77777777" w:rsidR="00C338E8" w:rsidRDefault="00B12E4F" w:rsidP="00A322C5">
      <w:pPr>
        <w:keepNext/>
        <w:keepLines/>
      </w:pPr>
      <w:r>
        <w:t>For medicine</w:t>
      </w:r>
      <w:r w:rsidRPr="00523370">
        <w:t xml:space="preserve">-indication pair gaps for which there was no ESMO-MCBS score available or where the available ESMO-MCBS score was </w:t>
      </w:r>
      <w:r>
        <w:t>3 or C</w:t>
      </w:r>
      <w:r w:rsidRPr="00523370">
        <w:t xml:space="preserve"> but the comparator was not funded </w:t>
      </w:r>
      <w:r>
        <w:t>in Aotearoa, external clinical advice was sought</w:t>
      </w:r>
      <w:r w:rsidRPr="00523370">
        <w:t>.</w:t>
      </w:r>
      <w:r>
        <w:t xml:space="preserve"> In the case of gaps with a score of 3 or C, the purpose of this advice was </w:t>
      </w:r>
      <w:r w:rsidRPr="00523370">
        <w:t xml:space="preserve">to determine whether the established ESMO-MCBS score </w:t>
      </w:r>
      <w:r>
        <w:t xml:space="preserve">should </w:t>
      </w:r>
      <w:r w:rsidRPr="00523370">
        <w:t>be upgraded</w:t>
      </w:r>
      <w:r>
        <w:t xml:space="preserve">. Clinical advisors were asked what the relevant comparator would be in Aotearoa. They were then asked to consider </w:t>
      </w:r>
      <w:r w:rsidRPr="00523370">
        <w:t xml:space="preserve">whether it was likely to </w:t>
      </w:r>
      <w:r>
        <w:t xml:space="preserve">score </w:t>
      </w:r>
      <w:r w:rsidRPr="00523370">
        <w:t>ESMO</w:t>
      </w:r>
      <w:r w:rsidR="00A322C5">
        <w:noBreakHyphen/>
      </w:r>
      <w:r w:rsidRPr="00523370">
        <w:t>MCBS A</w:t>
      </w:r>
      <w:r>
        <w:t>,</w:t>
      </w:r>
      <w:r w:rsidRPr="00523370">
        <w:t xml:space="preserve"> B,</w:t>
      </w:r>
      <w:r>
        <w:t xml:space="preserve"> 4 or </w:t>
      </w:r>
      <w:r w:rsidRPr="00523370">
        <w:t>5</w:t>
      </w:r>
      <w:r>
        <w:t xml:space="preserve"> when compared against the relevant comparator</w:t>
      </w:r>
      <w:r w:rsidRPr="00523370">
        <w:t>.</w:t>
      </w:r>
      <w:r w:rsidRPr="00751FAA">
        <w:t xml:space="preserve"> </w:t>
      </w:r>
      <w:r w:rsidRPr="00523370">
        <w:t xml:space="preserve">Where </w:t>
      </w:r>
      <w:r>
        <w:t xml:space="preserve">the advisors expressed conflicting </w:t>
      </w:r>
      <w:r w:rsidRPr="00523370">
        <w:t>views, consensus was sought through further discussion</w:t>
      </w:r>
      <w:r>
        <w:t xml:space="preserve">. </w:t>
      </w:r>
      <w:r w:rsidRPr="00523370">
        <w:t xml:space="preserve">Based on the clinical advice provided, additional clinical trial evidence from the literature was reviewed, and the results (where available) </w:t>
      </w:r>
      <w:r>
        <w:t xml:space="preserve">were </w:t>
      </w:r>
      <w:r w:rsidRPr="00523370">
        <w:t xml:space="preserve">used to validate the estimated </w:t>
      </w:r>
      <w:r w:rsidR="00D34911">
        <w:t>‘</w:t>
      </w:r>
      <w:r w:rsidRPr="00523370">
        <w:t>Aotearoa-relevant</w:t>
      </w:r>
      <w:r w:rsidR="00D34911">
        <w:t>’</w:t>
      </w:r>
      <w:r w:rsidRPr="00523370">
        <w:t xml:space="preserve"> ESMO-MCBS score for those medicine-indication pair gaps where needed.</w:t>
      </w:r>
    </w:p>
    <w:p w14:paraId="5E98454B" w14:textId="77777777" w:rsidR="00C338E8" w:rsidRDefault="00C338E8" w:rsidP="00A322C5"/>
    <w:p w14:paraId="12A7368D" w14:textId="77777777" w:rsidR="00C338E8" w:rsidRDefault="00B12E4F" w:rsidP="00A322C5">
      <w:r>
        <w:t xml:space="preserve">For </w:t>
      </w:r>
      <w:r w:rsidRPr="00523370">
        <w:t>medicine-indication pair gaps for which the ESMO-MCBS score</w:t>
      </w:r>
      <w:r>
        <w:t xml:space="preserve"> was A, B, 4 or 5 (or likely to be so), further input from the</w:t>
      </w:r>
      <w:r w:rsidRPr="00523370">
        <w:t xml:space="preserve"> advisory group was sought. </w:t>
      </w:r>
      <w:r>
        <w:t>Advisors were asked</w:t>
      </w:r>
      <w:r w:rsidRPr="00523370">
        <w:t xml:space="preserve"> to</w:t>
      </w:r>
      <w:r>
        <w:t xml:space="preserve"> </w:t>
      </w:r>
      <w:r w:rsidRPr="00523370">
        <w:t xml:space="preserve">confirm the relevance of the ESMO-MCBS score </w:t>
      </w:r>
      <w:r>
        <w:t xml:space="preserve">in </w:t>
      </w:r>
      <w:r w:rsidRPr="00523370">
        <w:t>the Aotearoa clinical context</w:t>
      </w:r>
      <w:r>
        <w:t>.</w:t>
      </w:r>
    </w:p>
    <w:p w14:paraId="33E46CB5" w14:textId="77777777" w:rsidR="00C338E8" w:rsidRDefault="00C338E8" w:rsidP="00A322C5"/>
    <w:p w14:paraId="5D2B190B" w14:textId="77777777" w:rsidR="00C338E8" w:rsidRDefault="00B12E4F" w:rsidP="00A322C5">
      <w:r>
        <w:t xml:space="preserve">Through this process, each </w:t>
      </w:r>
      <w:r w:rsidRPr="00523370">
        <w:t>medicine-indication pair</w:t>
      </w:r>
      <w:r>
        <w:t xml:space="preserve"> </w:t>
      </w:r>
      <w:r w:rsidRPr="00523370">
        <w:t>was categorised as one of the following</w:t>
      </w:r>
      <w:r w:rsidR="00A322C5">
        <w:t>:</w:t>
      </w:r>
    </w:p>
    <w:p w14:paraId="596CAB2A" w14:textId="77777777" w:rsidR="00C338E8" w:rsidRDefault="00B12E4F" w:rsidP="00A322C5">
      <w:pPr>
        <w:pStyle w:val="Bullet"/>
      </w:pPr>
      <w:r w:rsidRPr="00523370">
        <w:t>Gap –</w:t>
      </w:r>
      <w:r>
        <w:t xml:space="preserve"> </w:t>
      </w:r>
      <w:r w:rsidRPr="00523370">
        <w:t>substantial</w:t>
      </w:r>
      <w:r>
        <w:t xml:space="preserve"> clinical benefit </w:t>
      </w:r>
      <w:r w:rsidRPr="00523370">
        <w:t>(ie</w:t>
      </w:r>
      <w:r>
        <w:t>,</w:t>
      </w:r>
      <w:r w:rsidRPr="00523370">
        <w:t xml:space="preserve"> ESMO-MCBS score A, B, 4 or 5 or likely to be so)</w:t>
      </w:r>
    </w:p>
    <w:p w14:paraId="38EF40E0" w14:textId="77777777" w:rsidR="00C338E8" w:rsidRDefault="00B12E4F" w:rsidP="00A322C5">
      <w:pPr>
        <w:pStyle w:val="Bullet"/>
      </w:pPr>
      <w:r w:rsidRPr="00523370">
        <w:t xml:space="preserve">Gap – </w:t>
      </w:r>
      <w:r>
        <w:t>not substantial clinical benefit</w:t>
      </w:r>
      <w:r w:rsidRPr="00523370">
        <w:t xml:space="preserve"> (ie</w:t>
      </w:r>
      <w:r>
        <w:t>,</w:t>
      </w:r>
      <w:r w:rsidRPr="00523370">
        <w:t xml:space="preserve"> ESMO-MCBS score unlikely to be A</w:t>
      </w:r>
      <w:r>
        <w:t xml:space="preserve">, </w:t>
      </w:r>
      <w:r w:rsidRPr="00523370">
        <w:t>B</w:t>
      </w:r>
      <w:r>
        <w:t xml:space="preserve">, </w:t>
      </w:r>
      <w:r w:rsidRPr="00523370">
        <w:t>4</w:t>
      </w:r>
      <w:r>
        <w:t xml:space="preserve"> or </w:t>
      </w:r>
      <w:r w:rsidRPr="00523370">
        <w:t>5)</w:t>
      </w:r>
    </w:p>
    <w:p w14:paraId="4D98AA50" w14:textId="77777777" w:rsidR="00C338E8" w:rsidRDefault="00B12E4F" w:rsidP="00A322C5">
      <w:pPr>
        <w:pStyle w:val="Bullet"/>
      </w:pPr>
      <w:r w:rsidRPr="00523370">
        <w:t>Gap – uncategorised (ie</w:t>
      </w:r>
      <w:r>
        <w:t>,</w:t>
      </w:r>
      <w:r w:rsidRPr="00523370">
        <w:t xml:space="preserve"> unable to estimate a relevant ESMO-MCBS score)</w:t>
      </w:r>
    </w:p>
    <w:p w14:paraId="74CAB034" w14:textId="77777777" w:rsidR="00C338E8" w:rsidRDefault="00B12E4F" w:rsidP="00A322C5">
      <w:pPr>
        <w:pStyle w:val="Bullet"/>
      </w:pPr>
      <w:r>
        <w:t>Not a gap (ie, same access in both Australia and Aotearoa).</w:t>
      </w:r>
    </w:p>
    <w:p w14:paraId="1ED69F5F" w14:textId="77777777" w:rsidR="00C338E8" w:rsidRDefault="00C338E8" w:rsidP="00A322C5"/>
    <w:p w14:paraId="2AACC951" w14:textId="77777777" w:rsidR="00C338E8" w:rsidRDefault="00B12E4F" w:rsidP="00A322C5">
      <w:r>
        <w:lastRenderedPageBreak/>
        <w:t>For gaps associated with substantial clinical benefit and where there was more than one equivalent option for a given indication (such as multiple options within the same drug class), these were considered as a single gap.</w:t>
      </w:r>
    </w:p>
    <w:p w14:paraId="314C21F0" w14:textId="77777777" w:rsidR="00C338E8" w:rsidRPr="00E4256B" w:rsidRDefault="00B12E4F" w:rsidP="00E4256B">
      <w:pPr>
        <w:pStyle w:val="Heading4"/>
      </w:pPr>
      <w:r w:rsidRPr="00E4256B">
        <w:t>Assessment of gaps for haematological malignancies (blood cancers)</w:t>
      </w:r>
    </w:p>
    <w:p w14:paraId="40B0EE36" w14:textId="3CA11B11" w:rsidR="00C338E8" w:rsidRDefault="00B12E4F" w:rsidP="00E4256B">
      <w:pPr>
        <w:keepNext/>
        <w:keepLines/>
      </w:pPr>
      <w:r>
        <w:t xml:space="preserve">As previously described, formal gap categorisation based on ESMO-MCBS was not able to be performed for blood cancer medicines. However, where a preliminary score had been calculated by EHA, this was </w:t>
      </w:r>
      <w:r w:rsidR="00E5192F">
        <w:t>provided</w:t>
      </w:r>
      <w:r>
        <w:t>. Furthermore, current Pharmac status was documented.</w:t>
      </w:r>
    </w:p>
    <w:p w14:paraId="5EAF5758" w14:textId="77777777" w:rsidR="00C338E8" w:rsidRPr="009F6865" w:rsidRDefault="00B12E4F" w:rsidP="009F6865">
      <w:pPr>
        <w:pStyle w:val="Heading4"/>
      </w:pPr>
      <w:r w:rsidRPr="009F6865">
        <w:t>Description of gaps for medicines for solid tumours associated with substantial clinical benefit</w:t>
      </w:r>
    </w:p>
    <w:p w14:paraId="07B6C0FC" w14:textId="77777777" w:rsidR="00C338E8" w:rsidRDefault="00B12E4F" w:rsidP="00A322C5">
      <w:pPr>
        <w:keepNext/>
        <w:rPr>
          <w:lang w:eastAsia="en-NZ"/>
        </w:rPr>
      </w:pPr>
      <w:r w:rsidRPr="00523370">
        <w:rPr>
          <w:lang w:eastAsia="en-NZ"/>
        </w:rPr>
        <w:t xml:space="preserve">For </w:t>
      </w:r>
      <w:r>
        <w:rPr>
          <w:lang w:eastAsia="en-NZ"/>
        </w:rPr>
        <w:t xml:space="preserve">each </w:t>
      </w:r>
      <w:r w:rsidRPr="00523370">
        <w:rPr>
          <w:lang w:eastAsia="en-NZ"/>
        </w:rPr>
        <w:t xml:space="preserve">gap categorised as </w:t>
      </w:r>
      <w:r>
        <w:rPr>
          <w:lang w:eastAsia="en-NZ"/>
        </w:rPr>
        <w:t xml:space="preserve">having </w:t>
      </w:r>
      <w:r w:rsidRPr="00523370">
        <w:rPr>
          <w:lang w:eastAsia="en-NZ"/>
        </w:rPr>
        <w:t>lik</w:t>
      </w:r>
      <w:r>
        <w:rPr>
          <w:lang w:eastAsia="en-NZ"/>
        </w:rPr>
        <w:t>e</w:t>
      </w:r>
      <w:r w:rsidRPr="00523370">
        <w:rPr>
          <w:lang w:eastAsia="en-NZ"/>
        </w:rPr>
        <w:t>ly substantial</w:t>
      </w:r>
      <w:r>
        <w:rPr>
          <w:lang w:eastAsia="en-NZ"/>
        </w:rPr>
        <w:t xml:space="preserve"> clinical benefit in the Aotearoa setting</w:t>
      </w:r>
      <w:r w:rsidRPr="00523370">
        <w:rPr>
          <w:lang w:eastAsia="en-NZ"/>
        </w:rPr>
        <w:t xml:space="preserve">, </w:t>
      </w:r>
      <w:r>
        <w:rPr>
          <w:lang w:eastAsia="en-NZ"/>
        </w:rPr>
        <w:t>additional information was collated, including:</w:t>
      </w:r>
    </w:p>
    <w:p w14:paraId="09163A40" w14:textId="77777777" w:rsidR="00C338E8" w:rsidRDefault="00B12E4F" w:rsidP="00A322C5">
      <w:pPr>
        <w:pStyle w:val="Bullet"/>
        <w:keepNext/>
        <w:rPr>
          <w:lang w:eastAsia="en-NZ"/>
        </w:rPr>
      </w:pPr>
      <w:r>
        <w:rPr>
          <w:lang w:eastAsia="en-NZ"/>
        </w:rPr>
        <w:t>a description of the clinical benefit informing the ESMO-MCBS categorisation</w:t>
      </w:r>
    </w:p>
    <w:p w14:paraId="1032F7E3" w14:textId="2363226D" w:rsidR="00C338E8" w:rsidRDefault="00B12E4F" w:rsidP="00A322C5">
      <w:pPr>
        <w:pStyle w:val="Bullet"/>
      </w:pPr>
      <w:r>
        <w:t xml:space="preserve">a description of how addressing the gap might change current </w:t>
      </w:r>
      <w:r w:rsidR="00B135E7">
        <w:t>clinical practice</w:t>
      </w:r>
    </w:p>
    <w:p w14:paraId="0E5C7771" w14:textId="77777777" w:rsidR="00C338E8" w:rsidRDefault="00B12E4F" w:rsidP="00A322C5">
      <w:pPr>
        <w:pStyle w:val="Bullet"/>
        <w:rPr>
          <w:rFonts w:ascii="Calibri" w:hAnsi="Calibri" w:cs="Calibri"/>
          <w:lang w:eastAsia="en-NZ"/>
        </w:rPr>
      </w:pPr>
      <w:r>
        <w:t>an estimation of the eligible patient population, based largely on Pharmac assessments, where this information was available</w:t>
      </w:r>
    </w:p>
    <w:p w14:paraId="0C5ED177" w14:textId="77777777" w:rsidR="00C338E8" w:rsidRDefault="00B12E4F" w:rsidP="00A322C5">
      <w:pPr>
        <w:pStyle w:val="Bullet"/>
        <w:rPr>
          <w:lang w:eastAsia="en-NZ"/>
        </w:rPr>
      </w:pPr>
      <w:r>
        <w:rPr>
          <w:lang w:eastAsia="en-NZ"/>
        </w:rPr>
        <w:t xml:space="preserve">the </w:t>
      </w:r>
      <w:r w:rsidRPr="004907B8">
        <w:rPr>
          <w:lang w:eastAsia="en-NZ"/>
        </w:rPr>
        <w:t xml:space="preserve">associated health system requirements if gaps were funded, </w:t>
      </w:r>
      <w:r>
        <w:rPr>
          <w:lang w:eastAsia="en-NZ"/>
        </w:rPr>
        <w:t>for example,</w:t>
      </w:r>
      <w:r w:rsidRPr="004907B8">
        <w:rPr>
          <w:lang w:eastAsia="en-NZ"/>
        </w:rPr>
        <w:t xml:space="preserve"> additional clinic visits, infusion capacity and associated molecular testing</w:t>
      </w:r>
    </w:p>
    <w:p w14:paraId="2C968A8A" w14:textId="77777777" w:rsidR="00C338E8" w:rsidRDefault="00B12E4F" w:rsidP="00A322C5">
      <w:pPr>
        <w:pStyle w:val="Bullet"/>
        <w:rPr>
          <w:lang w:eastAsia="en-NZ"/>
        </w:rPr>
      </w:pPr>
      <w:r>
        <w:rPr>
          <w:lang w:eastAsia="en-NZ"/>
        </w:rPr>
        <w:t>associated patient considerations, such as longer or shorter treatment times, travel requirements and side effects.</w:t>
      </w:r>
    </w:p>
    <w:p w14:paraId="5D1F6112" w14:textId="77777777" w:rsidR="008C38CA" w:rsidRDefault="008C38CA" w:rsidP="008C38CA">
      <w:pPr>
        <w:pStyle w:val="Bullet"/>
        <w:keepNext/>
        <w:rPr>
          <w:lang w:eastAsia="en-NZ"/>
        </w:rPr>
      </w:pPr>
      <w:r w:rsidRPr="00523370">
        <w:rPr>
          <w:lang w:eastAsia="en-NZ"/>
        </w:rPr>
        <w:t>a</w:t>
      </w:r>
      <w:r>
        <w:rPr>
          <w:lang w:eastAsia="en-NZ"/>
        </w:rPr>
        <w:t>n</w:t>
      </w:r>
      <w:r w:rsidRPr="00523370">
        <w:rPr>
          <w:lang w:eastAsia="en-NZ"/>
        </w:rPr>
        <w:t xml:space="preserve"> </w:t>
      </w:r>
      <w:r>
        <w:rPr>
          <w:lang w:eastAsia="en-NZ"/>
        </w:rPr>
        <w:t xml:space="preserve">epidemiological </w:t>
      </w:r>
      <w:r w:rsidRPr="00523370">
        <w:rPr>
          <w:lang w:eastAsia="en-NZ"/>
        </w:rPr>
        <w:t>description of the relevant cancer</w:t>
      </w:r>
      <w:r>
        <w:rPr>
          <w:lang w:eastAsia="en-NZ"/>
        </w:rPr>
        <w:t>, including incidence, mortality, survival and inequities across each of these</w:t>
      </w:r>
    </w:p>
    <w:p w14:paraId="49DA774B" w14:textId="77777777" w:rsidR="008C38CA" w:rsidRDefault="008C38CA" w:rsidP="00E4256B">
      <w:pPr>
        <w:pStyle w:val="Bullet"/>
        <w:numPr>
          <w:ilvl w:val="0"/>
          <w:numId w:val="0"/>
        </w:numPr>
        <w:ind w:left="284"/>
        <w:rPr>
          <w:lang w:eastAsia="en-NZ"/>
        </w:rPr>
      </w:pPr>
    </w:p>
    <w:p w14:paraId="264D8E7A" w14:textId="77777777" w:rsidR="00C338E8" w:rsidRDefault="00C338E8" w:rsidP="00A322C5">
      <w:pPr>
        <w:rPr>
          <w:lang w:eastAsia="en-NZ"/>
        </w:rPr>
      </w:pPr>
    </w:p>
    <w:p w14:paraId="085F9698" w14:textId="77777777" w:rsidR="00C338E8" w:rsidRDefault="0056499C" w:rsidP="00A322C5">
      <w:hyperlink w:anchor="Figure_2" w:history="1">
        <w:r w:rsidR="00F41E5F" w:rsidRPr="00F41E5F">
          <w:rPr>
            <w:rStyle w:val="Hyperlink"/>
          </w:rPr>
          <w:t>Figure 2</w:t>
        </w:r>
      </w:hyperlink>
      <w:r w:rsidR="00B12E4F" w:rsidRPr="00523370">
        <w:t xml:space="preserve"> illustrates the </w:t>
      </w:r>
      <w:r w:rsidR="00B12E4F">
        <w:t>process</w:t>
      </w:r>
      <w:r w:rsidR="00B12E4F" w:rsidRPr="00523370">
        <w:t xml:space="preserve"> described above.</w:t>
      </w:r>
    </w:p>
    <w:p w14:paraId="56210881" w14:textId="77777777" w:rsidR="00C338E8" w:rsidRDefault="00C338E8" w:rsidP="00B12E4F"/>
    <w:p w14:paraId="4C501B0C" w14:textId="0CF747A5" w:rsidR="00C338E8" w:rsidRDefault="00A322C5" w:rsidP="00A322C5">
      <w:pPr>
        <w:pStyle w:val="Figure"/>
      </w:pPr>
      <w:bookmarkStart w:id="180" w:name="_Ref101270031"/>
      <w:bookmarkStart w:id="181" w:name="_Toc101365638"/>
      <w:bookmarkStart w:id="182" w:name="Figure_2"/>
      <w:r>
        <w:lastRenderedPageBreak/>
        <w:t>Figure </w:t>
      </w:r>
      <w:r w:rsidR="0056499C">
        <w:fldChar w:fldCharType="begin"/>
      </w:r>
      <w:r w:rsidR="0056499C">
        <w:instrText xml:space="preserve"> SEQ Figure \* ARABIC </w:instrText>
      </w:r>
      <w:r w:rsidR="0056499C">
        <w:fldChar w:fldCharType="separate"/>
      </w:r>
      <w:r w:rsidR="00386819">
        <w:rPr>
          <w:noProof/>
        </w:rPr>
        <w:t>2</w:t>
      </w:r>
      <w:r w:rsidR="0056499C">
        <w:rPr>
          <w:noProof/>
        </w:rPr>
        <w:fldChar w:fldCharType="end"/>
      </w:r>
      <w:bookmarkEnd w:id="180"/>
      <w:r w:rsidR="00B12E4F" w:rsidRPr="00523370">
        <w:t xml:space="preserve">: </w:t>
      </w:r>
      <w:r w:rsidR="00B12E4F">
        <w:t>Process for comparing</w:t>
      </w:r>
      <w:r w:rsidR="00B12E4F" w:rsidRPr="00523370">
        <w:t xml:space="preserve"> </w:t>
      </w:r>
      <w:r w:rsidR="00B12E4F">
        <w:t>solid tumour</w:t>
      </w:r>
      <w:r w:rsidR="00B12E4F" w:rsidRPr="00523370">
        <w:t xml:space="preserve"> cancer medicine</w:t>
      </w:r>
      <w:r w:rsidR="00B12E4F">
        <w:t>s</w:t>
      </w:r>
      <w:r w:rsidR="00D34911">
        <w:t>’</w:t>
      </w:r>
      <w:r w:rsidR="00B12E4F" w:rsidRPr="00523370">
        <w:t xml:space="preserve"> availability in Aotearoa and Australia</w:t>
      </w:r>
      <w:bookmarkEnd w:id="181"/>
    </w:p>
    <w:p w14:paraId="382A8190" w14:textId="3B7E634B" w:rsidR="00C338E8" w:rsidRPr="00A322C5" w:rsidRDefault="00691418" w:rsidP="00A322C5">
      <w:bookmarkStart w:id="183" w:name="_Toc100738320"/>
      <w:bookmarkStart w:id="184" w:name="_Toc100739022"/>
      <w:bookmarkStart w:id="185" w:name="_Toc99443159"/>
      <w:bookmarkStart w:id="186" w:name="_Toc99443570"/>
      <w:bookmarkStart w:id="187" w:name="_Toc99443725"/>
      <w:bookmarkStart w:id="188" w:name="_Toc99451910"/>
      <w:bookmarkStart w:id="189" w:name="_Toc99456181"/>
      <w:bookmarkEnd w:id="182"/>
      <w:r>
        <w:rPr>
          <w:noProof/>
        </w:rPr>
        <w:drawing>
          <wp:inline distT="0" distB="0" distL="0" distR="0" wp14:anchorId="0D654ACC" wp14:editId="02240E96">
            <wp:extent cx="5130165" cy="8038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30165" cy="8038465"/>
                    </a:xfrm>
                    <a:prstGeom prst="rect">
                      <a:avLst/>
                    </a:prstGeom>
                    <a:noFill/>
                    <a:ln>
                      <a:noFill/>
                    </a:ln>
                  </pic:spPr>
                </pic:pic>
              </a:graphicData>
            </a:graphic>
          </wp:inline>
        </w:drawing>
      </w:r>
    </w:p>
    <w:p w14:paraId="51B941DC" w14:textId="77777777" w:rsidR="00C338E8" w:rsidRDefault="00C338E8" w:rsidP="00A322C5">
      <w:pPr>
        <w:rPr>
          <w:lang w:eastAsia="en-NZ"/>
        </w:rPr>
      </w:pPr>
    </w:p>
    <w:p w14:paraId="4B2078E0" w14:textId="77777777" w:rsidR="00C338E8" w:rsidRDefault="00B12E4F" w:rsidP="005C32EF">
      <w:pPr>
        <w:pStyle w:val="Heading2"/>
        <w:rPr>
          <w:lang w:eastAsia="en-NZ"/>
        </w:rPr>
      </w:pPr>
      <w:bookmarkStart w:id="190" w:name="_Toc101618154"/>
      <w:r w:rsidRPr="00523370">
        <w:rPr>
          <w:lang w:eastAsia="en-NZ"/>
        </w:rPr>
        <w:lastRenderedPageBreak/>
        <w:t>Comparison with Ontario, Canada</w:t>
      </w:r>
      <w:bookmarkEnd w:id="183"/>
      <w:bookmarkEnd w:id="184"/>
      <w:bookmarkEnd w:id="185"/>
      <w:bookmarkEnd w:id="186"/>
      <w:bookmarkEnd w:id="187"/>
      <w:bookmarkEnd w:id="188"/>
      <w:bookmarkEnd w:id="189"/>
      <w:bookmarkEnd w:id="190"/>
    </w:p>
    <w:p w14:paraId="37CA0F0E" w14:textId="77777777" w:rsidR="00A322C5" w:rsidRDefault="00B12E4F" w:rsidP="00A322C5">
      <w:pPr>
        <w:rPr>
          <w:lang w:eastAsia="en-NZ"/>
        </w:rPr>
      </w:pPr>
      <w:r w:rsidRPr="00523370">
        <w:rPr>
          <w:lang w:eastAsia="en-NZ"/>
        </w:rPr>
        <w:t>The list of medicine-indication pair</w:t>
      </w:r>
      <w:r>
        <w:rPr>
          <w:lang w:eastAsia="en-NZ"/>
        </w:rPr>
        <w:t xml:space="preserve"> gaps</w:t>
      </w:r>
      <w:r w:rsidRPr="00523370">
        <w:rPr>
          <w:lang w:eastAsia="en-NZ"/>
        </w:rPr>
        <w:t xml:space="preserve"> </w:t>
      </w:r>
      <w:r>
        <w:rPr>
          <w:lang w:eastAsia="en-NZ"/>
        </w:rPr>
        <w:t xml:space="preserve">in Aotearoa that were likely to offer substantial clinical benefit </w:t>
      </w:r>
      <w:r w:rsidRPr="00523370">
        <w:rPr>
          <w:lang w:eastAsia="en-NZ"/>
        </w:rPr>
        <w:t xml:space="preserve">was then </w:t>
      </w:r>
      <w:r>
        <w:rPr>
          <w:lang w:eastAsia="en-NZ"/>
        </w:rPr>
        <w:t xml:space="preserve">checked against their funding status in </w:t>
      </w:r>
      <w:r w:rsidRPr="00523370">
        <w:rPr>
          <w:lang w:eastAsia="en-NZ"/>
        </w:rPr>
        <w:t>Ontario, Canada. An initial comparison was completed by an oncology pharmacist practicing in Ontario, with additional assessment and clarification using the Cancer Care Ontario Drug Formulary (Cancer Care Ontario</w:t>
      </w:r>
      <w:r>
        <w:rPr>
          <w:lang w:eastAsia="en-NZ"/>
        </w:rPr>
        <w:t xml:space="preserve"> nd</w:t>
      </w:r>
      <w:r w:rsidRPr="00523370">
        <w:rPr>
          <w:lang w:eastAsia="en-NZ"/>
        </w:rPr>
        <w:t>). Medicine-indication pairs were then categorised as not funded, funded (universally) or funded (not universally).</w:t>
      </w:r>
    </w:p>
    <w:p w14:paraId="504F08C8" w14:textId="24BF2EFA" w:rsidR="00C338E8" w:rsidRPr="00174C8A" w:rsidRDefault="00B12E4F" w:rsidP="00A322C5">
      <w:pPr>
        <w:pStyle w:val="Heading1"/>
        <w:rPr>
          <w:rFonts w:ascii="Montserrat" w:hAnsi="Montserrat"/>
        </w:rPr>
      </w:pPr>
      <w:bookmarkStart w:id="191" w:name="_Toc100739023"/>
      <w:bookmarkStart w:id="192" w:name="_Toc101618155"/>
      <w:r w:rsidRPr="00174C8A">
        <w:rPr>
          <w:rFonts w:ascii="Montserrat" w:hAnsi="Montserrat"/>
        </w:rPr>
        <w:lastRenderedPageBreak/>
        <w:t>NGĀ HUA</w:t>
      </w:r>
      <w:r w:rsidR="0022051B">
        <w:rPr>
          <w:rFonts w:ascii="Montserrat" w:hAnsi="Montserrat"/>
        </w:rPr>
        <w:br/>
      </w:r>
      <w:r w:rsidRPr="00174C8A">
        <w:rPr>
          <w:rFonts w:ascii="Montserrat" w:hAnsi="Montserrat"/>
          <w:color w:val="0AB58F"/>
        </w:rPr>
        <w:t>RESULTS</w:t>
      </w:r>
      <w:bookmarkEnd w:id="191"/>
      <w:bookmarkEnd w:id="192"/>
    </w:p>
    <w:p w14:paraId="0310C3B7" w14:textId="77777777" w:rsidR="00C338E8" w:rsidRDefault="00B12E4F" w:rsidP="005E5456">
      <w:pPr>
        <w:pStyle w:val="Heading2"/>
      </w:pPr>
      <w:bookmarkStart w:id="193" w:name="_Toc100739024"/>
      <w:bookmarkStart w:id="194" w:name="_Toc99443161"/>
      <w:bookmarkStart w:id="195" w:name="_Toc99443572"/>
      <w:bookmarkStart w:id="196" w:name="_Toc99443727"/>
      <w:bookmarkStart w:id="197" w:name="_Toc99451912"/>
      <w:bookmarkStart w:id="198" w:name="_Toc101618156"/>
      <w:r w:rsidRPr="001336C7">
        <w:t xml:space="preserve">Comparison with </w:t>
      </w:r>
      <w:r>
        <w:t xml:space="preserve">the </w:t>
      </w:r>
      <w:r w:rsidRPr="001336C7">
        <w:t>World Health Organization</w:t>
      </w:r>
      <w:r w:rsidR="00D34911">
        <w:t>’</w:t>
      </w:r>
      <w:r w:rsidRPr="001336C7">
        <w:t>s Essential Medicines List</w:t>
      </w:r>
      <w:bookmarkEnd w:id="193"/>
      <w:bookmarkEnd w:id="194"/>
      <w:bookmarkEnd w:id="195"/>
      <w:bookmarkEnd w:id="196"/>
      <w:bookmarkEnd w:id="197"/>
      <w:bookmarkEnd w:id="198"/>
    </w:p>
    <w:p w14:paraId="3530FBE7" w14:textId="77777777" w:rsidR="00C338E8" w:rsidRDefault="00B12E4F" w:rsidP="005E5456">
      <w:pPr>
        <w:rPr>
          <w:shd w:val="clear" w:color="auto" w:fill="FFFFFF"/>
        </w:rPr>
      </w:pPr>
      <w:r w:rsidRPr="001336C7">
        <w:rPr>
          <w:shd w:val="clear" w:color="auto" w:fill="FFFFFF"/>
        </w:rPr>
        <w:t>There were 160 medicine-indication pairs identified by the WHO as essential for cancer treatment. Of these, the vast majority are funded in Aotearoa, in many cases</w:t>
      </w:r>
      <w:r>
        <w:rPr>
          <w:shd w:val="clear" w:color="auto" w:fill="FFFFFF"/>
        </w:rPr>
        <w:t xml:space="preserve"> </w:t>
      </w:r>
      <w:r w:rsidRPr="001336C7">
        <w:rPr>
          <w:shd w:val="clear" w:color="auto" w:fill="FFFFFF"/>
        </w:rPr>
        <w:t>with no restriction on the indication for the medicine.</w:t>
      </w:r>
    </w:p>
    <w:p w14:paraId="333C9E25" w14:textId="77777777" w:rsidR="00C338E8" w:rsidRDefault="00C338E8" w:rsidP="005E5456">
      <w:pPr>
        <w:rPr>
          <w:shd w:val="clear" w:color="auto" w:fill="FFFFFF"/>
        </w:rPr>
      </w:pPr>
    </w:p>
    <w:p w14:paraId="378BB806" w14:textId="77777777" w:rsidR="00C338E8" w:rsidRDefault="00B12E4F" w:rsidP="005E5456">
      <w:pPr>
        <w:rPr>
          <w:shd w:val="clear" w:color="auto" w:fill="FFFFFF"/>
        </w:rPr>
      </w:pPr>
      <w:r w:rsidRPr="001336C7">
        <w:rPr>
          <w:shd w:val="clear" w:color="auto" w:fill="FFFFFF"/>
        </w:rPr>
        <w:t>Three medicine-indication pairs were identified as not funded in Aotearoa</w:t>
      </w:r>
      <w:r>
        <w:rPr>
          <w:shd w:val="clear" w:color="auto" w:fill="FFFFFF"/>
        </w:rPr>
        <w:t>:</w:t>
      </w:r>
      <w:r w:rsidRPr="001336C7">
        <w:rPr>
          <w:shd w:val="clear" w:color="auto" w:fill="FFFFFF"/>
        </w:rPr>
        <w:t xml:space="preserve"> afatinib for lung cancer, asparaginase for lymphoid leukaemia (a blood cancer) and realgar-indigo naturalis formulation for acute myeloid leukaemia (a blood cancer). </w:t>
      </w:r>
      <w:r>
        <w:rPr>
          <w:shd w:val="clear" w:color="auto" w:fill="FFFFFF"/>
        </w:rPr>
        <w:t xml:space="preserve">After seeking clinical advice, these were not considered to be true gaps as there were equivalent or superior funded alternatives identified for each scenario (see </w:t>
      </w:r>
      <w:hyperlink w:anchor="Table_2" w:history="1">
        <w:r w:rsidR="00F41E5F" w:rsidRPr="00F41E5F">
          <w:rPr>
            <w:rStyle w:val="Hyperlink"/>
            <w:shd w:val="clear" w:color="auto" w:fill="FFFFFF"/>
          </w:rPr>
          <w:t>Table 2</w:t>
        </w:r>
      </w:hyperlink>
      <w:r>
        <w:rPr>
          <w:shd w:val="clear" w:color="auto" w:fill="FFFFFF"/>
        </w:rPr>
        <w:t>).</w:t>
      </w:r>
      <w:r w:rsidRPr="001336C7">
        <w:rPr>
          <w:shd w:val="clear" w:color="auto" w:fill="FFFFFF"/>
        </w:rPr>
        <w:t xml:space="preserve"> </w:t>
      </w:r>
      <w:r>
        <w:rPr>
          <w:shd w:val="clear" w:color="auto" w:fill="FFFFFF"/>
        </w:rPr>
        <w:t xml:space="preserve">Further detail is provided in </w:t>
      </w:r>
      <w:hyperlink w:anchor="Appendix_2_Table_2point1" w:history="1">
        <w:r w:rsidR="005E5456">
          <w:rPr>
            <w:rStyle w:val="Hyperlink"/>
            <w:rFonts w:eastAsia="MS Gothic" w:cs="Calibri"/>
            <w:shd w:val="clear" w:color="auto" w:fill="FFFFFF"/>
          </w:rPr>
          <w:t>Appendix 2, T</w:t>
        </w:r>
        <w:r w:rsidRPr="005D74C6">
          <w:rPr>
            <w:rStyle w:val="Hyperlink"/>
            <w:rFonts w:eastAsia="MS Gothic" w:cs="Calibri"/>
            <w:shd w:val="clear" w:color="auto" w:fill="FFFFFF"/>
          </w:rPr>
          <w:t>able 2.1.</w:t>
        </w:r>
      </w:hyperlink>
    </w:p>
    <w:p w14:paraId="061F9C12" w14:textId="77777777" w:rsidR="00C338E8" w:rsidRDefault="00C338E8" w:rsidP="00B12E4F">
      <w:pPr>
        <w:rPr>
          <w:rFonts w:ascii="Calibri" w:hAnsi="Calibri" w:cs="Calibri"/>
          <w:color w:val="000000"/>
          <w:shd w:val="clear" w:color="auto" w:fill="FFFFFF"/>
        </w:rPr>
      </w:pPr>
    </w:p>
    <w:p w14:paraId="05B30282" w14:textId="5AF9C31B" w:rsidR="00B12E4F" w:rsidRDefault="005E5456" w:rsidP="005E5456">
      <w:pPr>
        <w:pStyle w:val="Table"/>
        <w:rPr>
          <w:shd w:val="clear" w:color="auto" w:fill="FFFFFF"/>
        </w:rPr>
      </w:pPr>
      <w:bookmarkStart w:id="199" w:name="Table_2"/>
      <w:bookmarkStart w:id="200" w:name="_Ref101275753"/>
      <w:bookmarkStart w:id="201" w:name="_Toc101365596"/>
      <w:bookmarkEnd w:id="199"/>
      <w:r>
        <w:t>Table </w:t>
      </w:r>
      <w:r w:rsidR="0056499C">
        <w:fldChar w:fldCharType="begin"/>
      </w:r>
      <w:r w:rsidR="0056499C">
        <w:instrText xml:space="preserve"> SEQ Table \* ARABIC </w:instrText>
      </w:r>
      <w:r w:rsidR="0056499C">
        <w:fldChar w:fldCharType="separate"/>
      </w:r>
      <w:r w:rsidR="00386819">
        <w:rPr>
          <w:noProof/>
        </w:rPr>
        <w:t>2</w:t>
      </w:r>
      <w:r w:rsidR="0056499C">
        <w:rPr>
          <w:noProof/>
        </w:rPr>
        <w:fldChar w:fldCharType="end"/>
      </w:r>
      <w:bookmarkEnd w:id="200"/>
      <w:r w:rsidR="00B12E4F" w:rsidRPr="008C4375">
        <w:rPr>
          <w:shd w:val="clear" w:color="auto" w:fill="FFFFFF"/>
        </w:rPr>
        <w:t xml:space="preserve">: </w:t>
      </w:r>
      <w:r w:rsidR="00B12E4F">
        <w:rPr>
          <w:shd w:val="clear" w:color="auto" w:fill="FFFFFF"/>
        </w:rPr>
        <w:t>A</w:t>
      </w:r>
      <w:r w:rsidR="00B12E4F" w:rsidRPr="008C4375">
        <w:rPr>
          <w:shd w:val="clear" w:color="auto" w:fill="FFFFFF"/>
        </w:rPr>
        <w:t>ssessment of differences between Aotearoa and WHO</w:t>
      </w:r>
      <w:r w:rsidR="00B12E4F">
        <w:rPr>
          <w:shd w:val="clear" w:color="auto" w:fill="FFFFFF"/>
        </w:rPr>
        <w:t>-</w:t>
      </w:r>
      <w:r w:rsidR="00B12E4F" w:rsidRPr="008C4375">
        <w:rPr>
          <w:shd w:val="clear" w:color="auto" w:fill="FFFFFF"/>
        </w:rPr>
        <w:t>EML</w:t>
      </w:r>
      <w:bookmarkEnd w:id="201"/>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4076"/>
        <w:gridCol w:w="1984"/>
      </w:tblGrid>
      <w:tr w:rsidR="005E5456" w:rsidRPr="005E5456" w14:paraId="1A377A95" w14:textId="77777777" w:rsidTr="005E5456">
        <w:trPr>
          <w:cantSplit/>
        </w:trPr>
        <w:tc>
          <w:tcPr>
            <w:tcW w:w="2020" w:type="dxa"/>
            <w:tcBorders>
              <w:top w:val="nil"/>
              <w:bottom w:val="nil"/>
            </w:tcBorders>
            <w:shd w:val="clear" w:color="auto" w:fill="C2D9BA"/>
          </w:tcPr>
          <w:p w14:paraId="3F73EFE5" w14:textId="77777777" w:rsidR="005E5456" w:rsidRPr="005E5456" w:rsidRDefault="005E5456" w:rsidP="005E5456">
            <w:pPr>
              <w:pStyle w:val="TableText"/>
              <w:ind w:right="113"/>
              <w:rPr>
                <w:b/>
              </w:rPr>
            </w:pPr>
            <w:r w:rsidRPr="005E5456">
              <w:rPr>
                <w:b/>
              </w:rPr>
              <w:t>Medicine</w:t>
            </w:r>
          </w:p>
        </w:tc>
        <w:tc>
          <w:tcPr>
            <w:tcW w:w="4076" w:type="dxa"/>
            <w:tcBorders>
              <w:top w:val="nil"/>
              <w:bottom w:val="nil"/>
            </w:tcBorders>
            <w:shd w:val="clear" w:color="auto" w:fill="C2D9BA"/>
          </w:tcPr>
          <w:p w14:paraId="5DC706A5" w14:textId="77777777" w:rsidR="005E5456" w:rsidRPr="005E5456" w:rsidRDefault="005E5456" w:rsidP="005E5456">
            <w:pPr>
              <w:pStyle w:val="TableText"/>
              <w:ind w:right="113"/>
              <w:rPr>
                <w:b/>
              </w:rPr>
            </w:pPr>
            <w:r w:rsidRPr="005E5456">
              <w:rPr>
                <w:b/>
              </w:rPr>
              <w:t>Indication specified in WHO-EML</w:t>
            </w:r>
          </w:p>
        </w:tc>
        <w:tc>
          <w:tcPr>
            <w:tcW w:w="1984" w:type="dxa"/>
            <w:tcBorders>
              <w:top w:val="nil"/>
              <w:bottom w:val="nil"/>
            </w:tcBorders>
            <w:shd w:val="clear" w:color="auto" w:fill="C2D9BA"/>
          </w:tcPr>
          <w:p w14:paraId="3756DBB5" w14:textId="77777777" w:rsidR="005E5456" w:rsidRPr="005E5456" w:rsidRDefault="005E5456" w:rsidP="00F64599">
            <w:pPr>
              <w:pStyle w:val="TableText"/>
              <w:rPr>
                <w:b/>
              </w:rPr>
            </w:pPr>
            <w:r w:rsidRPr="005E5456">
              <w:rPr>
                <w:b/>
              </w:rPr>
              <w:t>Therapeutic option funded in Aotearoa</w:t>
            </w:r>
          </w:p>
        </w:tc>
      </w:tr>
      <w:tr w:rsidR="005E5456" w14:paraId="2722A8CB" w14:textId="77777777" w:rsidTr="005E5456">
        <w:trPr>
          <w:cantSplit/>
        </w:trPr>
        <w:tc>
          <w:tcPr>
            <w:tcW w:w="2020" w:type="dxa"/>
            <w:tcBorders>
              <w:top w:val="nil"/>
              <w:bottom w:val="single" w:sz="4" w:space="0" w:color="C2D9BA"/>
            </w:tcBorders>
            <w:shd w:val="clear" w:color="auto" w:fill="auto"/>
          </w:tcPr>
          <w:p w14:paraId="5D667913" w14:textId="77777777" w:rsidR="005E5456" w:rsidRDefault="005E5456" w:rsidP="005E5456">
            <w:pPr>
              <w:pStyle w:val="TableText"/>
              <w:ind w:right="113"/>
              <w:rPr>
                <w:shd w:val="clear" w:color="auto" w:fill="FFFFFF"/>
              </w:rPr>
            </w:pPr>
            <w:r>
              <w:rPr>
                <w:shd w:val="clear" w:color="auto" w:fill="FFFFFF"/>
              </w:rPr>
              <w:t>Afatinib</w:t>
            </w:r>
          </w:p>
        </w:tc>
        <w:tc>
          <w:tcPr>
            <w:tcW w:w="4076" w:type="dxa"/>
            <w:tcBorders>
              <w:top w:val="nil"/>
              <w:bottom w:val="single" w:sz="4" w:space="0" w:color="C2D9BA"/>
            </w:tcBorders>
            <w:shd w:val="clear" w:color="auto" w:fill="auto"/>
          </w:tcPr>
          <w:p w14:paraId="3F3FAAAA" w14:textId="77777777" w:rsidR="005E5456" w:rsidRDefault="005E5456" w:rsidP="005E5456">
            <w:pPr>
              <w:pStyle w:val="TableText"/>
              <w:ind w:right="113"/>
              <w:rPr>
                <w:shd w:val="clear" w:color="auto" w:fill="FFFFFF"/>
              </w:rPr>
            </w:pPr>
            <w:r>
              <w:t>Other specified malignant neoplasms of bronchus or lung</w:t>
            </w:r>
          </w:p>
        </w:tc>
        <w:tc>
          <w:tcPr>
            <w:tcW w:w="1984" w:type="dxa"/>
            <w:tcBorders>
              <w:top w:val="nil"/>
              <w:bottom w:val="single" w:sz="4" w:space="0" w:color="C2D9BA"/>
            </w:tcBorders>
            <w:shd w:val="clear" w:color="auto" w:fill="auto"/>
          </w:tcPr>
          <w:p w14:paraId="088310A8" w14:textId="77777777" w:rsidR="005E5456" w:rsidRDefault="005E5456" w:rsidP="00F64599">
            <w:pPr>
              <w:pStyle w:val="TableText"/>
              <w:rPr>
                <w:shd w:val="clear" w:color="auto" w:fill="FFFFFF"/>
              </w:rPr>
            </w:pPr>
            <w:r>
              <w:rPr>
                <w:shd w:val="clear" w:color="auto" w:fill="FFFFFF"/>
              </w:rPr>
              <w:t>Erlotinib, gefitinib</w:t>
            </w:r>
          </w:p>
        </w:tc>
      </w:tr>
      <w:tr w:rsidR="005E5456" w14:paraId="5F39CF90" w14:textId="77777777" w:rsidTr="005E5456">
        <w:trPr>
          <w:cantSplit/>
        </w:trPr>
        <w:tc>
          <w:tcPr>
            <w:tcW w:w="2020" w:type="dxa"/>
            <w:tcBorders>
              <w:top w:val="single" w:sz="4" w:space="0" w:color="C2D9BA"/>
              <w:bottom w:val="single" w:sz="4" w:space="0" w:color="C2D9BA"/>
            </w:tcBorders>
            <w:shd w:val="clear" w:color="auto" w:fill="auto"/>
          </w:tcPr>
          <w:p w14:paraId="77B22A37" w14:textId="77777777" w:rsidR="005E5456" w:rsidRDefault="005E5456" w:rsidP="005E5456">
            <w:pPr>
              <w:pStyle w:val="TableText"/>
              <w:ind w:right="113"/>
              <w:rPr>
                <w:shd w:val="clear" w:color="auto" w:fill="FFFFFF"/>
              </w:rPr>
            </w:pPr>
            <w:r>
              <w:rPr>
                <w:shd w:val="clear" w:color="auto" w:fill="FFFFFF"/>
              </w:rPr>
              <w:t>Asparaginase</w:t>
            </w:r>
          </w:p>
        </w:tc>
        <w:tc>
          <w:tcPr>
            <w:tcW w:w="4076" w:type="dxa"/>
            <w:tcBorders>
              <w:top w:val="single" w:sz="4" w:space="0" w:color="C2D9BA"/>
              <w:bottom w:val="single" w:sz="4" w:space="0" w:color="C2D9BA"/>
            </w:tcBorders>
            <w:shd w:val="clear" w:color="auto" w:fill="auto"/>
          </w:tcPr>
          <w:p w14:paraId="090A8236" w14:textId="77777777" w:rsidR="005E5456" w:rsidRDefault="005E5456" w:rsidP="005E5456">
            <w:pPr>
              <w:pStyle w:val="TableText"/>
              <w:ind w:right="113"/>
              <w:rPr>
                <w:shd w:val="clear" w:color="auto" w:fill="FFFFFF"/>
              </w:rPr>
            </w:pPr>
            <w:r>
              <w:t>Lymphoid leukaemia, not otherwise specified</w:t>
            </w:r>
          </w:p>
        </w:tc>
        <w:tc>
          <w:tcPr>
            <w:tcW w:w="1984" w:type="dxa"/>
            <w:tcBorders>
              <w:top w:val="single" w:sz="4" w:space="0" w:color="C2D9BA"/>
              <w:bottom w:val="single" w:sz="4" w:space="0" w:color="C2D9BA"/>
            </w:tcBorders>
            <w:shd w:val="clear" w:color="auto" w:fill="auto"/>
          </w:tcPr>
          <w:p w14:paraId="7331F967" w14:textId="77777777" w:rsidR="005E5456" w:rsidRDefault="005E5456" w:rsidP="00F64599">
            <w:pPr>
              <w:pStyle w:val="TableText"/>
              <w:rPr>
                <w:shd w:val="clear" w:color="auto" w:fill="FFFFFF"/>
              </w:rPr>
            </w:pPr>
            <w:r>
              <w:rPr>
                <w:shd w:val="clear" w:color="auto" w:fill="FFFFFF"/>
              </w:rPr>
              <w:t>Pegaspargase</w:t>
            </w:r>
          </w:p>
        </w:tc>
      </w:tr>
      <w:tr w:rsidR="005E5456" w14:paraId="3500274D" w14:textId="77777777" w:rsidTr="005E5456">
        <w:trPr>
          <w:cantSplit/>
        </w:trPr>
        <w:tc>
          <w:tcPr>
            <w:tcW w:w="2020" w:type="dxa"/>
            <w:tcBorders>
              <w:top w:val="single" w:sz="4" w:space="0" w:color="C2D9BA"/>
              <w:bottom w:val="single" w:sz="4" w:space="0" w:color="C2D9BA"/>
            </w:tcBorders>
            <w:shd w:val="clear" w:color="auto" w:fill="auto"/>
          </w:tcPr>
          <w:p w14:paraId="47DCBDED" w14:textId="77777777" w:rsidR="005E5456" w:rsidRDefault="005E5456" w:rsidP="005E5456">
            <w:pPr>
              <w:pStyle w:val="TableText"/>
              <w:ind w:right="113"/>
              <w:rPr>
                <w:shd w:val="clear" w:color="auto" w:fill="FFFFFF"/>
              </w:rPr>
            </w:pPr>
            <w:r>
              <w:rPr>
                <w:shd w:val="clear" w:color="auto" w:fill="FFFFFF"/>
              </w:rPr>
              <w:t>Realgar-indigo naturalis formulation</w:t>
            </w:r>
          </w:p>
        </w:tc>
        <w:tc>
          <w:tcPr>
            <w:tcW w:w="4076" w:type="dxa"/>
            <w:tcBorders>
              <w:top w:val="single" w:sz="4" w:space="0" w:color="C2D9BA"/>
              <w:bottom w:val="single" w:sz="4" w:space="0" w:color="C2D9BA"/>
            </w:tcBorders>
            <w:shd w:val="clear" w:color="auto" w:fill="auto"/>
          </w:tcPr>
          <w:p w14:paraId="7A6EF52D" w14:textId="77777777" w:rsidR="005E5456" w:rsidRDefault="005E5456" w:rsidP="005E5456">
            <w:pPr>
              <w:pStyle w:val="TableText"/>
              <w:ind w:right="113"/>
              <w:rPr>
                <w:shd w:val="clear" w:color="auto" w:fill="FFFFFF"/>
              </w:rPr>
            </w:pPr>
            <w:r>
              <w:t>Acute myeloid leukaemia with recurrent genetic abnormalities</w:t>
            </w:r>
          </w:p>
        </w:tc>
        <w:tc>
          <w:tcPr>
            <w:tcW w:w="1984" w:type="dxa"/>
            <w:tcBorders>
              <w:top w:val="single" w:sz="4" w:space="0" w:color="C2D9BA"/>
              <w:bottom w:val="single" w:sz="4" w:space="0" w:color="C2D9BA"/>
            </w:tcBorders>
            <w:shd w:val="clear" w:color="auto" w:fill="auto"/>
          </w:tcPr>
          <w:p w14:paraId="0DC0B583" w14:textId="77777777" w:rsidR="005E5456" w:rsidRDefault="005E5456" w:rsidP="00F64599">
            <w:pPr>
              <w:pStyle w:val="TableText"/>
              <w:rPr>
                <w:shd w:val="clear" w:color="auto" w:fill="FFFFFF"/>
              </w:rPr>
            </w:pPr>
            <w:r>
              <w:rPr>
                <w:shd w:val="clear" w:color="auto" w:fill="FFFFFF"/>
              </w:rPr>
              <w:t>Arsenic trioxide</w:t>
            </w:r>
          </w:p>
        </w:tc>
      </w:tr>
    </w:tbl>
    <w:p w14:paraId="61F07E1A" w14:textId="77777777" w:rsidR="005E5456" w:rsidRPr="005E5456" w:rsidRDefault="005E5456" w:rsidP="005E5456"/>
    <w:p w14:paraId="62229012" w14:textId="77777777" w:rsidR="00C338E8" w:rsidRDefault="00B12E4F" w:rsidP="005E5456">
      <w:pPr>
        <w:pStyle w:val="Heading2"/>
      </w:pPr>
      <w:bookmarkStart w:id="202" w:name="_Toc100739025"/>
      <w:bookmarkStart w:id="203" w:name="_Toc99443162"/>
      <w:bookmarkStart w:id="204" w:name="_Toc99443573"/>
      <w:bookmarkStart w:id="205" w:name="_Toc99443728"/>
      <w:bookmarkStart w:id="206" w:name="_Toc99451913"/>
      <w:bookmarkStart w:id="207" w:name="_Toc101618157"/>
      <w:r w:rsidRPr="00D34911">
        <w:t>Comparison with Australia</w:t>
      </w:r>
      <w:r w:rsidR="00D34911" w:rsidRPr="00D34911">
        <w:t>’</w:t>
      </w:r>
      <w:r w:rsidRPr="00D34911">
        <w:t>s Pharmaceutical Benefits Scheme</w:t>
      </w:r>
      <w:bookmarkEnd w:id="202"/>
      <w:bookmarkEnd w:id="203"/>
      <w:bookmarkEnd w:id="204"/>
      <w:bookmarkEnd w:id="205"/>
      <w:bookmarkEnd w:id="206"/>
      <w:bookmarkEnd w:id="207"/>
    </w:p>
    <w:p w14:paraId="62FE0091" w14:textId="77777777" w:rsidR="00C338E8" w:rsidRDefault="00B12E4F" w:rsidP="005E5456">
      <w:r w:rsidRPr="0065371F">
        <w:t xml:space="preserve">There were 140 different </w:t>
      </w:r>
      <w:r>
        <w:t>cancer medicines</w:t>
      </w:r>
      <w:r w:rsidRPr="0065371F">
        <w:t xml:space="preserve"> </w:t>
      </w:r>
      <w:r>
        <w:t>(including for blood cancers)</w:t>
      </w:r>
      <w:r w:rsidRPr="0065371F">
        <w:t xml:space="preserve"> that were </w:t>
      </w:r>
      <w:r w:rsidRPr="002F0F3B">
        <w:t xml:space="preserve">funded </w:t>
      </w:r>
      <w:r>
        <w:t>in either or both Aotearoa and Australia. These medicines represented more than 200 medicine-indication pairs.</w:t>
      </w:r>
    </w:p>
    <w:p w14:paraId="5B12FB39" w14:textId="77777777" w:rsidR="00C338E8" w:rsidRPr="00CA7AD6" w:rsidRDefault="00B12E4F" w:rsidP="00CA7AD6">
      <w:pPr>
        <w:pStyle w:val="Heading3"/>
      </w:pPr>
      <w:bookmarkStart w:id="208" w:name="_Toc99443163"/>
      <w:bookmarkStart w:id="209" w:name="_Toc99443574"/>
      <w:bookmarkStart w:id="210" w:name="_Toc99443729"/>
      <w:bookmarkStart w:id="211" w:name="_Toc99451914"/>
      <w:bookmarkStart w:id="212" w:name="_Toc99456185"/>
      <w:bookmarkStart w:id="213" w:name="_Toc100738324"/>
      <w:bookmarkStart w:id="214" w:name="_Toc100739026"/>
      <w:r w:rsidRPr="00CA7AD6">
        <w:lastRenderedPageBreak/>
        <w:t>Medicines funded in both jurisdictions (solid tumour and blood cancer medicines)</w:t>
      </w:r>
      <w:bookmarkEnd w:id="208"/>
      <w:bookmarkEnd w:id="209"/>
      <w:bookmarkEnd w:id="210"/>
      <w:bookmarkEnd w:id="211"/>
      <w:bookmarkEnd w:id="212"/>
      <w:bookmarkEnd w:id="213"/>
      <w:bookmarkEnd w:id="214"/>
    </w:p>
    <w:p w14:paraId="023CA36F" w14:textId="77777777" w:rsidR="00C338E8" w:rsidRDefault="00B12E4F" w:rsidP="005E5456">
      <w:pPr>
        <w:keepNext/>
        <w:keepLines/>
        <w:rPr>
          <w:highlight w:val="yellow"/>
        </w:rPr>
      </w:pPr>
      <w:r w:rsidRPr="005E5456">
        <w:t>Seventy-one individual</w:t>
      </w:r>
      <w:r w:rsidRPr="001336C7">
        <w:t xml:space="preserve"> cancer medicines were identified as being funded in both Aotearoa and Australia</w:t>
      </w:r>
      <w:r>
        <w:t>. These medicines are likely to represent a large number of medicine-indication pairs. It was not practical to count these with precision given that over one-third of</w:t>
      </w:r>
      <w:r w:rsidRPr="001336C7">
        <w:t xml:space="preserve"> </w:t>
      </w:r>
      <w:r>
        <w:t>the medicines are</w:t>
      </w:r>
      <w:r w:rsidRPr="001336C7">
        <w:t xml:space="preserve"> funded in both jurisdictions without</w:t>
      </w:r>
      <w:r>
        <w:t xml:space="preserve"> specified indication</w:t>
      </w:r>
      <w:r w:rsidRPr="001336C7">
        <w:t xml:space="preserve"> restrictio</w:t>
      </w:r>
      <w:r>
        <w:t xml:space="preserve">ns. </w:t>
      </w:r>
      <w:r w:rsidRPr="001336C7">
        <w:t>For example, cyclophosphamide is</w:t>
      </w:r>
      <w:r>
        <w:t xml:space="preserve"> funded without restriction in both Aotearoa and Australia and is</w:t>
      </w:r>
      <w:r w:rsidRPr="001336C7">
        <w:t xml:space="preserve"> included in roughly 100 different treatment regimens across roughly 15 different tumour types </w:t>
      </w:r>
      <w:r w:rsidRPr="001336C7">
        <w:rPr>
          <w:noProof/>
        </w:rPr>
        <w:t>(Cancer Institute NSW</w:t>
      </w:r>
      <w:r>
        <w:rPr>
          <w:noProof/>
        </w:rPr>
        <w:t xml:space="preserve"> nd-b</w:t>
      </w:r>
      <w:r w:rsidRPr="001336C7">
        <w:rPr>
          <w:noProof/>
        </w:rPr>
        <w:t>)</w:t>
      </w:r>
      <w:r w:rsidRPr="001336C7">
        <w:t>.</w:t>
      </w:r>
      <w:r>
        <w:t xml:space="preserve"> A list of the medicines funded in both jurisdictions is</w:t>
      </w:r>
      <w:r w:rsidRPr="001336C7">
        <w:t xml:space="preserve"> </w:t>
      </w:r>
      <w:r>
        <w:t>presented</w:t>
      </w:r>
      <w:r w:rsidRPr="001336C7">
        <w:t xml:space="preserve"> in </w:t>
      </w:r>
      <w:hyperlink w:anchor="Appendix_3_Table_3point1" w:history="1">
        <w:r w:rsidR="005E5456">
          <w:rPr>
            <w:rStyle w:val="Hyperlink"/>
            <w:rFonts w:eastAsia="MS Gothic"/>
          </w:rPr>
          <w:t>Appendix 3, T</w:t>
        </w:r>
        <w:r w:rsidRPr="009B32DD">
          <w:rPr>
            <w:rStyle w:val="Hyperlink"/>
            <w:rFonts w:eastAsia="MS Gothic"/>
          </w:rPr>
          <w:t>able 3.1</w:t>
        </w:r>
      </w:hyperlink>
      <w:r w:rsidRPr="005D70CB">
        <w:t>.</w:t>
      </w:r>
    </w:p>
    <w:p w14:paraId="7416729E" w14:textId="77777777" w:rsidR="00C338E8" w:rsidRPr="00CA7AD6" w:rsidRDefault="00B12E4F" w:rsidP="00CA7AD6">
      <w:pPr>
        <w:pStyle w:val="Heading3"/>
      </w:pPr>
      <w:bookmarkStart w:id="215" w:name="_Toc99443164"/>
      <w:bookmarkStart w:id="216" w:name="_Toc99443575"/>
      <w:bookmarkStart w:id="217" w:name="_Toc99443730"/>
      <w:bookmarkStart w:id="218" w:name="_Toc99451915"/>
      <w:bookmarkStart w:id="219" w:name="_Toc99456186"/>
      <w:bookmarkStart w:id="220" w:name="_Toc100738325"/>
      <w:bookmarkStart w:id="221" w:name="_Toc100739027"/>
      <w:r w:rsidRPr="00CA7AD6">
        <w:t>Medicines funded in Aotearoa and not in Australia (solid tumour and blood cancer medicines)</w:t>
      </w:r>
      <w:bookmarkEnd w:id="215"/>
      <w:bookmarkEnd w:id="216"/>
      <w:bookmarkEnd w:id="217"/>
      <w:bookmarkEnd w:id="218"/>
      <w:bookmarkEnd w:id="219"/>
      <w:bookmarkEnd w:id="220"/>
      <w:bookmarkEnd w:id="221"/>
    </w:p>
    <w:p w14:paraId="1C37FF54" w14:textId="77777777" w:rsidR="00C338E8" w:rsidRDefault="00B12E4F" w:rsidP="005E5456">
      <w:r w:rsidRPr="001336C7">
        <w:t>Fourteen individual cancer medicines were funded in Aotearoa</w:t>
      </w:r>
      <w:r>
        <w:t xml:space="preserve"> but</w:t>
      </w:r>
      <w:r w:rsidRPr="001336C7">
        <w:t xml:space="preserve"> not </w:t>
      </w:r>
      <w:r>
        <w:t>included in the Australian PBS schedule, with the majority funded without restrictions.</w:t>
      </w:r>
      <w:r w:rsidRPr="00AA4F9A">
        <w:t xml:space="preserve"> </w:t>
      </w:r>
      <w:r w:rsidRPr="001336C7">
        <w:t>It is important to note that</w:t>
      </w:r>
      <w:r>
        <w:t>,</w:t>
      </w:r>
      <w:r w:rsidRPr="001336C7">
        <w:t xml:space="preserve"> due to differences in funding arrangements between Aotearoa and Australia, some of the identified gaps in Australia </w:t>
      </w:r>
      <w:r>
        <w:t>are likely</w:t>
      </w:r>
      <w:r w:rsidRPr="001336C7">
        <w:t xml:space="preserve"> </w:t>
      </w:r>
      <w:r>
        <w:t>available</w:t>
      </w:r>
      <w:r w:rsidRPr="001336C7">
        <w:t xml:space="preserve"> through </w:t>
      </w:r>
      <w:r>
        <w:t>public funding mechanisms that sit outside the PBS</w:t>
      </w:r>
      <w:r w:rsidRPr="001336C7">
        <w:t xml:space="preserve">. </w:t>
      </w:r>
      <w:r>
        <w:t>A list of the medicines funded in Aotearoa and not in Australia via the PBS is presented in</w:t>
      </w:r>
      <w:r w:rsidRPr="001336C7">
        <w:t xml:space="preserve"> </w:t>
      </w:r>
      <w:hyperlink w:anchor="Appendix_4_Table_4point1" w:history="1">
        <w:r w:rsidR="005E5456">
          <w:rPr>
            <w:rStyle w:val="Hyperlink"/>
            <w:rFonts w:eastAsia="MS Gothic"/>
          </w:rPr>
          <w:t>Appendix 4, T</w:t>
        </w:r>
        <w:r w:rsidRPr="000D1EEE">
          <w:rPr>
            <w:rStyle w:val="Hyperlink"/>
            <w:rFonts w:eastAsia="MS Gothic"/>
          </w:rPr>
          <w:t>able 4.1</w:t>
        </w:r>
      </w:hyperlink>
      <w:r>
        <w:t>.</w:t>
      </w:r>
    </w:p>
    <w:p w14:paraId="7416A215" w14:textId="77777777" w:rsidR="00C338E8" w:rsidRPr="00CA7AD6" w:rsidRDefault="00B12E4F" w:rsidP="00CA7AD6">
      <w:pPr>
        <w:pStyle w:val="Heading3"/>
      </w:pPr>
      <w:bookmarkStart w:id="222" w:name="_Toc99443165"/>
      <w:bookmarkStart w:id="223" w:name="_Toc99443576"/>
      <w:bookmarkStart w:id="224" w:name="_Toc99443731"/>
      <w:bookmarkStart w:id="225" w:name="_Toc99451916"/>
      <w:bookmarkStart w:id="226" w:name="_Toc99456187"/>
      <w:bookmarkStart w:id="227" w:name="_Toc100738326"/>
      <w:bookmarkStart w:id="228" w:name="_Toc100739028"/>
      <w:r w:rsidRPr="00CA7AD6">
        <w:t>Medicines funded in Australia and not in Aotearoa (solid tumour and blood cancer medicines)</w:t>
      </w:r>
      <w:bookmarkEnd w:id="222"/>
      <w:bookmarkEnd w:id="223"/>
      <w:bookmarkEnd w:id="224"/>
      <w:bookmarkEnd w:id="225"/>
      <w:bookmarkEnd w:id="226"/>
      <w:bookmarkEnd w:id="227"/>
      <w:bookmarkEnd w:id="228"/>
    </w:p>
    <w:p w14:paraId="2354E9CE" w14:textId="77777777" w:rsidR="00C338E8" w:rsidRDefault="00B12E4F" w:rsidP="005E5456">
      <w:r w:rsidRPr="001336C7">
        <w:t>Seventy-</w:t>
      </w:r>
      <w:r>
        <w:t>two</w:t>
      </w:r>
      <w:r w:rsidRPr="001336C7">
        <w:t xml:space="preserve"> individual cancer medicines were identified as either being funded in Australia and not in Aotearoa or funded in Aotearoa </w:t>
      </w:r>
      <w:r>
        <w:t xml:space="preserve">as well as Australia </w:t>
      </w:r>
      <w:r w:rsidRPr="001336C7">
        <w:t>but not for the specific indication. These 7</w:t>
      </w:r>
      <w:r>
        <w:t>2</w:t>
      </w:r>
      <w:r w:rsidRPr="001336C7">
        <w:t xml:space="preserve"> medicines represent</w:t>
      </w:r>
      <w:r>
        <w:t>ed</w:t>
      </w:r>
      <w:r w:rsidRPr="001336C7">
        <w:t xml:space="preserve"> 12</w:t>
      </w:r>
      <w:r>
        <w:t>6</w:t>
      </w:r>
      <w:r w:rsidRPr="001336C7">
        <w:t xml:space="preserve"> medicine-indication pairs</w:t>
      </w:r>
      <w:r>
        <w:t xml:space="preserve">, </w:t>
      </w:r>
      <w:r w:rsidRPr="001336C7">
        <w:t>including for haematology cancer indications</w:t>
      </w:r>
      <w:r>
        <w:t xml:space="preserve"> and </w:t>
      </w:r>
      <w:proofErr w:type="gramStart"/>
      <w:r>
        <w:t>taking into account</w:t>
      </w:r>
      <w:proofErr w:type="gramEnd"/>
      <w:r>
        <w:t xml:space="preserve"> likely indications (based on TGA approval and eviQ guidelines) for the small number of medicines funded in Australia without restriction.</w:t>
      </w:r>
      <w:r w:rsidRPr="00C436C2">
        <w:t xml:space="preserve"> </w:t>
      </w:r>
      <w:r w:rsidRPr="001336C7">
        <w:t xml:space="preserve">Of the </w:t>
      </w:r>
      <w:r>
        <w:t>126</w:t>
      </w:r>
      <w:r w:rsidRPr="001336C7">
        <w:t xml:space="preserve"> medicine-indication pair</w:t>
      </w:r>
      <w:r>
        <w:t xml:space="preserve"> gaps</w:t>
      </w:r>
      <w:r w:rsidRPr="001336C7">
        <w:t xml:space="preserve"> identified, </w:t>
      </w:r>
      <w:r>
        <w:t>28</w:t>
      </w:r>
      <w:r w:rsidR="005E5456">
        <w:t> </w:t>
      </w:r>
      <w:r>
        <w:t xml:space="preserve">pairs were for blood cancers, and the remaining 98 were for solid tumours. After adjusting for medicines used in combination, there was a total of </w:t>
      </w:r>
      <w:r w:rsidRPr="00C955F9">
        <w:t>8</w:t>
      </w:r>
      <w:r>
        <w:t>8 medicine-/regimen-indication pair gaps for solid tumours, and 26 for blood cancers.</w:t>
      </w:r>
      <w:r w:rsidRPr="00F114C8">
        <w:t xml:space="preserve"> </w:t>
      </w:r>
      <w:r>
        <w:t>Lists of the medicines funded in Australia and not in Aotearoa, according to ESMO-MCBS score category are presented</w:t>
      </w:r>
      <w:r w:rsidRPr="001336C7">
        <w:t xml:space="preserve"> </w:t>
      </w:r>
      <w:r>
        <w:t xml:space="preserve">in </w:t>
      </w:r>
      <w:hyperlink w:anchor="Appendix_5_Table_5point1" w:history="1">
        <w:r w:rsidR="008B3ECF">
          <w:rPr>
            <w:rStyle w:val="Hyperlink"/>
            <w:rFonts w:eastAsia="MS Gothic"/>
          </w:rPr>
          <w:t>Appendix 5, Tables 5.1–5.7</w:t>
        </w:r>
      </w:hyperlink>
      <w:r w:rsidRPr="001D6623">
        <w:t>.</w:t>
      </w:r>
    </w:p>
    <w:p w14:paraId="3881F021" w14:textId="77777777" w:rsidR="00C338E8" w:rsidRPr="00EC188E" w:rsidRDefault="00B12E4F" w:rsidP="00EC188E">
      <w:pPr>
        <w:pStyle w:val="Heading4"/>
      </w:pPr>
      <w:bookmarkStart w:id="229" w:name="_Toc100738327"/>
      <w:bookmarkStart w:id="230" w:name="_Toc100739029"/>
      <w:r w:rsidRPr="00EC188E">
        <w:lastRenderedPageBreak/>
        <w:t>Blood cancer medicines funded in Australia and not in Aotearoa</w:t>
      </w:r>
      <w:bookmarkEnd w:id="229"/>
      <w:bookmarkEnd w:id="230"/>
    </w:p>
    <w:p w14:paraId="6BE5F109" w14:textId="77777777" w:rsidR="00C338E8" w:rsidRDefault="00B12E4F" w:rsidP="005E5456">
      <w:pPr>
        <w:keepNext/>
        <w:keepLines/>
      </w:pPr>
      <w:r w:rsidRPr="00B23803">
        <w:t>Of the 2</w:t>
      </w:r>
      <w:r>
        <w:t>8</w:t>
      </w:r>
      <w:r w:rsidRPr="00B23803">
        <w:t xml:space="preserve"> medicine-indication pair gaps for blood cancers</w:t>
      </w:r>
      <w:r>
        <w:t xml:space="preserve">, once adjustments were made for medicines used in combination, there was a total of 26 medicine/regimen-indication pair gaps. Of these 26 gaps, 12 had no EHA/ESMO preliminary ESMO-MCBS score available (Kiesewetter </w:t>
      </w:r>
      <w:r w:rsidR="00C338E8">
        <w:t>et al</w:t>
      </w:r>
      <w:r>
        <w:t xml:space="preserve"> 2020). Seven gaps had preliminary scores that would indicate likely substantial clinical benefit (ie, A, B, 5 or 4). The remaining seven gaps had preliminary scores that would indicate substantial clinical benefit is unlikely (ie, C, 3, 2 or 1). Details of these results are presented in </w:t>
      </w:r>
      <w:hyperlink w:anchor="Appendix_5_Table_5point7" w:history="1">
        <w:r w:rsidR="005E5456">
          <w:rPr>
            <w:rStyle w:val="Hyperlink"/>
            <w:rFonts w:eastAsia="MS Gothic"/>
          </w:rPr>
          <w:t>Appendix 5, T</w:t>
        </w:r>
        <w:r w:rsidRPr="00B21CB0">
          <w:rPr>
            <w:rStyle w:val="Hyperlink"/>
            <w:rFonts w:eastAsia="MS Gothic"/>
          </w:rPr>
          <w:t>able 5.7</w:t>
        </w:r>
      </w:hyperlink>
      <w:r>
        <w:t>.</w:t>
      </w:r>
    </w:p>
    <w:p w14:paraId="57E33A38" w14:textId="77777777" w:rsidR="00C338E8" w:rsidRDefault="00B12E4F" w:rsidP="005E5456">
      <w:pPr>
        <w:pStyle w:val="Heading4"/>
      </w:pPr>
      <w:bookmarkStart w:id="231" w:name="_Toc100738328"/>
      <w:bookmarkStart w:id="232" w:name="_Toc100739030"/>
      <w:r>
        <w:t>Solid tumour m</w:t>
      </w:r>
      <w:r w:rsidRPr="001336C7">
        <w:t>edicines funded in Australia and not in Aotearoa</w:t>
      </w:r>
      <w:bookmarkEnd w:id="231"/>
      <w:bookmarkEnd w:id="232"/>
    </w:p>
    <w:p w14:paraId="433D695C" w14:textId="77777777" w:rsidR="00C338E8" w:rsidRDefault="00B12E4F" w:rsidP="005E5456">
      <w:r w:rsidRPr="003B03D0">
        <w:t xml:space="preserve">Of the </w:t>
      </w:r>
      <w:r>
        <w:t>98</w:t>
      </w:r>
      <w:r w:rsidRPr="003B03D0">
        <w:t xml:space="preserve"> medicine-indication pair gaps for </w:t>
      </w:r>
      <w:r>
        <w:t>solid tumours, once adjustments were made for medicines used in combination, there was a total of 88 medicine/regimen-indication pair gaps. Lists of the medicines funded in Australia and not in Aotearoa, according to ESMO-MCBS score category are presented</w:t>
      </w:r>
      <w:r w:rsidRPr="001336C7">
        <w:t xml:space="preserve"> </w:t>
      </w:r>
      <w:r>
        <w:t xml:space="preserve">in </w:t>
      </w:r>
      <w:hyperlink w:anchor="Appendix_5_Table_5point1" w:history="1">
        <w:r w:rsidR="008B3ECF">
          <w:rPr>
            <w:rStyle w:val="Hyperlink"/>
            <w:rFonts w:eastAsia="MS Gothic"/>
          </w:rPr>
          <w:t>Appendix 5, Tables 5.1–5.6</w:t>
        </w:r>
      </w:hyperlink>
      <w:r>
        <w:t>.</w:t>
      </w:r>
    </w:p>
    <w:p w14:paraId="5FA7300A" w14:textId="77777777" w:rsidR="00C338E8" w:rsidRDefault="00B12E4F" w:rsidP="00B23D87">
      <w:pPr>
        <w:pStyle w:val="Heading3"/>
      </w:pPr>
      <w:bookmarkStart w:id="233" w:name="_Toc99443166"/>
      <w:bookmarkStart w:id="234" w:name="_Toc99443577"/>
      <w:bookmarkStart w:id="235" w:name="_Toc99443732"/>
      <w:bookmarkStart w:id="236" w:name="_Toc99451917"/>
      <w:bookmarkStart w:id="237" w:name="_Toc99456188"/>
      <w:bookmarkStart w:id="238" w:name="_Toc100738329"/>
      <w:bookmarkStart w:id="239" w:name="_Toc100739031"/>
      <w:r w:rsidRPr="001336C7">
        <w:t>Gaps associated with substantial clinical benefit – curative setting</w:t>
      </w:r>
      <w:r w:rsidRPr="005E5456">
        <w:rPr>
          <w:rStyle w:val="FootnoteReference"/>
        </w:rPr>
        <w:footnoteReference w:id="9"/>
      </w:r>
      <w:bookmarkEnd w:id="233"/>
      <w:bookmarkEnd w:id="234"/>
      <w:bookmarkEnd w:id="235"/>
      <w:bookmarkEnd w:id="236"/>
      <w:bookmarkEnd w:id="237"/>
      <w:bookmarkEnd w:id="238"/>
      <w:bookmarkEnd w:id="239"/>
    </w:p>
    <w:p w14:paraId="2BEAC8A6" w14:textId="77777777" w:rsidR="00C338E8" w:rsidRDefault="00B12E4F" w:rsidP="009F2B02">
      <w:r w:rsidRPr="001336C7">
        <w:t xml:space="preserve">Four medicine-indication pair gaps were identified that had an ESMO-MCBS score of A. </w:t>
      </w:r>
      <w:r>
        <w:t xml:space="preserve">No gaps with a score of </w:t>
      </w:r>
      <w:proofErr w:type="gramStart"/>
      <w:r>
        <w:t>B</w:t>
      </w:r>
      <w:proofErr w:type="gramEnd"/>
      <w:r>
        <w:t xml:space="preserve"> were identified. An</w:t>
      </w:r>
      <w:r w:rsidRPr="001336C7">
        <w:t xml:space="preserve"> additional medication-indication pair gap in the curative setting was identified as </w:t>
      </w:r>
      <w:r w:rsidR="00D34911">
        <w:t>‘</w:t>
      </w:r>
      <w:r w:rsidRPr="001336C7">
        <w:t>no score available</w:t>
      </w:r>
      <w:r w:rsidR="00D34911">
        <w:t>’</w:t>
      </w:r>
      <w:r w:rsidRPr="001336C7">
        <w:t xml:space="preserve"> but considered likely to be scored </w:t>
      </w:r>
      <w:r>
        <w:t xml:space="preserve">at least </w:t>
      </w:r>
      <w:r w:rsidRPr="001336C7">
        <w:t>B. After adjustments for regimens (where more than one medicine must be used in combination)</w:t>
      </w:r>
      <w:r>
        <w:t xml:space="preserve"> and accounting for </w:t>
      </w:r>
      <w:r w:rsidRPr="001336C7">
        <w:t xml:space="preserve">multiple options to fill certain gaps, </w:t>
      </w:r>
      <w:r w:rsidRPr="007D6402">
        <w:rPr>
          <w:b/>
        </w:rPr>
        <w:t>the total number of gaps associated with substantial clinical benefit in the curative setting was three – one for early breast cancer and two for melanoma.</w:t>
      </w:r>
      <w:r w:rsidRPr="001336C7">
        <w:t xml:space="preserve"> </w:t>
      </w:r>
      <w:r>
        <w:t>These gaps are discussed below and described in more detail in</w:t>
      </w:r>
      <w:r w:rsidRPr="001336C7">
        <w:t xml:space="preserve"> </w:t>
      </w:r>
      <w:hyperlink w:anchor="Appendix_7" w:history="1">
        <w:r w:rsidRPr="00FF3EA7">
          <w:rPr>
            <w:rStyle w:val="Hyperlink"/>
            <w:rFonts w:eastAsia="MS Gothic"/>
          </w:rPr>
          <w:t>Appendix 7</w:t>
        </w:r>
      </w:hyperlink>
      <w:r>
        <w:t>.</w:t>
      </w:r>
    </w:p>
    <w:p w14:paraId="192B8515" w14:textId="77777777" w:rsidR="00C338E8" w:rsidRDefault="00B12E4F" w:rsidP="00B23D87">
      <w:pPr>
        <w:pStyle w:val="Heading3"/>
      </w:pPr>
      <w:bookmarkStart w:id="240" w:name="_Toc99443167"/>
      <w:bookmarkStart w:id="241" w:name="_Toc99443578"/>
      <w:bookmarkStart w:id="242" w:name="_Toc99443733"/>
      <w:bookmarkStart w:id="243" w:name="_Toc99451918"/>
      <w:bookmarkStart w:id="244" w:name="_Toc99456189"/>
      <w:bookmarkStart w:id="245" w:name="_Toc100738330"/>
      <w:bookmarkStart w:id="246" w:name="_Toc100739032"/>
      <w:r w:rsidRPr="001336C7">
        <w:lastRenderedPageBreak/>
        <w:t>Gaps associated with substantial clinical benefit – non-curative setting</w:t>
      </w:r>
      <w:r w:rsidRPr="005E5456">
        <w:rPr>
          <w:rStyle w:val="FootnoteReference"/>
        </w:rPr>
        <w:footnoteReference w:id="10"/>
      </w:r>
      <w:bookmarkEnd w:id="240"/>
      <w:bookmarkEnd w:id="241"/>
      <w:bookmarkEnd w:id="242"/>
      <w:bookmarkEnd w:id="243"/>
      <w:bookmarkEnd w:id="244"/>
      <w:bookmarkEnd w:id="245"/>
      <w:bookmarkEnd w:id="246"/>
    </w:p>
    <w:p w14:paraId="359D40BC" w14:textId="0B5D7EBB" w:rsidR="00C338E8" w:rsidRDefault="00B12E4F" w:rsidP="005E5456">
      <w:pPr>
        <w:keepNext/>
        <w:keepLines/>
      </w:pPr>
      <w:r w:rsidRPr="001336C7">
        <w:t xml:space="preserve">A total of nine medicine-indication pair gaps were identified that had an ESMO-MCBS score of 5, and 26 </w:t>
      </w:r>
      <w:r>
        <w:t xml:space="preserve">were identified </w:t>
      </w:r>
      <w:r w:rsidRPr="001336C7">
        <w:t>with an ESMO-MCBS score of 4. A further three medicine</w:t>
      </w:r>
      <w:r>
        <w:t>-</w:t>
      </w:r>
      <w:r w:rsidRPr="001336C7">
        <w:t>/regimen-indication pair gaps with either an ESMO-MCBS score of 3 or no</w:t>
      </w:r>
      <w:r>
        <w:t xml:space="preserve"> score were categorised as likely to score at least 4 in the Aotearoa </w:t>
      </w:r>
      <w:r w:rsidDel="00296F19">
        <w:t>clinical context</w:t>
      </w:r>
      <w:r>
        <w:t xml:space="preserve"> based on the clinical literature (see also </w:t>
      </w:r>
      <w:hyperlink w:anchor="Appendix_5_Table_5point4" w:history="1">
        <w:r w:rsidR="008B3ECF">
          <w:rPr>
            <w:rStyle w:val="Hyperlink"/>
            <w:rFonts w:eastAsia="MS Gothic"/>
          </w:rPr>
          <w:t>Appendix 5, Tables 5.4</w:t>
        </w:r>
      </w:hyperlink>
      <w:hyperlink w:anchor="Appendix_5_Table_5point6" w:history="1">
        <w:r w:rsidR="008B3ECF">
          <w:rPr>
            <w:rStyle w:val="Hyperlink"/>
            <w:rFonts w:eastAsia="MS Gothic"/>
          </w:rPr>
          <w:t xml:space="preserve"> a</w:t>
        </w:r>
        <w:r w:rsidR="008B3ECF" w:rsidRPr="008B3ECF">
          <w:rPr>
            <w:rStyle w:val="Hyperlink"/>
            <w:rFonts w:eastAsia="MS Gothic"/>
          </w:rPr>
          <w:t>nd 5.6</w:t>
        </w:r>
      </w:hyperlink>
      <w:r>
        <w:t xml:space="preserve"> and </w:t>
      </w:r>
      <w:hyperlink w:anchor="Appendix_7" w:history="1">
        <w:r w:rsidRPr="00FF3EA7">
          <w:rPr>
            <w:rStyle w:val="Hyperlink"/>
            <w:rFonts w:eastAsia="MS Gothic"/>
          </w:rPr>
          <w:t>Appendix 7</w:t>
        </w:r>
      </w:hyperlink>
      <w:r>
        <w:t>)</w:t>
      </w:r>
      <w:r w:rsidRPr="001336C7">
        <w:t>.</w:t>
      </w:r>
      <w:r>
        <w:t xml:space="preserve"> </w:t>
      </w:r>
      <w:r w:rsidRPr="001336C7">
        <w:t>After adjust</w:t>
      </w:r>
      <w:r>
        <w:t>ing</w:t>
      </w:r>
      <w:r w:rsidRPr="001336C7">
        <w:t xml:space="preserve"> for regimens (where more than one medicine must be used in combination) and </w:t>
      </w:r>
      <w:r>
        <w:t xml:space="preserve">accounting for </w:t>
      </w:r>
      <w:r w:rsidRPr="001336C7">
        <w:t>multiple options to fill certain gaps,</w:t>
      </w:r>
      <w:r w:rsidRPr="001336C7" w:rsidDel="00DC6758">
        <w:t xml:space="preserve"> </w:t>
      </w:r>
      <w:r w:rsidRPr="000651D6">
        <w:rPr>
          <w:b/>
        </w:rPr>
        <w:t>a total of 1</w:t>
      </w:r>
      <w:r>
        <w:rPr>
          <w:b/>
        </w:rPr>
        <w:t>7</w:t>
      </w:r>
      <w:r w:rsidRPr="000651D6">
        <w:rPr>
          <w:b/>
        </w:rPr>
        <w:t xml:space="preserve"> gaps associated with substantial benefit in the non-curative setting were identified.</w:t>
      </w:r>
      <w:r w:rsidRPr="001336C7">
        <w:t xml:space="preserve"> These gaps covered </w:t>
      </w:r>
      <w:r w:rsidR="00C47965">
        <w:t>eight</w:t>
      </w:r>
      <w:r w:rsidR="00C47965" w:rsidRPr="001336C7">
        <w:t xml:space="preserve"> </w:t>
      </w:r>
      <w:r w:rsidRPr="001336C7">
        <w:t xml:space="preserve">cancer </w:t>
      </w:r>
      <w:r>
        <w:t>types:</w:t>
      </w:r>
      <w:r w:rsidRPr="001336C7">
        <w:t xml:space="preserve"> lung</w:t>
      </w:r>
      <w:r w:rsidR="007F6A8E">
        <w:t xml:space="preserve"> (five gaps)</w:t>
      </w:r>
      <w:r w:rsidRPr="001336C7">
        <w:t xml:space="preserve">, </w:t>
      </w:r>
      <w:r w:rsidR="005F0478">
        <w:t xml:space="preserve">bowel </w:t>
      </w:r>
      <w:r w:rsidR="00CD2654">
        <w:t>(two gaps)</w:t>
      </w:r>
      <w:r>
        <w:t>, liver</w:t>
      </w:r>
      <w:r w:rsidR="00CD2654">
        <w:t xml:space="preserve"> (one gap)</w:t>
      </w:r>
      <w:r>
        <w:t>, kidney</w:t>
      </w:r>
      <w:r w:rsidR="00255291">
        <w:t xml:space="preserve"> (three gaps)</w:t>
      </w:r>
      <w:r>
        <w:t>, bladder</w:t>
      </w:r>
      <w:r w:rsidR="00255291">
        <w:t xml:space="preserve"> (one gap)</w:t>
      </w:r>
      <w:r>
        <w:t>, ovarian</w:t>
      </w:r>
      <w:r w:rsidR="00255291">
        <w:t xml:space="preserve"> (two gaps)</w:t>
      </w:r>
      <w:r>
        <w:t>, head and neck</w:t>
      </w:r>
      <w:r w:rsidR="00D636D1">
        <w:t xml:space="preserve"> (one gap)</w:t>
      </w:r>
      <w:r>
        <w:t>, and skin</w:t>
      </w:r>
      <w:r w:rsidR="00D636D1">
        <w:t xml:space="preserve"> (two gaps)</w:t>
      </w:r>
      <w:r>
        <w:t>.</w:t>
      </w:r>
      <w:r w:rsidRPr="001336C7">
        <w:t xml:space="preserve"> </w:t>
      </w:r>
      <w:r>
        <w:t xml:space="preserve">These gaps are discussed below and described in more detail </w:t>
      </w:r>
      <w:r w:rsidRPr="001336C7">
        <w:t xml:space="preserve">in </w:t>
      </w:r>
      <w:hyperlink w:anchor="Appendix_7" w:history="1">
        <w:r w:rsidRPr="00FF3EA7">
          <w:rPr>
            <w:rStyle w:val="Hyperlink"/>
            <w:rFonts w:eastAsia="MS Gothic"/>
          </w:rPr>
          <w:t>Appendix 7</w:t>
        </w:r>
      </w:hyperlink>
      <w:r w:rsidRPr="001336C7">
        <w:t>.</w:t>
      </w:r>
    </w:p>
    <w:p w14:paraId="6CC9386C" w14:textId="77777777" w:rsidR="00C338E8" w:rsidRDefault="00C338E8" w:rsidP="005E5456"/>
    <w:p w14:paraId="7E86760D" w14:textId="77777777" w:rsidR="00C338E8" w:rsidRDefault="00B12E4F" w:rsidP="005E5456">
      <w:r>
        <w:t>There were four gaps for which a likely score relevant to Aotearoa could not be determined – these gaps were not further analysed.</w:t>
      </w:r>
    </w:p>
    <w:p w14:paraId="076BC371" w14:textId="77777777" w:rsidR="00C338E8" w:rsidRDefault="00C338E8" w:rsidP="005E5456"/>
    <w:p w14:paraId="4C357D1F" w14:textId="77777777" w:rsidR="00C338E8" w:rsidRDefault="00B12E4F" w:rsidP="00B23D87">
      <w:pPr>
        <w:pStyle w:val="Heading3"/>
      </w:pPr>
      <w:bookmarkStart w:id="247" w:name="_Toc99443168"/>
      <w:bookmarkStart w:id="248" w:name="_Toc99443579"/>
      <w:bookmarkStart w:id="249" w:name="_Toc99443734"/>
      <w:bookmarkStart w:id="250" w:name="_Toc99451919"/>
      <w:bookmarkStart w:id="251" w:name="_Toc99456190"/>
      <w:bookmarkStart w:id="252" w:name="_Toc100738331"/>
      <w:bookmarkStart w:id="253" w:name="_Toc100739033"/>
      <w:r>
        <w:t>Gaps associated with substantial clinical benefit – results by tumour type</w:t>
      </w:r>
      <w:bookmarkEnd w:id="247"/>
      <w:bookmarkEnd w:id="248"/>
      <w:bookmarkEnd w:id="249"/>
      <w:bookmarkEnd w:id="250"/>
      <w:bookmarkEnd w:id="251"/>
      <w:bookmarkEnd w:id="252"/>
      <w:bookmarkEnd w:id="253"/>
    </w:p>
    <w:p w14:paraId="3B0DFB82" w14:textId="7BF95097" w:rsidR="00C338E8" w:rsidRPr="009716B3" w:rsidRDefault="00B12E4F" w:rsidP="00B23D87">
      <w:pPr>
        <w:pStyle w:val="Heading4"/>
      </w:pPr>
      <w:bookmarkStart w:id="254" w:name="_Toc100739034"/>
      <w:r w:rsidRPr="009716B3">
        <w:t xml:space="preserve">Lung cancer gaps </w:t>
      </w:r>
      <w:bookmarkEnd w:id="254"/>
    </w:p>
    <w:p w14:paraId="22767DA0" w14:textId="77777777" w:rsidR="00C338E8" w:rsidRDefault="00B12E4F" w:rsidP="009716B3">
      <w:pPr>
        <w:keepLines/>
      </w:pPr>
      <w:r w:rsidRPr="001336C7">
        <w:t xml:space="preserve">Five gaps in medicines (or combinations of medicines) for lung cancer were defined by ESMO-MCBS as likely to have substantial clinical benefit. These are summarised in </w:t>
      </w:r>
      <w:hyperlink w:anchor="Table_3" w:history="1">
        <w:r w:rsidR="008B3ECF" w:rsidRPr="008B3ECF">
          <w:rPr>
            <w:rStyle w:val="Hyperlink"/>
          </w:rPr>
          <w:t>Table 3</w:t>
        </w:r>
      </w:hyperlink>
      <w:r w:rsidRPr="001336C7">
        <w:t xml:space="preserve">, with further detail presented in </w:t>
      </w:r>
      <w:hyperlink w:anchor="Appendix_7_Table_7point1" w:history="1">
        <w:r w:rsidR="008B3ECF">
          <w:rPr>
            <w:rStyle w:val="Hyperlink"/>
            <w:rFonts w:eastAsia="MS Gothic"/>
          </w:rPr>
          <w:t>Appendix 7, Tables 7.1–7.5</w:t>
        </w:r>
      </w:hyperlink>
      <w:r>
        <w:t>.</w:t>
      </w:r>
    </w:p>
    <w:p w14:paraId="366A38A0" w14:textId="063D0C4A" w:rsidR="00B12E4F" w:rsidRDefault="005E5456" w:rsidP="00F67052">
      <w:pPr>
        <w:pStyle w:val="Table"/>
        <w:keepLines/>
      </w:pPr>
      <w:bookmarkStart w:id="255" w:name="Table_3"/>
      <w:bookmarkStart w:id="256" w:name="_Ref101276144"/>
      <w:bookmarkStart w:id="257" w:name="_Toc101365597"/>
      <w:bookmarkEnd w:id="255"/>
      <w:r>
        <w:lastRenderedPageBreak/>
        <w:t>Table </w:t>
      </w:r>
      <w:r w:rsidR="0056499C">
        <w:fldChar w:fldCharType="begin"/>
      </w:r>
      <w:r w:rsidR="0056499C">
        <w:instrText xml:space="preserve"> SEQ Table \* ARABIC </w:instrText>
      </w:r>
      <w:r w:rsidR="0056499C">
        <w:fldChar w:fldCharType="separate"/>
      </w:r>
      <w:r w:rsidR="00386819">
        <w:rPr>
          <w:noProof/>
        </w:rPr>
        <w:t>3</w:t>
      </w:r>
      <w:r w:rsidR="0056499C">
        <w:rPr>
          <w:noProof/>
        </w:rPr>
        <w:fldChar w:fldCharType="end"/>
      </w:r>
      <w:bookmarkEnd w:id="256"/>
      <w:r w:rsidR="00B12E4F" w:rsidRPr="001336C7">
        <w:t xml:space="preserve">: </w:t>
      </w:r>
      <w:r w:rsidR="00B12E4F">
        <w:t>Lung cancer</w:t>
      </w:r>
      <w:r>
        <w:t xml:space="preserve"> gaps</w:t>
      </w:r>
      <w:bookmarkEnd w:id="257"/>
    </w:p>
    <w:tbl>
      <w:tblPr>
        <w:tblW w:w="8080"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276"/>
        <w:gridCol w:w="1644"/>
        <w:gridCol w:w="1616"/>
      </w:tblGrid>
      <w:tr w:rsidR="005E5456" w:rsidRPr="0065629C" w14:paraId="63B5F880" w14:textId="77777777" w:rsidTr="001B55E4">
        <w:trPr>
          <w:cantSplit/>
          <w:tblHeader/>
        </w:trPr>
        <w:tc>
          <w:tcPr>
            <w:tcW w:w="1843" w:type="dxa"/>
            <w:tcBorders>
              <w:top w:val="nil"/>
              <w:bottom w:val="nil"/>
            </w:tcBorders>
            <w:shd w:val="clear" w:color="auto" w:fill="C2D9BA"/>
          </w:tcPr>
          <w:p w14:paraId="240B267F" w14:textId="77777777" w:rsidR="005E5456" w:rsidRPr="0065629C" w:rsidRDefault="005E5456" w:rsidP="00F67052">
            <w:pPr>
              <w:pStyle w:val="TableText"/>
              <w:keepNext/>
              <w:keepLines/>
              <w:rPr>
                <w:b/>
              </w:rPr>
            </w:pPr>
            <w:r w:rsidRPr="0065629C">
              <w:rPr>
                <w:b/>
              </w:rPr>
              <w:t>Indication</w:t>
            </w:r>
          </w:p>
        </w:tc>
        <w:tc>
          <w:tcPr>
            <w:tcW w:w="1701" w:type="dxa"/>
            <w:tcBorders>
              <w:top w:val="nil"/>
              <w:bottom w:val="nil"/>
            </w:tcBorders>
            <w:shd w:val="clear" w:color="auto" w:fill="C2D9BA"/>
          </w:tcPr>
          <w:p w14:paraId="5AD09DD7" w14:textId="77777777" w:rsidR="005E5456" w:rsidRPr="0065629C" w:rsidRDefault="005E5456" w:rsidP="00F67052">
            <w:pPr>
              <w:pStyle w:val="TableText"/>
              <w:keepNext/>
              <w:keepLines/>
              <w:rPr>
                <w:b/>
              </w:rPr>
            </w:pPr>
            <w:r w:rsidRPr="0065629C">
              <w:rPr>
                <w:b/>
              </w:rPr>
              <w:t>Medicine/regimen</w:t>
            </w:r>
          </w:p>
        </w:tc>
        <w:tc>
          <w:tcPr>
            <w:tcW w:w="1276" w:type="dxa"/>
            <w:tcBorders>
              <w:top w:val="nil"/>
              <w:bottom w:val="nil"/>
            </w:tcBorders>
            <w:shd w:val="clear" w:color="auto" w:fill="C2D9BA"/>
          </w:tcPr>
          <w:p w14:paraId="10443ACB" w14:textId="77777777" w:rsidR="005E5456" w:rsidRPr="0065629C" w:rsidRDefault="005E5456" w:rsidP="00F67052">
            <w:pPr>
              <w:pStyle w:val="TableText"/>
              <w:keepNext/>
              <w:keepLines/>
              <w:jc w:val="center"/>
              <w:rPr>
                <w:b/>
              </w:rPr>
            </w:pPr>
            <w:r w:rsidRPr="0065629C">
              <w:rPr>
                <w:b/>
              </w:rPr>
              <w:t>ESMO-MCBS</w:t>
            </w:r>
          </w:p>
        </w:tc>
        <w:tc>
          <w:tcPr>
            <w:tcW w:w="1644" w:type="dxa"/>
            <w:tcBorders>
              <w:top w:val="nil"/>
              <w:bottom w:val="nil"/>
            </w:tcBorders>
            <w:shd w:val="clear" w:color="auto" w:fill="C2D9BA"/>
          </w:tcPr>
          <w:p w14:paraId="249030A0" w14:textId="77777777" w:rsidR="005E5456" w:rsidRPr="0065629C" w:rsidRDefault="005E5456" w:rsidP="00F67052">
            <w:pPr>
              <w:pStyle w:val="TableText"/>
              <w:keepNext/>
              <w:keepLines/>
              <w:jc w:val="center"/>
              <w:rPr>
                <w:b/>
              </w:rPr>
            </w:pPr>
            <w:r w:rsidRPr="0065629C">
              <w:rPr>
                <w:b/>
              </w:rPr>
              <w:t>Pharmac status at time of analysis</w:t>
            </w:r>
          </w:p>
        </w:tc>
        <w:tc>
          <w:tcPr>
            <w:tcW w:w="1616" w:type="dxa"/>
            <w:tcBorders>
              <w:top w:val="nil"/>
              <w:bottom w:val="nil"/>
            </w:tcBorders>
            <w:shd w:val="clear" w:color="auto" w:fill="C2D9BA"/>
          </w:tcPr>
          <w:p w14:paraId="4AA62A6A" w14:textId="77777777" w:rsidR="005E5456" w:rsidRPr="0065629C" w:rsidRDefault="005E5456" w:rsidP="00F67052">
            <w:pPr>
              <w:pStyle w:val="TableText"/>
              <w:keepNext/>
              <w:keepLines/>
              <w:jc w:val="center"/>
              <w:rPr>
                <w:b/>
              </w:rPr>
            </w:pPr>
            <w:r w:rsidRPr="0065629C">
              <w:rPr>
                <w:b/>
              </w:rPr>
              <w:t>Appendix table for further detail</w:t>
            </w:r>
          </w:p>
        </w:tc>
      </w:tr>
      <w:tr w:rsidR="0065629C" w14:paraId="79BDCE2A" w14:textId="77777777" w:rsidTr="001B55E4">
        <w:trPr>
          <w:cantSplit/>
        </w:trPr>
        <w:tc>
          <w:tcPr>
            <w:tcW w:w="1843" w:type="dxa"/>
            <w:vMerge w:val="restart"/>
            <w:tcBorders>
              <w:top w:val="nil"/>
            </w:tcBorders>
            <w:shd w:val="clear" w:color="auto" w:fill="auto"/>
          </w:tcPr>
          <w:p w14:paraId="570B3817" w14:textId="77777777" w:rsidR="0065629C" w:rsidRPr="0065629C" w:rsidRDefault="0065629C" w:rsidP="00F67052">
            <w:pPr>
              <w:pStyle w:val="TableText"/>
              <w:keepNext/>
              <w:keepLines/>
              <w:rPr>
                <w:b/>
              </w:rPr>
            </w:pPr>
            <w:r w:rsidRPr="0065629C">
              <w:rPr>
                <w:b/>
              </w:rPr>
              <w:t>Non-small cell lung cancer</w:t>
            </w:r>
          </w:p>
          <w:p w14:paraId="6473B247" w14:textId="77777777" w:rsidR="0065629C" w:rsidRPr="0065629C" w:rsidRDefault="0065629C" w:rsidP="00F67052">
            <w:pPr>
              <w:pStyle w:val="TableText"/>
              <w:keepNext/>
              <w:keepLines/>
              <w:rPr>
                <w:b/>
              </w:rPr>
            </w:pPr>
            <w:r w:rsidRPr="001336C7">
              <w:t xml:space="preserve">Locally advanced or metastatic, </w:t>
            </w:r>
            <w:r>
              <w:t>first-</w:t>
            </w:r>
            <w:r w:rsidRPr="001336C7">
              <w:t>line</w:t>
            </w:r>
            <w:r>
              <w:t xml:space="preserve"> therapy</w:t>
            </w:r>
            <w:r w:rsidRPr="001336C7">
              <w:t xml:space="preserve"> (regardless of PD-L1 status</w:t>
            </w:r>
            <w:r>
              <w:t>*</w:t>
            </w:r>
            <w:r w:rsidRPr="001336C7">
              <w:t>)</w:t>
            </w:r>
          </w:p>
        </w:tc>
        <w:tc>
          <w:tcPr>
            <w:tcW w:w="1701" w:type="dxa"/>
            <w:tcBorders>
              <w:top w:val="nil"/>
              <w:bottom w:val="nil"/>
            </w:tcBorders>
            <w:shd w:val="clear" w:color="auto" w:fill="auto"/>
          </w:tcPr>
          <w:p w14:paraId="458B4B86" w14:textId="77777777" w:rsidR="0065629C" w:rsidRPr="001336C7" w:rsidRDefault="0065629C" w:rsidP="00F67052">
            <w:pPr>
              <w:pStyle w:val="TableText"/>
              <w:keepNext/>
              <w:keepLines/>
            </w:pPr>
            <w:r w:rsidRPr="001336C7">
              <w:t>Atezolizumab with bevacizumab (with chemotherapy)</w:t>
            </w:r>
          </w:p>
          <w:p w14:paraId="0BDD2594" w14:textId="77777777" w:rsidR="0065629C" w:rsidRPr="001336C7" w:rsidRDefault="0065629C" w:rsidP="00F67052">
            <w:pPr>
              <w:pStyle w:val="TableText"/>
              <w:keepNext/>
              <w:keepLines/>
            </w:pPr>
            <w:r w:rsidRPr="001336C7">
              <w:t>OR</w:t>
            </w:r>
          </w:p>
        </w:tc>
        <w:tc>
          <w:tcPr>
            <w:tcW w:w="1276" w:type="dxa"/>
            <w:tcBorders>
              <w:top w:val="nil"/>
              <w:bottom w:val="nil"/>
            </w:tcBorders>
            <w:shd w:val="clear" w:color="auto" w:fill="auto"/>
          </w:tcPr>
          <w:p w14:paraId="3DF766B2" w14:textId="77777777" w:rsidR="0065629C" w:rsidRPr="001336C7" w:rsidRDefault="0065629C" w:rsidP="00F67052">
            <w:pPr>
              <w:pStyle w:val="TableText"/>
              <w:keepNext/>
              <w:keepLines/>
              <w:jc w:val="center"/>
            </w:pPr>
            <w:r w:rsidRPr="001336C7">
              <w:t>Not available</w:t>
            </w:r>
          </w:p>
        </w:tc>
        <w:tc>
          <w:tcPr>
            <w:tcW w:w="1644" w:type="dxa"/>
            <w:tcBorders>
              <w:top w:val="nil"/>
              <w:bottom w:val="nil"/>
            </w:tcBorders>
            <w:shd w:val="clear" w:color="auto" w:fill="auto"/>
          </w:tcPr>
          <w:p w14:paraId="572BA2E3" w14:textId="77777777" w:rsidR="0065629C" w:rsidRPr="001336C7" w:rsidRDefault="0065629C" w:rsidP="00F67052">
            <w:pPr>
              <w:pStyle w:val="TableText"/>
              <w:keepNext/>
              <w:keepLines/>
            </w:pPr>
            <w:r>
              <w:t>Recommended for decline</w:t>
            </w:r>
            <w:r>
              <w:rPr>
                <w:rStyle w:val="FootnoteReference"/>
                <w:rFonts w:eastAsia="MS Gothic"/>
              </w:rPr>
              <w:footnoteReference w:id="11"/>
            </w:r>
          </w:p>
        </w:tc>
        <w:tc>
          <w:tcPr>
            <w:tcW w:w="1616" w:type="dxa"/>
            <w:vMerge w:val="restart"/>
            <w:tcBorders>
              <w:top w:val="nil"/>
            </w:tcBorders>
            <w:shd w:val="clear" w:color="auto" w:fill="auto"/>
          </w:tcPr>
          <w:p w14:paraId="4014D1B4" w14:textId="77777777" w:rsidR="0065629C" w:rsidRPr="001336C7" w:rsidRDefault="0056499C" w:rsidP="00F67052">
            <w:pPr>
              <w:pStyle w:val="TableText"/>
              <w:keepNext/>
              <w:keepLines/>
              <w:jc w:val="center"/>
            </w:pPr>
            <w:hyperlink w:anchor="Appendix_7_Table_7point1" w:history="1">
              <w:r w:rsidR="0065629C" w:rsidRPr="00371FA4">
                <w:rPr>
                  <w:rStyle w:val="Hyperlink"/>
                  <w:rFonts w:eastAsia="MS Gothic"/>
                </w:rPr>
                <w:t>7.1</w:t>
              </w:r>
            </w:hyperlink>
          </w:p>
        </w:tc>
      </w:tr>
      <w:tr w:rsidR="0065629C" w14:paraId="38F77222" w14:textId="77777777" w:rsidTr="001B55E4">
        <w:trPr>
          <w:cantSplit/>
        </w:trPr>
        <w:tc>
          <w:tcPr>
            <w:tcW w:w="1843" w:type="dxa"/>
            <w:vMerge/>
            <w:shd w:val="clear" w:color="auto" w:fill="auto"/>
          </w:tcPr>
          <w:p w14:paraId="019B110E" w14:textId="77777777" w:rsidR="0065629C" w:rsidRPr="001336C7" w:rsidRDefault="0065629C" w:rsidP="00D25F36">
            <w:pPr>
              <w:pStyle w:val="TableText"/>
              <w:keepNext/>
              <w:keepLines/>
            </w:pPr>
          </w:p>
        </w:tc>
        <w:tc>
          <w:tcPr>
            <w:tcW w:w="1701" w:type="dxa"/>
            <w:tcBorders>
              <w:top w:val="nil"/>
              <w:bottom w:val="nil"/>
            </w:tcBorders>
            <w:shd w:val="clear" w:color="auto" w:fill="auto"/>
          </w:tcPr>
          <w:p w14:paraId="34E9F9DD" w14:textId="77777777" w:rsidR="0065629C" w:rsidRDefault="0065629C" w:rsidP="00D25F36">
            <w:pPr>
              <w:pStyle w:val="TableText"/>
              <w:keepNext/>
              <w:keepLines/>
            </w:pPr>
            <w:r w:rsidRPr="001336C7">
              <w:t>Nivolumab with ipilimumab (with chemotherapy)</w:t>
            </w:r>
          </w:p>
          <w:p w14:paraId="0F235A79" w14:textId="77777777" w:rsidR="0065629C" w:rsidRPr="001336C7" w:rsidRDefault="0065629C" w:rsidP="00D25F36">
            <w:pPr>
              <w:pStyle w:val="TableText"/>
              <w:keepNext/>
              <w:keepLines/>
            </w:pPr>
            <w:r w:rsidRPr="001336C7">
              <w:t>OR</w:t>
            </w:r>
          </w:p>
        </w:tc>
        <w:tc>
          <w:tcPr>
            <w:tcW w:w="1276" w:type="dxa"/>
            <w:tcBorders>
              <w:top w:val="nil"/>
              <w:bottom w:val="nil"/>
            </w:tcBorders>
            <w:shd w:val="clear" w:color="auto" w:fill="auto"/>
          </w:tcPr>
          <w:p w14:paraId="5A528200" w14:textId="77777777" w:rsidR="0065629C" w:rsidRPr="001336C7" w:rsidRDefault="0065629C" w:rsidP="00D25F36">
            <w:pPr>
              <w:pStyle w:val="TableText"/>
              <w:keepNext/>
              <w:keepLines/>
              <w:jc w:val="center"/>
            </w:pPr>
            <w:r w:rsidRPr="001336C7">
              <w:t>4</w:t>
            </w:r>
          </w:p>
        </w:tc>
        <w:tc>
          <w:tcPr>
            <w:tcW w:w="1644" w:type="dxa"/>
            <w:tcBorders>
              <w:top w:val="nil"/>
              <w:bottom w:val="nil"/>
            </w:tcBorders>
            <w:shd w:val="clear" w:color="auto" w:fill="auto"/>
          </w:tcPr>
          <w:p w14:paraId="2A521860" w14:textId="77777777" w:rsidR="0065629C" w:rsidRDefault="0065629C" w:rsidP="00D25F36">
            <w:pPr>
              <w:pStyle w:val="TableText"/>
              <w:keepNext/>
              <w:keepLines/>
            </w:pPr>
            <w:r>
              <w:t>No application received</w:t>
            </w:r>
          </w:p>
        </w:tc>
        <w:tc>
          <w:tcPr>
            <w:tcW w:w="1616" w:type="dxa"/>
            <w:vMerge/>
            <w:shd w:val="clear" w:color="auto" w:fill="auto"/>
          </w:tcPr>
          <w:p w14:paraId="2A7DD8EB" w14:textId="77777777" w:rsidR="0065629C" w:rsidRDefault="0065629C" w:rsidP="00D25F36">
            <w:pPr>
              <w:pStyle w:val="TableText"/>
              <w:keepNext/>
              <w:keepLines/>
              <w:jc w:val="center"/>
            </w:pPr>
          </w:p>
        </w:tc>
      </w:tr>
      <w:tr w:rsidR="0065629C" w14:paraId="1794FED2" w14:textId="77777777" w:rsidTr="001B55E4">
        <w:trPr>
          <w:cantSplit/>
        </w:trPr>
        <w:tc>
          <w:tcPr>
            <w:tcW w:w="1843" w:type="dxa"/>
            <w:vMerge/>
            <w:tcBorders>
              <w:bottom w:val="single" w:sz="4" w:space="0" w:color="C2D9BA"/>
            </w:tcBorders>
            <w:shd w:val="clear" w:color="auto" w:fill="auto"/>
          </w:tcPr>
          <w:p w14:paraId="07E25620" w14:textId="77777777" w:rsidR="0065629C" w:rsidRPr="001336C7" w:rsidRDefault="0065629C" w:rsidP="00D25F36">
            <w:pPr>
              <w:pStyle w:val="TableText"/>
              <w:keepNext/>
              <w:keepLines/>
            </w:pPr>
          </w:p>
        </w:tc>
        <w:tc>
          <w:tcPr>
            <w:tcW w:w="1701" w:type="dxa"/>
            <w:tcBorders>
              <w:top w:val="nil"/>
              <w:bottom w:val="single" w:sz="4" w:space="0" w:color="C2D9BA"/>
            </w:tcBorders>
            <w:shd w:val="clear" w:color="auto" w:fill="auto"/>
          </w:tcPr>
          <w:p w14:paraId="110EBFF4" w14:textId="77777777" w:rsidR="0065629C" w:rsidRPr="001336C7" w:rsidRDefault="0065629C" w:rsidP="00D25F36">
            <w:pPr>
              <w:pStyle w:val="TableText"/>
              <w:keepNext/>
              <w:keepLines/>
            </w:pPr>
            <w:r w:rsidRPr="001336C7">
              <w:t>Pembrolizumab (with or without chemotherapy)</w:t>
            </w:r>
          </w:p>
        </w:tc>
        <w:tc>
          <w:tcPr>
            <w:tcW w:w="1276" w:type="dxa"/>
            <w:tcBorders>
              <w:top w:val="nil"/>
              <w:bottom w:val="single" w:sz="4" w:space="0" w:color="C2D9BA"/>
            </w:tcBorders>
            <w:shd w:val="clear" w:color="auto" w:fill="auto"/>
          </w:tcPr>
          <w:p w14:paraId="7DE69B33" w14:textId="77777777" w:rsidR="0065629C" w:rsidRPr="001336C7" w:rsidRDefault="0065629C" w:rsidP="00D25F36">
            <w:pPr>
              <w:pStyle w:val="TableText"/>
              <w:keepNext/>
              <w:keepLines/>
              <w:jc w:val="center"/>
            </w:pPr>
            <w:r w:rsidRPr="001336C7">
              <w:t>5</w:t>
            </w:r>
          </w:p>
        </w:tc>
        <w:tc>
          <w:tcPr>
            <w:tcW w:w="1644" w:type="dxa"/>
            <w:tcBorders>
              <w:top w:val="nil"/>
              <w:bottom w:val="single" w:sz="4" w:space="0" w:color="C2D9BA"/>
            </w:tcBorders>
            <w:shd w:val="clear" w:color="auto" w:fill="auto"/>
          </w:tcPr>
          <w:p w14:paraId="12DCF023" w14:textId="77777777" w:rsidR="0065629C" w:rsidRDefault="0065629C" w:rsidP="00D25F36">
            <w:pPr>
              <w:pStyle w:val="TableText"/>
              <w:keepNext/>
              <w:keepLines/>
            </w:pPr>
            <w:r w:rsidRPr="001336C7">
              <w:t>Ranked as an option for investment</w:t>
            </w:r>
            <w:r w:rsidRPr="0065629C">
              <w:rPr>
                <w:rStyle w:val="FootnoteReference"/>
                <w:rFonts w:eastAsia="MS Gothic"/>
              </w:rPr>
              <w:footnoteReference w:id="12"/>
            </w:r>
          </w:p>
        </w:tc>
        <w:tc>
          <w:tcPr>
            <w:tcW w:w="1616" w:type="dxa"/>
            <w:vMerge/>
            <w:tcBorders>
              <w:bottom w:val="single" w:sz="4" w:space="0" w:color="C2D9BA"/>
            </w:tcBorders>
            <w:shd w:val="clear" w:color="auto" w:fill="auto"/>
          </w:tcPr>
          <w:p w14:paraId="40F524E3" w14:textId="77777777" w:rsidR="0065629C" w:rsidRDefault="0065629C" w:rsidP="00D25F36">
            <w:pPr>
              <w:pStyle w:val="TableText"/>
              <w:keepNext/>
              <w:keepLines/>
              <w:jc w:val="center"/>
            </w:pPr>
          </w:p>
        </w:tc>
      </w:tr>
      <w:tr w:rsidR="006F1E47" w14:paraId="08859474" w14:textId="77777777" w:rsidTr="001B55E4">
        <w:trPr>
          <w:cantSplit/>
        </w:trPr>
        <w:tc>
          <w:tcPr>
            <w:tcW w:w="1843" w:type="dxa"/>
            <w:vMerge w:val="restart"/>
            <w:tcBorders>
              <w:top w:val="single" w:sz="4" w:space="0" w:color="C2D9BA"/>
            </w:tcBorders>
            <w:shd w:val="clear" w:color="auto" w:fill="auto"/>
          </w:tcPr>
          <w:p w14:paraId="6CF5CD6F" w14:textId="77777777" w:rsidR="006F1E47" w:rsidRPr="006F1E47" w:rsidRDefault="006F1E47" w:rsidP="00F67052">
            <w:pPr>
              <w:pStyle w:val="TableText"/>
              <w:keepNext/>
              <w:keepLines/>
              <w:rPr>
                <w:b/>
              </w:rPr>
            </w:pPr>
            <w:r w:rsidRPr="006F1E47">
              <w:rPr>
                <w:b/>
              </w:rPr>
              <w:t>Non-small cell lung cancer</w:t>
            </w:r>
          </w:p>
          <w:p w14:paraId="2CD71B14" w14:textId="77777777" w:rsidR="006F1E47" w:rsidRPr="001336C7" w:rsidRDefault="006F1E47" w:rsidP="00F67052">
            <w:pPr>
              <w:pStyle w:val="TableText"/>
              <w:keepNext/>
              <w:keepLines/>
            </w:pPr>
            <w:r w:rsidRPr="001336C7">
              <w:t xml:space="preserve">Locally advanced or metastatic, </w:t>
            </w:r>
            <w:r>
              <w:t>second-</w:t>
            </w:r>
            <w:r w:rsidRPr="001336C7">
              <w:t>line</w:t>
            </w:r>
            <w:r>
              <w:t xml:space="preserve"> therapy</w:t>
            </w:r>
          </w:p>
        </w:tc>
        <w:tc>
          <w:tcPr>
            <w:tcW w:w="1701" w:type="dxa"/>
            <w:tcBorders>
              <w:top w:val="single" w:sz="4" w:space="0" w:color="C2D9BA"/>
              <w:bottom w:val="single" w:sz="4" w:space="0" w:color="C2D9BA"/>
            </w:tcBorders>
            <w:shd w:val="clear" w:color="auto" w:fill="auto"/>
          </w:tcPr>
          <w:p w14:paraId="53369C91" w14:textId="77777777" w:rsidR="006F1E47" w:rsidRDefault="006F1E47" w:rsidP="00F67052">
            <w:pPr>
              <w:pStyle w:val="TableText"/>
              <w:keepNext/>
              <w:keepLines/>
            </w:pPr>
            <w:r w:rsidRPr="001336C7">
              <w:t>Atezolizumab</w:t>
            </w:r>
          </w:p>
          <w:p w14:paraId="71213965" w14:textId="77777777" w:rsidR="006F1E47" w:rsidRPr="001336C7" w:rsidRDefault="006F1E47" w:rsidP="00F67052">
            <w:pPr>
              <w:pStyle w:val="TableText"/>
              <w:keepNext/>
              <w:keepLines/>
            </w:pPr>
            <w:r w:rsidRPr="001336C7">
              <w:t>OR</w:t>
            </w:r>
          </w:p>
        </w:tc>
        <w:tc>
          <w:tcPr>
            <w:tcW w:w="1276" w:type="dxa"/>
            <w:tcBorders>
              <w:top w:val="single" w:sz="4" w:space="0" w:color="C2D9BA"/>
              <w:bottom w:val="single" w:sz="4" w:space="0" w:color="C2D9BA"/>
            </w:tcBorders>
            <w:shd w:val="clear" w:color="auto" w:fill="auto"/>
          </w:tcPr>
          <w:p w14:paraId="22A3C5EA" w14:textId="77777777" w:rsidR="006F1E47" w:rsidRPr="001336C7" w:rsidRDefault="006F1E47" w:rsidP="00F67052">
            <w:pPr>
              <w:pStyle w:val="TableText"/>
              <w:keepNext/>
              <w:keepLines/>
              <w:jc w:val="center"/>
            </w:pPr>
            <w:r w:rsidRPr="001336C7">
              <w:t>5</w:t>
            </w:r>
          </w:p>
        </w:tc>
        <w:tc>
          <w:tcPr>
            <w:tcW w:w="1644" w:type="dxa"/>
            <w:tcBorders>
              <w:top w:val="single" w:sz="4" w:space="0" w:color="C2D9BA"/>
              <w:bottom w:val="single" w:sz="4" w:space="0" w:color="C2D9BA"/>
            </w:tcBorders>
            <w:shd w:val="clear" w:color="auto" w:fill="auto"/>
          </w:tcPr>
          <w:p w14:paraId="7FEC5CF9" w14:textId="77777777" w:rsidR="006F1E47" w:rsidRPr="001336C7" w:rsidRDefault="006F1E47" w:rsidP="00F67052">
            <w:pPr>
              <w:pStyle w:val="TableText"/>
              <w:keepNext/>
              <w:keepLines/>
            </w:pPr>
            <w:r w:rsidRPr="001336C7">
              <w:t>Ranked as an option for investment</w:t>
            </w:r>
            <w:r w:rsidRPr="006F1E47">
              <w:rPr>
                <w:rStyle w:val="FootnoteReference"/>
                <w:rFonts w:eastAsia="MS Gothic"/>
              </w:rPr>
              <w:footnoteReference w:id="13"/>
            </w:r>
          </w:p>
        </w:tc>
        <w:tc>
          <w:tcPr>
            <w:tcW w:w="1616" w:type="dxa"/>
            <w:vMerge w:val="restart"/>
            <w:tcBorders>
              <w:top w:val="single" w:sz="4" w:space="0" w:color="C2D9BA"/>
            </w:tcBorders>
            <w:shd w:val="clear" w:color="auto" w:fill="auto"/>
          </w:tcPr>
          <w:p w14:paraId="29B7BACA" w14:textId="77777777" w:rsidR="006F1E47" w:rsidRPr="001336C7" w:rsidRDefault="0056499C" w:rsidP="00F67052">
            <w:pPr>
              <w:pStyle w:val="TableText"/>
              <w:keepNext/>
              <w:keepLines/>
              <w:jc w:val="center"/>
            </w:pPr>
            <w:hyperlink w:anchor="Appendix_7_Table_7point2" w:history="1">
              <w:r w:rsidR="006F1E47" w:rsidRPr="00371FA4">
                <w:rPr>
                  <w:rStyle w:val="Hyperlink"/>
                  <w:rFonts w:eastAsia="MS Gothic"/>
                </w:rPr>
                <w:t>7.2</w:t>
              </w:r>
            </w:hyperlink>
          </w:p>
        </w:tc>
      </w:tr>
      <w:tr w:rsidR="006F1E47" w14:paraId="005C6B81" w14:textId="77777777" w:rsidTr="001B55E4">
        <w:trPr>
          <w:cantSplit/>
        </w:trPr>
        <w:tc>
          <w:tcPr>
            <w:tcW w:w="1843" w:type="dxa"/>
            <w:vMerge/>
            <w:tcBorders>
              <w:bottom w:val="single" w:sz="4" w:space="0" w:color="C2D9BA"/>
            </w:tcBorders>
            <w:shd w:val="clear" w:color="auto" w:fill="auto"/>
          </w:tcPr>
          <w:p w14:paraId="079CDB0B" w14:textId="77777777" w:rsidR="006F1E47" w:rsidRPr="006F1E47" w:rsidRDefault="006F1E47" w:rsidP="00D25F36">
            <w:pPr>
              <w:pStyle w:val="TableText"/>
              <w:keepNext/>
              <w:keepLines/>
              <w:rPr>
                <w:b/>
              </w:rPr>
            </w:pPr>
          </w:p>
        </w:tc>
        <w:tc>
          <w:tcPr>
            <w:tcW w:w="1701" w:type="dxa"/>
            <w:tcBorders>
              <w:top w:val="single" w:sz="4" w:space="0" w:color="C2D9BA"/>
              <w:bottom w:val="single" w:sz="4" w:space="0" w:color="C2D9BA"/>
            </w:tcBorders>
            <w:shd w:val="clear" w:color="auto" w:fill="auto"/>
          </w:tcPr>
          <w:p w14:paraId="278BF19D" w14:textId="77777777" w:rsidR="006F1E47" w:rsidRPr="001336C7" w:rsidRDefault="006F1E47" w:rsidP="00D25F36">
            <w:pPr>
              <w:pStyle w:val="TableText"/>
              <w:keepNext/>
              <w:keepLines/>
            </w:pPr>
            <w:r w:rsidRPr="001336C7">
              <w:t>Nivolumab</w:t>
            </w:r>
          </w:p>
        </w:tc>
        <w:tc>
          <w:tcPr>
            <w:tcW w:w="1276" w:type="dxa"/>
            <w:tcBorders>
              <w:top w:val="single" w:sz="4" w:space="0" w:color="C2D9BA"/>
              <w:bottom w:val="single" w:sz="4" w:space="0" w:color="C2D9BA"/>
            </w:tcBorders>
            <w:shd w:val="clear" w:color="auto" w:fill="auto"/>
          </w:tcPr>
          <w:p w14:paraId="3EC0EBDA" w14:textId="77777777" w:rsidR="006F1E47" w:rsidRPr="001336C7" w:rsidRDefault="006F1E47" w:rsidP="00D25F36">
            <w:pPr>
              <w:pStyle w:val="TableText"/>
              <w:keepNext/>
              <w:keepLines/>
              <w:jc w:val="center"/>
            </w:pPr>
            <w:r w:rsidRPr="001336C7">
              <w:t>5</w:t>
            </w:r>
          </w:p>
        </w:tc>
        <w:tc>
          <w:tcPr>
            <w:tcW w:w="1644" w:type="dxa"/>
            <w:tcBorders>
              <w:top w:val="single" w:sz="4" w:space="0" w:color="C2D9BA"/>
              <w:bottom w:val="single" w:sz="4" w:space="0" w:color="C2D9BA"/>
            </w:tcBorders>
            <w:shd w:val="clear" w:color="auto" w:fill="auto"/>
          </w:tcPr>
          <w:p w14:paraId="0A24DF8B" w14:textId="77777777" w:rsidR="006F1E47" w:rsidRPr="001336C7" w:rsidRDefault="006F1E47" w:rsidP="00D25F36">
            <w:pPr>
              <w:pStyle w:val="TableText"/>
              <w:keepNext/>
              <w:keepLines/>
            </w:pPr>
            <w:r w:rsidRPr="001336C7">
              <w:t>Ranked as an option for investment</w:t>
            </w:r>
            <w:r w:rsidRPr="006F1E47">
              <w:rPr>
                <w:rStyle w:val="FootnoteReference"/>
                <w:rFonts w:eastAsia="MS Gothic"/>
              </w:rPr>
              <w:footnoteReference w:id="14"/>
            </w:r>
          </w:p>
        </w:tc>
        <w:tc>
          <w:tcPr>
            <w:tcW w:w="1616" w:type="dxa"/>
            <w:vMerge/>
            <w:tcBorders>
              <w:bottom w:val="single" w:sz="4" w:space="0" w:color="C2D9BA"/>
            </w:tcBorders>
            <w:shd w:val="clear" w:color="auto" w:fill="auto"/>
          </w:tcPr>
          <w:p w14:paraId="43A086B3" w14:textId="77777777" w:rsidR="006F1E47" w:rsidRDefault="006F1E47" w:rsidP="00D25F36">
            <w:pPr>
              <w:pStyle w:val="TableText"/>
              <w:keepNext/>
              <w:keepLines/>
              <w:jc w:val="center"/>
            </w:pPr>
          </w:p>
        </w:tc>
      </w:tr>
      <w:tr w:rsidR="005E5456" w14:paraId="756B56A1" w14:textId="77777777" w:rsidTr="001B55E4">
        <w:trPr>
          <w:cantSplit/>
        </w:trPr>
        <w:tc>
          <w:tcPr>
            <w:tcW w:w="1843" w:type="dxa"/>
            <w:tcBorders>
              <w:top w:val="single" w:sz="4" w:space="0" w:color="C2D9BA"/>
              <w:bottom w:val="single" w:sz="4" w:space="0" w:color="C2D9BA"/>
            </w:tcBorders>
            <w:shd w:val="clear" w:color="auto" w:fill="auto"/>
          </w:tcPr>
          <w:p w14:paraId="7494EB9B" w14:textId="77777777" w:rsidR="005E5456" w:rsidRPr="00184030" w:rsidRDefault="005E5456" w:rsidP="00D25F36">
            <w:pPr>
              <w:pStyle w:val="TableText"/>
              <w:keepNext/>
              <w:keepLines/>
              <w:rPr>
                <w:b/>
              </w:rPr>
            </w:pPr>
            <w:r w:rsidRPr="00184030">
              <w:rPr>
                <w:b/>
              </w:rPr>
              <w:t>Non-small cell lung cancer</w:t>
            </w:r>
          </w:p>
          <w:p w14:paraId="101F9EE9" w14:textId="77777777" w:rsidR="005E5456" w:rsidRPr="00271695" w:rsidRDefault="005E5456" w:rsidP="00D25F36">
            <w:pPr>
              <w:pStyle w:val="TableText"/>
              <w:keepNext/>
              <w:keepLines/>
            </w:pPr>
            <w:r w:rsidRPr="001336C7">
              <w:t>Stage III, consolidation after chemo</w:t>
            </w:r>
            <w:r>
              <w:t>radio</w:t>
            </w:r>
            <w:r w:rsidRPr="001336C7">
              <w:t>therapy</w:t>
            </w:r>
          </w:p>
        </w:tc>
        <w:tc>
          <w:tcPr>
            <w:tcW w:w="1701" w:type="dxa"/>
            <w:tcBorders>
              <w:top w:val="single" w:sz="4" w:space="0" w:color="C2D9BA"/>
              <w:bottom w:val="single" w:sz="4" w:space="0" w:color="C2D9BA"/>
            </w:tcBorders>
            <w:shd w:val="clear" w:color="auto" w:fill="auto"/>
          </w:tcPr>
          <w:p w14:paraId="28200D6A" w14:textId="77777777" w:rsidR="005E5456" w:rsidRPr="001336C7" w:rsidRDefault="005E5456" w:rsidP="00D25F36">
            <w:pPr>
              <w:pStyle w:val="TableText"/>
              <w:keepNext/>
              <w:keepLines/>
            </w:pPr>
            <w:r w:rsidRPr="001336C7">
              <w:t>Durvalumab</w:t>
            </w:r>
          </w:p>
        </w:tc>
        <w:tc>
          <w:tcPr>
            <w:tcW w:w="1276" w:type="dxa"/>
            <w:tcBorders>
              <w:top w:val="single" w:sz="4" w:space="0" w:color="C2D9BA"/>
              <w:bottom w:val="single" w:sz="4" w:space="0" w:color="C2D9BA"/>
            </w:tcBorders>
            <w:shd w:val="clear" w:color="auto" w:fill="auto"/>
          </w:tcPr>
          <w:p w14:paraId="70AF5AE5" w14:textId="77777777" w:rsidR="005E5456" w:rsidRPr="001336C7" w:rsidRDefault="005E5456" w:rsidP="00D25F36">
            <w:pPr>
              <w:pStyle w:val="TableText"/>
              <w:keepNext/>
              <w:keepLines/>
              <w:jc w:val="center"/>
            </w:pPr>
            <w:r w:rsidRPr="001336C7">
              <w:t>4</w:t>
            </w:r>
          </w:p>
        </w:tc>
        <w:tc>
          <w:tcPr>
            <w:tcW w:w="1644" w:type="dxa"/>
            <w:tcBorders>
              <w:top w:val="single" w:sz="4" w:space="0" w:color="C2D9BA"/>
              <w:bottom w:val="single" w:sz="4" w:space="0" w:color="C2D9BA"/>
            </w:tcBorders>
            <w:shd w:val="clear" w:color="auto" w:fill="auto"/>
          </w:tcPr>
          <w:p w14:paraId="123EF6A9" w14:textId="77777777" w:rsidR="005E5456" w:rsidRPr="001336C7" w:rsidRDefault="005E5456" w:rsidP="00D25F36">
            <w:pPr>
              <w:pStyle w:val="TableText"/>
              <w:keepNext/>
              <w:keepLines/>
            </w:pPr>
            <w:r>
              <w:t>Ranked as an option for investment</w:t>
            </w:r>
            <w:r w:rsidRPr="00184030">
              <w:rPr>
                <w:rStyle w:val="FootnoteReference"/>
                <w:rFonts w:eastAsia="MS Gothic"/>
              </w:rPr>
              <w:footnoteReference w:id="15"/>
            </w:r>
          </w:p>
        </w:tc>
        <w:tc>
          <w:tcPr>
            <w:tcW w:w="1616" w:type="dxa"/>
            <w:tcBorders>
              <w:top w:val="single" w:sz="4" w:space="0" w:color="C2D9BA"/>
              <w:bottom w:val="single" w:sz="4" w:space="0" w:color="C2D9BA"/>
            </w:tcBorders>
            <w:shd w:val="clear" w:color="auto" w:fill="auto"/>
          </w:tcPr>
          <w:p w14:paraId="1489616D" w14:textId="77777777" w:rsidR="005E5456" w:rsidRPr="001D1337" w:rsidRDefault="0056499C" w:rsidP="00D25F36">
            <w:pPr>
              <w:pStyle w:val="TableText"/>
              <w:keepNext/>
              <w:keepLines/>
              <w:jc w:val="center"/>
            </w:pPr>
            <w:hyperlink w:anchor="Appendix_7_Table_7point3" w:history="1">
              <w:r w:rsidR="005E5456" w:rsidRPr="00371FA4">
                <w:rPr>
                  <w:rStyle w:val="Hyperlink"/>
                  <w:rFonts w:eastAsia="MS Gothic"/>
                </w:rPr>
                <w:t>7.3</w:t>
              </w:r>
            </w:hyperlink>
          </w:p>
        </w:tc>
      </w:tr>
      <w:tr w:rsidR="005E5456" w14:paraId="2E11BEC5" w14:textId="77777777" w:rsidTr="001B55E4">
        <w:trPr>
          <w:cantSplit/>
        </w:trPr>
        <w:tc>
          <w:tcPr>
            <w:tcW w:w="1843" w:type="dxa"/>
            <w:tcBorders>
              <w:top w:val="single" w:sz="4" w:space="0" w:color="C2D9BA"/>
              <w:bottom w:val="single" w:sz="4" w:space="0" w:color="C2D9BA"/>
            </w:tcBorders>
            <w:shd w:val="clear" w:color="auto" w:fill="auto"/>
          </w:tcPr>
          <w:p w14:paraId="31E75BFF" w14:textId="77777777" w:rsidR="005E5456" w:rsidRPr="00184030" w:rsidRDefault="005E5456" w:rsidP="00D25F36">
            <w:pPr>
              <w:pStyle w:val="TableText"/>
              <w:keepNext/>
              <w:keepLines/>
              <w:rPr>
                <w:b/>
              </w:rPr>
            </w:pPr>
            <w:r w:rsidRPr="00184030">
              <w:rPr>
                <w:b/>
              </w:rPr>
              <w:t>Non-small cell lung cancer</w:t>
            </w:r>
          </w:p>
          <w:p w14:paraId="13C102B5" w14:textId="77777777" w:rsidR="005E5456" w:rsidRPr="001336C7" w:rsidRDefault="005E5456" w:rsidP="00D25F36">
            <w:pPr>
              <w:pStyle w:val="TableText"/>
              <w:keepNext/>
              <w:keepLines/>
            </w:pPr>
            <w:r w:rsidRPr="001336C7">
              <w:t xml:space="preserve">Stage IIIb or IV, EGFR +ve, </w:t>
            </w:r>
            <w:r>
              <w:t>first-line therapy</w:t>
            </w:r>
          </w:p>
        </w:tc>
        <w:tc>
          <w:tcPr>
            <w:tcW w:w="1701" w:type="dxa"/>
            <w:tcBorders>
              <w:top w:val="single" w:sz="4" w:space="0" w:color="C2D9BA"/>
              <w:bottom w:val="single" w:sz="4" w:space="0" w:color="C2D9BA"/>
            </w:tcBorders>
            <w:shd w:val="clear" w:color="auto" w:fill="auto"/>
          </w:tcPr>
          <w:p w14:paraId="6E918EA7" w14:textId="77777777" w:rsidR="005E5456" w:rsidRPr="001336C7" w:rsidRDefault="005E5456" w:rsidP="00D25F36">
            <w:pPr>
              <w:pStyle w:val="TableText"/>
              <w:keepNext/>
              <w:keepLines/>
            </w:pPr>
            <w:r w:rsidRPr="001336C7">
              <w:t>Osimertinib</w:t>
            </w:r>
          </w:p>
        </w:tc>
        <w:tc>
          <w:tcPr>
            <w:tcW w:w="1276" w:type="dxa"/>
            <w:tcBorders>
              <w:top w:val="single" w:sz="4" w:space="0" w:color="C2D9BA"/>
              <w:bottom w:val="single" w:sz="4" w:space="0" w:color="C2D9BA"/>
            </w:tcBorders>
            <w:shd w:val="clear" w:color="auto" w:fill="auto"/>
          </w:tcPr>
          <w:p w14:paraId="611A7FA6" w14:textId="77777777" w:rsidR="005E5456" w:rsidRPr="001336C7" w:rsidRDefault="005E5456" w:rsidP="00D25F36">
            <w:pPr>
              <w:pStyle w:val="TableText"/>
              <w:keepNext/>
              <w:keepLines/>
              <w:jc w:val="center"/>
            </w:pPr>
            <w:r w:rsidRPr="001336C7">
              <w:t>4</w:t>
            </w:r>
          </w:p>
        </w:tc>
        <w:tc>
          <w:tcPr>
            <w:tcW w:w="1644" w:type="dxa"/>
            <w:tcBorders>
              <w:top w:val="single" w:sz="4" w:space="0" w:color="C2D9BA"/>
              <w:bottom w:val="single" w:sz="4" w:space="0" w:color="C2D9BA"/>
            </w:tcBorders>
            <w:shd w:val="clear" w:color="auto" w:fill="auto"/>
          </w:tcPr>
          <w:p w14:paraId="509FDB32" w14:textId="77777777" w:rsidR="005E5456" w:rsidRPr="001336C7" w:rsidRDefault="005E5456" w:rsidP="00D25F36">
            <w:pPr>
              <w:pStyle w:val="TableText"/>
              <w:keepNext/>
              <w:keepLines/>
            </w:pPr>
            <w:r>
              <w:t>Under assessment – n</w:t>
            </w:r>
            <w:r w:rsidRPr="001336C7">
              <w:t>ot yet ranked</w:t>
            </w:r>
          </w:p>
        </w:tc>
        <w:tc>
          <w:tcPr>
            <w:tcW w:w="1616" w:type="dxa"/>
            <w:tcBorders>
              <w:top w:val="single" w:sz="4" w:space="0" w:color="C2D9BA"/>
              <w:bottom w:val="single" w:sz="4" w:space="0" w:color="C2D9BA"/>
            </w:tcBorders>
            <w:shd w:val="clear" w:color="auto" w:fill="auto"/>
          </w:tcPr>
          <w:p w14:paraId="1FA8E97A" w14:textId="77777777" w:rsidR="005E5456" w:rsidRPr="001336C7" w:rsidRDefault="0056499C" w:rsidP="00D25F36">
            <w:pPr>
              <w:pStyle w:val="TableText"/>
              <w:keepNext/>
              <w:keepLines/>
              <w:jc w:val="center"/>
              <w:rPr>
                <w:highlight w:val="yellow"/>
              </w:rPr>
            </w:pPr>
            <w:hyperlink w:anchor="Appendix_7_Table_7point4" w:history="1">
              <w:r w:rsidR="005E5456" w:rsidRPr="00371FA4">
                <w:rPr>
                  <w:rStyle w:val="Hyperlink"/>
                  <w:rFonts w:eastAsia="MS Gothic"/>
                </w:rPr>
                <w:t>7.4</w:t>
              </w:r>
            </w:hyperlink>
          </w:p>
        </w:tc>
      </w:tr>
      <w:tr w:rsidR="005E5456" w14:paraId="73205ABF" w14:textId="77777777" w:rsidTr="001B55E4">
        <w:trPr>
          <w:cantSplit/>
        </w:trPr>
        <w:tc>
          <w:tcPr>
            <w:tcW w:w="1843" w:type="dxa"/>
            <w:tcBorders>
              <w:top w:val="single" w:sz="4" w:space="0" w:color="C2D9BA"/>
              <w:bottom w:val="single" w:sz="4" w:space="0" w:color="C2D9BA"/>
            </w:tcBorders>
            <w:shd w:val="clear" w:color="auto" w:fill="auto"/>
          </w:tcPr>
          <w:p w14:paraId="79D0500C" w14:textId="77777777" w:rsidR="005E5456" w:rsidRPr="00184030" w:rsidRDefault="005E5456" w:rsidP="00D25F36">
            <w:pPr>
              <w:pStyle w:val="TableText"/>
              <w:keepNext/>
              <w:keepLines/>
              <w:rPr>
                <w:b/>
              </w:rPr>
            </w:pPr>
            <w:r w:rsidRPr="00184030">
              <w:rPr>
                <w:b/>
              </w:rPr>
              <w:t>Non-small cell lung cancer</w:t>
            </w:r>
          </w:p>
          <w:p w14:paraId="479BDD50" w14:textId="77777777" w:rsidR="005E5456" w:rsidRPr="001336C7" w:rsidRDefault="005E5456" w:rsidP="00D25F36">
            <w:pPr>
              <w:pStyle w:val="TableText"/>
              <w:keepNext/>
              <w:keepLines/>
            </w:pPr>
            <w:r w:rsidRPr="001336C7">
              <w:t>Stage IIIb or IV, EGFR +ve with T790M</w:t>
            </w:r>
            <w:r>
              <w:t xml:space="preserve"> mutation</w:t>
            </w:r>
            <w:r w:rsidRPr="001336C7">
              <w:t xml:space="preserve">, </w:t>
            </w:r>
            <w:r>
              <w:t>second-line therapy</w:t>
            </w:r>
          </w:p>
        </w:tc>
        <w:tc>
          <w:tcPr>
            <w:tcW w:w="1701" w:type="dxa"/>
            <w:tcBorders>
              <w:top w:val="single" w:sz="4" w:space="0" w:color="C2D9BA"/>
              <w:bottom w:val="single" w:sz="4" w:space="0" w:color="C2D9BA"/>
            </w:tcBorders>
            <w:shd w:val="clear" w:color="auto" w:fill="auto"/>
          </w:tcPr>
          <w:p w14:paraId="418610C4" w14:textId="77777777" w:rsidR="005E5456" w:rsidRPr="001336C7" w:rsidRDefault="005E5456" w:rsidP="00D25F36">
            <w:pPr>
              <w:pStyle w:val="TableText"/>
              <w:keepNext/>
              <w:keepLines/>
            </w:pPr>
            <w:r w:rsidRPr="001336C7">
              <w:t>Osimertinib</w:t>
            </w:r>
          </w:p>
        </w:tc>
        <w:tc>
          <w:tcPr>
            <w:tcW w:w="1276" w:type="dxa"/>
            <w:tcBorders>
              <w:top w:val="single" w:sz="4" w:space="0" w:color="C2D9BA"/>
              <w:bottom w:val="single" w:sz="4" w:space="0" w:color="C2D9BA"/>
            </w:tcBorders>
            <w:shd w:val="clear" w:color="auto" w:fill="auto"/>
          </w:tcPr>
          <w:p w14:paraId="4F3E0CB7" w14:textId="77777777" w:rsidR="005E5456" w:rsidRPr="001336C7" w:rsidRDefault="005E5456" w:rsidP="00D25F36">
            <w:pPr>
              <w:pStyle w:val="TableText"/>
              <w:keepNext/>
              <w:keepLines/>
              <w:jc w:val="center"/>
            </w:pPr>
            <w:r w:rsidRPr="001336C7">
              <w:t>4</w:t>
            </w:r>
          </w:p>
        </w:tc>
        <w:tc>
          <w:tcPr>
            <w:tcW w:w="1644" w:type="dxa"/>
            <w:tcBorders>
              <w:top w:val="single" w:sz="4" w:space="0" w:color="C2D9BA"/>
              <w:bottom w:val="single" w:sz="4" w:space="0" w:color="C2D9BA"/>
            </w:tcBorders>
            <w:shd w:val="clear" w:color="auto" w:fill="auto"/>
          </w:tcPr>
          <w:p w14:paraId="1A7A9655" w14:textId="77777777" w:rsidR="005E5456" w:rsidRPr="001336C7" w:rsidRDefault="005E5456" w:rsidP="00D25F36">
            <w:pPr>
              <w:pStyle w:val="TableText"/>
              <w:keepNext/>
              <w:keepLines/>
            </w:pPr>
            <w:r>
              <w:t>Under assessment – n</w:t>
            </w:r>
            <w:r w:rsidRPr="001336C7">
              <w:t>ot yet ranked</w:t>
            </w:r>
          </w:p>
        </w:tc>
        <w:tc>
          <w:tcPr>
            <w:tcW w:w="1616" w:type="dxa"/>
            <w:tcBorders>
              <w:top w:val="single" w:sz="4" w:space="0" w:color="C2D9BA"/>
              <w:bottom w:val="single" w:sz="4" w:space="0" w:color="C2D9BA"/>
            </w:tcBorders>
            <w:shd w:val="clear" w:color="auto" w:fill="auto"/>
          </w:tcPr>
          <w:p w14:paraId="6BE60A27" w14:textId="77777777" w:rsidR="005E5456" w:rsidRPr="001336C7" w:rsidRDefault="0056499C" w:rsidP="00D25F36">
            <w:pPr>
              <w:pStyle w:val="TableText"/>
              <w:keepNext/>
              <w:keepLines/>
              <w:jc w:val="center"/>
              <w:rPr>
                <w:highlight w:val="yellow"/>
              </w:rPr>
            </w:pPr>
            <w:hyperlink w:anchor="Appendix_7_Table_7point5" w:history="1">
              <w:r w:rsidR="008B3ECF" w:rsidRPr="008B3ECF">
                <w:rPr>
                  <w:rStyle w:val="Hyperlink"/>
                </w:rPr>
                <w:t>7.5</w:t>
              </w:r>
            </w:hyperlink>
          </w:p>
        </w:tc>
      </w:tr>
    </w:tbl>
    <w:p w14:paraId="3B4656D6" w14:textId="77777777" w:rsidR="00C338E8" w:rsidRDefault="00B12E4F" w:rsidP="00D25F36">
      <w:pPr>
        <w:pStyle w:val="Note"/>
        <w:keepNext/>
        <w:keepLines/>
      </w:pPr>
      <w:r w:rsidRPr="002B2A24">
        <w:t>*</w:t>
      </w:r>
      <w:r w:rsidR="00184030">
        <w:tab/>
      </w:r>
      <w:r w:rsidRPr="002B2A24">
        <w:t>In clinical trials</w:t>
      </w:r>
      <w:r>
        <w:t>,</w:t>
      </w:r>
      <w:r w:rsidRPr="002B2A24">
        <w:t xml:space="preserve"> the regimens used and clinical efficacy differ</w:t>
      </w:r>
      <w:r>
        <w:t>ed</w:t>
      </w:r>
      <w:r w:rsidRPr="002B2A24">
        <w:t xml:space="preserve"> based on PD-L1 status of the lung cancer. Pharmac has active funding applications both with and without regard to PD-L1 status. In Australia, these medicines are funded without guidance regarding PD-L1 status</w:t>
      </w:r>
      <w:r>
        <w:t>,</w:t>
      </w:r>
      <w:r w:rsidRPr="002B2A24">
        <w:t xml:space="preserve"> and therefore </w:t>
      </w:r>
      <w:r>
        <w:t>this analysis</w:t>
      </w:r>
      <w:r w:rsidRPr="002B2A24">
        <w:t xml:space="preserve"> considered both </w:t>
      </w:r>
      <w:r w:rsidR="00D34911">
        <w:t>‘</w:t>
      </w:r>
      <w:r w:rsidRPr="002B2A24">
        <w:t>PD-L1 high</w:t>
      </w:r>
      <w:r w:rsidR="00D34911">
        <w:t>’</w:t>
      </w:r>
      <w:r w:rsidRPr="002B2A24">
        <w:t xml:space="preserve"> and </w:t>
      </w:r>
      <w:r w:rsidR="00D34911">
        <w:t>‘</w:t>
      </w:r>
      <w:r w:rsidRPr="002B2A24">
        <w:t>all comers</w:t>
      </w:r>
      <w:r w:rsidR="00D34911">
        <w:t>’</w:t>
      </w:r>
      <w:r w:rsidRPr="002B2A24">
        <w:t xml:space="preserve"> together as one group.</w:t>
      </w:r>
    </w:p>
    <w:p w14:paraId="147E168D" w14:textId="77777777" w:rsidR="00C338E8" w:rsidRDefault="00C338E8" w:rsidP="00B12E4F">
      <w:pPr>
        <w:rPr>
          <w:sz w:val="18"/>
          <w:szCs w:val="18"/>
        </w:rPr>
      </w:pPr>
    </w:p>
    <w:p w14:paraId="4433EBA6" w14:textId="77777777" w:rsidR="00C338E8" w:rsidRDefault="00B12E4F" w:rsidP="00184030">
      <w:r w:rsidRPr="001336C7">
        <w:lastRenderedPageBreak/>
        <w:t xml:space="preserve">None of the gaps in lung cancer were </w:t>
      </w:r>
      <w:r>
        <w:t>in settings where the medicines would be used</w:t>
      </w:r>
      <w:r w:rsidRPr="001336C7">
        <w:t xml:space="preserve"> with the aim </w:t>
      </w:r>
      <w:r>
        <w:t>of curing</w:t>
      </w:r>
      <w:r w:rsidRPr="001336C7">
        <w:t xml:space="preserve"> the disease. All gaps were in non-small cell lung cancer, generally for treatment at locally advanced or metastatic stages, and were across both first and second lines of therapy. There were seven medicines represented by these gaps: some medicines were used in combination</w:t>
      </w:r>
      <w:r>
        <w:t>;</w:t>
      </w:r>
      <w:r w:rsidRPr="001336C7">
        <w:t xml:space="preserve"> in some instances</w:t>
      </w:r>
      <w:r>
        <w:t>,</w:t>
      </w:r>
      <w:r w:rsidRPr="001336C7">
        <w:t xml:space="preserve"> there were multiple medicines that could address the same gap</w:t>
      </w:r>
      <w:r>
        <w:t>;</w:t>
      </w:r>
      <w:r w:rsidRPr="001336C7">
        <w:t xml:space="preserve"> and in other cases</w:t>
      </w:r>
      <w:r>
        <w:t>,</w:t>
      </w:r>
      <w:r w:rsidRPr="001336C7">
        <w:t xml:space="preserve"> filling one gap would make another gap redundant.</w:t>
      </w:r>
    </w:p>
    <w:p w14:paraId="16E423A3" w14:textId="77777777" w:rsidR="00C338E8" w:rsidRDefault="00C338E8" w:rsidP="00184030"/>
    <w:p w14:paraId="4937E002" w14:textId="77777777" w:rsidR="00C338E8" w:rsidRDefault="00B12E4F" w:rsidP="00184030">
      <w:r w:rsidRPr="001336C7">
        <w:t>Lung cancer is one of the most commonly diagnosed cancers in Aotearoa, with 2,381</w:t>
      </w:r>
      <w:r w:rsidR="00184030">
        <w:t> </w:t>
      </w:r>
      <w:r w:rsidRPr="001336C7">
        <w:t>people diagnosed in 2018 (including 507 Māori) and 1,781 deaths in 2017 (including 368</w:t>
      </w:r>
      <w:r w:rsidR="00184030">
        <w:t> </w:t>
      </w:r>
      <w:r w:rsidRPr="001336C7">
        <w:t xml:space="preserve">Māori) </w:t>
      </w:r>
      <w:r>
        <w:rPr>
          <w:noProof/>
        </w:rPr>
        <w:t>(</w:t>
      </w:r>
      <w:r w:rsidR="00F64599">
        <w:rPr>
          <w:noProof/>
        </w:rPr>
        <w:t>Te Aho</w:t>
      </w:r>
      <w:r>
        <w:rPr>
          <w:noProof/>
        </w:rPr>
        <w:t xml:space="preserve"> o </w:t>
      </w:r>
      <w:r w:rsidR="00B537E2">
        <w:rPr>
          <w:noProof/>
        </w:rPr>
        <w:t>Te Kahu</w:t>
      </w:r>
      <w:r>
        <w:rPr>
          <w:noProof/>
        </w:rPr>
        <w:t xml:space="preserve"> 2021a)</w:t>
      </w:r>
      <w:r w:rsidRPr="001336C7">
        <w:t>. Non-small cell lung cancer makes up about 70</w:t>
      </w:r>
      <w:r w:rsidR="00F64599">
        <w:t> percent</w:t>
      </w:r>
      <w:r w:rsidRPr="001336C7">
        <w:t xml:space="preserve"> of all lung cancers </w:t>
      </w:r>
      <w:r>
        <w:rPr>
          <w:noProof/>
        </w:rPr>
        <w:t xml:space="preserve">(Stevens </w:t>
      </w:r>
      <w:r w:rsidR="00C338E8">
        <w:rPr>
          <w:noProof/>
        </w:rPr>
        <w:t>et al</w:t>
      </w:r>
      <w:r w:rsidR="003B51F4">
        <w:rPr>
          <w:noProof/>
        </w:rPr>
        <w:t xml:space="preserve"> 2</w:t>
      </w:r>
      <w:r>
        <w:rPr>
          <w:noProof/>
        </w:rPr>
        <w:t xml:space="preserve">007; </w:t>
      </w:r>
      <w:r w:rsidR="00F64599">
        <w:rPr>
          <w:noProof/>
        </w:rPr>
        <w:t>Te Aho</w:t>
      </w:r>
      <w:r>
        <w:rPr>
          <w:noProof/>
        </w:rPr>
        <w:t xml:space="preserve"> o </w:t>
      </w:r>
      <w:r w:rsidR="00B537E2">
        <w:rPr>
          <w:noProof/>
        </w:rPr>
        <w:t>Te Kahu</w:t>
      </w:r>
      <w:r>
        <w:rPr>
          <w:noProof/>
        </w:rPr>
        <w:t xml:space="preserve"> </w:t>
      </w:r>
      <w:r>
        <w:t>2021b)</w:t>
      </w:r>
      <w:r w:rsidRPr="001336C7">
        <w:t xml:space="preserve">. </w:t>
      </w:r>
      <w:r>
        <w:t>A study in Aotearoa found that 22.5</w:t>
      </w:r>
      <w:r w:rsidR="00F64599">
        <w:t> percent</w:t>
      </w:r>
      <w:r>
        <w:t xml:space="preserve"> of patients with non-small cell lung cancer who were tested for EGFR mutations between 2010 and 2017 were EGFR-mutation positive, with higher rates of EGFR mutation-positive disease in Pacific peoples, Asian populations and Māori </w:t>
      </w:r>
      <w:r>
        <w:rPr>
          <w:noProof/>
        </w:rPr>
        <w:t xml:space="preserve">(Aye </w:t>
      </w:r>
      <w:r w:rsidR="00C338E8">
        <w:rPr>
          <w:noProof/>
        </w:rPr>
        <w:t>et al</w:t>
      </w:r>
      <w:r w:rsidR="003B51F4">
        <w:rPr>
          <w:noProof/>
        </w:rPr>
        <w:t xml:space="preserve"> 2</w:t>
      </w:r>
      <w:r>
        <w:rPr>
          <w:noProof/>
        </w:rPr>
        <w:t>021)</w:t>
      </w:r>
      <w:r>
        <w:t>.</w:t>
      </w:r>
      <w:r w:rsidR="00D34911">
        <w:t xml:space="preserve"> </w:t>
      </w:r>
      <w:r w:rsidRPr="001336C7">
        <w:t>Over half of all people diagnosed with lung cancer are diagnosed at a locally advanced or metastatic stage</w:t>
      </w:r>
      <w:r>
        <w:t xml:space="preserve"> </w:t>
      </w:r>
      <w:r>
        <w:rPr>
          <w:noProof/>
        </w:rPr>
        <w:t xml:space="preserve">(Gurney, Stanley, Jackson, </w:t>
      </w:r>
      <w:r w:rsidR="00C338E8">
        <w:rPr>
          <w:noProof/>
        </w:rPr>
        <w:t>et al</w:t>
      </w:r>
      <w:r w:rsidR="003B51F4">
        <w:rPr>
          <w:noProof/>
        </w:rPr>
        <w:t xml:space="preserve"> 2</w:t>
      </w:r>
      <w:r>
        <w:rPr>
          <w:noProof/>
        </w:rPr>
        <w:t>020)</w:t>
      </w:r>
      <w:r>
        <w:t>,</w:t>
      </w:r>
      <w:r w:rsidRPr="001336C7">
        <w:t xml:space="preserve"> when surgical resection </w:t>
      </w:r>
      <w:r>
        <w:t xml:space="preserve">or radical chemoradiation </w:t>
      </w:r>
      <w:r w:rsidRPr="001336C7">
        <w:t xml:space="preserve">is not a feasible option. Lung cancer incidence as a whole is more than three times higher </w:t>
      </w:r>
      <w:r>
        <w:t>in</w:t>
      </w:r>
      <w:r w:rsidRPr="001336C7">
        <w:t xml:space="preserve"> Māori compared </w:t>
      </w:r>
      <w:r>
        <w:t>with</w:t>
      </w:r>
      <w:r w:rsidRPr="001336C7">
        <w:t xml:space="preserve"> non-Māori and nearly two times higher in Pacific peoples compared </w:t>
      </w:r>
      <w:r>
        <w:t>with</w:t>
      </w:r>
      <w:r w:rsidRPr="001336C7">
        <w:t xml:space="preserve"> </w:t>
      </w:r>
      <w:r>
        <w:t>non-Māori non-Pacific non-Asian peoples.</w:t>
      </w:r>
      <w:r w:rsidR="00D34911">
        <w:t xml:space="preserve"> </w:t>
      </w:r>
      <w:r w:rsidRPr="001336C7">
        <w:t xml:space="preserve">Overall, lung cancer has a five-year survival </w:t>
      </w:r>
      <w:r>
        <w:t xml:space="preserve">rate </w:t>
      </w:r>
      <w:r w:rsidRPr="001336C7">
        <w:t>of 19</w:t>
      </w:r>
      <w:r w:rsidR="00F64599">
        <w:t> percent</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336C7">
        <w:t xml:space="preserve">. </w:t>
      </w:r>
      <w:r>
        <w:t xml:space="preserve">From 2007-2016 data, </w:t>
      </w:r>
      <w:r w:rsidRPr="001336C7">
        <w:t>Māori with lung cancer were 30</w:t>
      </w:r>
      <w:r w:rsidR="00F64599">
        <w:t> percent</w:t>
      </w:r>
      <w:r w:rsidRPr="001336C7">
        <w:t xml:space="preserve"> more likely to die than non-Māori with lung cancer, with survival disparities present across all stages of disease at diagnosis</w:t>
      </w:r>
      <w:r>
        <w:t xml:space="preserve"> </w:t>
      </w:r>
      <w:r>
        <w:rPr>
          <w:noProof/>
        </w:rPr>
        <w:t xml:space="preserve">(Gurney, Stanley, McLeod, </w:t>
      </w:r>
      <w:r w:rsidR="00C338E8">
        <w:rPr>
          <w:noProof/>
        </w:rPr>
        <w:t>et al</w:t>
      </w:r>
      <w:r w:rsidR="003B51F4">
        <w:rPr>
          <w:noProof/>
        </w:rPr>
        <w:t xml:space="preserve"> 2</w:t>
      </w:r>
      <w:r>
        <w:rPr>
          <w:noProof/>
        </w:rPr>
        <w:t>020)</w:t>
      </w:r>
      <w:r w:rsidRPr="001336C7">
        <w:t>.</w:t>
      </w:r>
    </w:p>
    <w:p w14:paraId="7F99849D" w14:textId="77777777" w:rsidR="00C338E8" w:rsidRDefault="00C338E8" w:rsidP="00184030"/>
    <w:p w14:paraId="3F817DB6" w14:textId="5B869D1A" w:rsidR="00C338E8" w:rsidRDefault="00B12E4F" w:rsidP="00184030">
      <w:pPr>
        <w:keepNext/>
        <w:keepLines/>
      </w:pPr>
      <w:r w:rsidRPr="001336C7">
        <w:t xml:space="preserve">The size of the population that would benefit if the gaps </w:t>
      </w:r>
      <w:r>
        <w:t xml:space="preserve">in non-small cell lung cancer medicine funding </w:t>
      </w:r>
      <w:r w:rsidRPr="001336C7">
        <w:t xml:space="preserve">were </w:t>
      </w:r>
      <w:r>
        <w:t>filled</w:t>
      </w:r>
      <w:r w:rsidRPr="001336C7">
        <w:t xml:space="preserve"> ranges from </w:t>
      </w:r>
      <w:r>
        <w:t xml:space="preserve">likely &lt;100 to </w:t>
      </w:r>
      <w:r w:rsidR="00482805">
        <w:t>900</w:t>
      </w:r>
      <w:r w:rsidR="005E3793">
        <w:t xml:space="preserve"> people per year (</w:t>
      </w:r>
      <w:r>
        <w:t xml:space="preserve">see </w:t>
      </w:r>
      <w:hyperlink w:anchor="Appendix_7" w:history="1">
        <w:r w:rsidRPr="006C0506">
          <w:rPr>
            <w:rStyle w:val="Hyperlink"/>
            <w:rFonts w:eastAsia="MS Gothic"/>
          </w:rPr>
          <w:t>Appendix 7</w:t>
        </w:r>
      </w:hyperlink>
      <w:r>
        <w:t>)</w:t>
      </w:r>
      <w:r w:rsidRPr="001336C7">
        <w:t xml:space="preserve">. The magnitude of benefit ranges from a progression-free survival gain of about </w:t>
      </w:r>
      <w:r>
        <w:t xml:space="preserve">1.5 months (for atezolizumab with bevacizumab as first-line therapy) </w:t>
      </w:r>
      <w:r w:rsidRPr="001336C7">
        <w:t>to an overall survival gain of 18.4 months (for durvalumab).</w:t>
      </w:r>
      <w:r w:rsidR="00184030">
        <w:t xml:space="preserve"> </w:t>
      </w:r>
      <w:r w:rsidRPr="0057729D">
        <w:rPr>
          <w:b/>
        </w:rPr>
        <w:t xml:space="preserve">Subsequent to the completion of this analysis, Pharmac has approved durvalumab for funding in this treatment setting, and therefore this gap </w:t>
      </w:r>
      <w:r>
        <w:rPr>
          <w:b/>
        </w:rPr>
        <w:t>will now be</w:t>
      </w:r>
      <w:r w:rsidRPr="0057729D">
        <w:rPr>
          <w:b/>
        </w:rPr>
        <w:t xml:space="preserve"> filled</w:t>
      </w:r>
      <w:r>
        <w:t xml:space="preserve"> </w:t>
      </w:r>
      <w:r>
        <w:rPr>
          <w:noProof/>
        </w:rPr>
        <w:t>(Pharmac 2022b)</w:t>
      </w:r>
      <w:r>
        <w:t>.</w:t>
      </w:r>
    </w:p>
    <w:p w14:paraId="65C08090" w14:textId="77777777" w:rsidR="00C338E8" w:rsidRDefault="00C338E8" w:rsidP="00184030"/>
    <w:p w14:paraId="2510FF2A" w14:textId="57014644" w:rsidR="00C338E8" w:rsidRDefault="00B12E4F" w:rsidP="000A08B7">
      <w:pPr>
        <w:pStyle w:val="Heading4"/>
      </w:pPr>
      <w:bookmarkStart w:id="258" w:name="_Toc100739035"/>
      <w:r w:rsidRPr="001336C7">
        <w:lastRenderedPageBreak/>
        <w:t>Breast cancer</w:t>
      </w:r>
      <w:r>
        <w:t xml:space="preserve"> gap </w:t>
      </w:r>
      <w:bookmarkEnd w:id="258"/>
    </w:p>
    <w:p w14:paraId="1819A27C" w14:textId="77777777" w:rsidR="00C338E8" w:rsidRDefault="00B12E4F" w:rsidP="00C117CA">
      <w:pPr>
        <w:keepNext/>
        <w:keepLines/>
      </w:pPr>
      <w:r w:rsidRPr="001336C7">
        <w:t xml:space="preserve">There was one gap in </w:t>
      </w:r>
      <w:r>
        <w:t xml:space="preserve">medicines for breast cancer that was </w:t>
      </w:r>
      <w:r w:rsidRPr="001336C7">
        <w:t>likely to have substantial clinical benefit. This was trastuzumab emtansine for early stage HER-2+ breast cancer, an adjuvant therapy used after primary treatment (surgery), with the intent to cure. Although there was no ESMO-MCBS score available for trastuzumab emtansine, it is likely to be categorised as A/B based on 11</w:t>
      </w:r>
      <w:r w:rsidR="00F64599">
        <w:t> percent</w:t>
      </w:r>
      <w:r w:rsidRPr="001336C7">
        <w:t xml:space="preserve"> gain in invasive disease-free survival at </w:t>
      </w:r>
      <w:r>
        <w:t>three</w:t>
      </w:r>
      <w:r w:rsidRPr="001336C7">
        <w:t xml:space="preserve"> years compared </w:t>
      </w:r>
      <w:r>
        <w:t>with</w:t>
      </w:r>
      <w:r w:rsidRPr="001336C7">
        <w:t xml:space="preserve"> trastuzumab, albeit with a poorer toxicity profile </w:t>
      </w:r>
      <w:r w:rsidRPr="001336C7">
        <w:rPr>
          <w:noProof/>
        </w:rPr>
        <w:t>(von</w:t>
      </w:r>
      <w:r w:rsidR="00184030">
        <w:rPr>
          <w:noProof/>
        </w:rPr>
        <w:t> </w:t>
      </w:r>
      <w:r w:rsidRPr="001336C7">
        <w:rPr>
          <w:noProof/>
        </w:rPr>
        <w:t xml:space="preserve">Minckwitz </w:t>
      </w:r>
      <w:r w:rsidR="00C338E8">
        <w:rPr>
          <w:noProof/>
        </w:rPr>
        <w:t>et al</w:t>
      </w:r>
      <w:r w:rsidR="003B51F4">
        <w:rPr>
          <w:noProof/>
        </w:rPr>
        <w:t xml:space="preserve"> 2</w:t>
      </w:r>
      <w:r w:rsidRPr="001336C7">
        <w:rPr>
          <w:noProof/>
        </w:rPr>
        <w:t>018)</w:t>
      </w:r>
      <w:r w:rsidRPr="001336C7">
        <w:t xml:space="preserve">. Further detail is presented in </w:t>
      </w:r>
      <w:hyperlink w:anchor="Appendix_7_Table_7point6" w:history="1">
        <w:r w:rsidRPr="00E1769B">
          <w:rPr>
            <w:rStyle w:val="Hyperlink"/>
            <w:rFonts w:eastAsia="MS Gothic"/>
          </w:rPr>
          <w:t>Appendix 7</w:t>
        </w:r>
        <w:r>
          <w:rPr>
            <w:rStyle w:val="Hyperlink"/>
            <w:rFonts w:eastAsia="MS Gothic"/>
          </w:rPr>
          <w:t xml:space="preserve">, </w:t>
        </w:r>
        <w:r w:rsidR="00184030">
          <w:rPr>
            <w:rStyle w:val="Hyperlink"/>
            <w:rFonts w:eastAsia="MS Gothic"/>
          </w:rPr>
          <w:t>T</w:t>
        </w:r>
        <w:r w:rsidRPr="00E1769B">
          <w:rPr>
            <w:rStyle w:val="Hyperlink"/>
            <w:rFonts w:eastAsia="MS Gothic"/>
          </w:rPr>
          <w:t>able 7.6</w:t>
        </w:r>
      </w:hyperlink>
      <w:r>
        <w:t>.</w:t>
      </w:r>
    </w:p>
    <w:p w14:paraId="2A7B39AD" w14:textId="77777777" w:rsidR="00C338E8" w:rsidRDefault="00C338E8" w:rsidP="00C117CA">
      <w:pPr>
        <w:keepNext/>
        <w:keepLines/>
      </w:pPr>
    </w:p>
    <w:p w14:paraId="54607864" w14:textId="500D826C" w:rsidR="00B12E4F" w:rsidRDefault="00184030" w:rsidP="00C117CA">
      <w:pPr>
        <w:pStyle w:val="Table"/>
        <w:keepLines/>
      </w:pPr>
      <w:bookmarkStart w:id="259" w:name="_Toc101365598"/>
      <w:r>
        <w:t>Table </w:t>
      </w:r>
      <w:r w:rsidR="0056499C">
        <w:fldChar w:fldCharType="begin"/>
      </w:r>
      <w:r w:rsidR="0056499C">
        <w:instrText xml:space="preserve"> SEQ Table \* ARABIC </w:instrText>
      </w:r>
      <w:r w:rsidR="0056499C">
        <w:fldChar w:fldCharType="separate"/>
      </w:r>
      <w:r w:rsidR="00386819">
        <w:rPr>
          <w:noProof/>
        </w:rPr>
        <w:t>4</w:t>
      </w:r>
      <w:r w:rsidR="0056499C">
        <w:rPr>
          <w:noProof/>
        </w:rPr>
        <w:fldChar w:fldCharType="end"/>
      </w:r>
      <w:r w:rsidR="00B12E4F" w:rsidRPr="001336C7">
        <w:t xml:space="preserve">: </w:t>
      </w:r>
      <w:r w:rsidR="00B12E4F">
        <w:t>Breast</w:t>
      </w:r>
      <w:r w:rsidR="00B12E4F" w:rsidRPr="001336C7">
        <w:t xml:space="preserve"> cancer </w:t>
      </w:r>
      <w:r w:rsidR="00B12E4F">
        <w:t>gap</w:t>
      </w:r>
      <w:bookmarkEnd w:id="259"/>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304"/>
        <w:gridCol w:w="1616"/>
        <w:gridCol w:w="1616"/>
      </w:tblGrid>
      <w:tr w:rsidR="00184030" w:rsidRPr="00184030" w14:paraId="289FF596" w14:textId="77777777" w:rsidTr="000861AF">
        <w:trPr>
          <w:cantSplit/>
        </w:trPr>
        <w:tc>
          <w:tcPr>
            <w:tcW w:w="1843" w:type="dxa"/>
            <w:tcBorders>
              <w:top w:val="nil"/>
              <w:bottom w:val="nil"/>
            </w:tcBorders>
            <w:shd w:val="clear" w:color="auto" w:fill="C2D9BA"/>
          </w:tcPr>
          <w:p w14:paraId="13F7664D" w14:textId="77777777" w:rsidR="00184030" w:rsidRPr="00184030" w:rsidRDefault="00184030" w:rsidP="006F66A9">
            <w:pPr>
              <w:pStyle w:val="TableText"/>
              <w:keepNext/>
              <w:keepLines/>
              <w:rPr>
                <w:b/>
              </w:rPr>
            </w:pPr>
            <w:r w:rsidRPr="00184030">
              <w:rPr>
                <w:b/>
              </w:rPr>
              <w:t>Indication</w:t>
            </w:r>
          </w:p>
        </w:tc>
        <w:tc>
          <w:tcPr>
            <w:tcW w:w="1701" w:type="dxa"/>
            <w:tcBorders>
              <w:top w:val="nil"/>
              <w:bottom w:val="nil"/>
            </w:tcBorders>
            <w:shd w:val="clear" w:color="auto" w:fill="C2D9BA"/>
          </w:tcPr>
          <w:p w14:paraId="151C66E0" w14:textId="77777777" w:rsidR="00184030" w:rsidRPr="00184030" w:rsidRDefault="00184030" w:rsidP="006F66A9">
            <w:pPr>
              <w:pStyle w:val="TableText"/>
              <w:keepNext/>
              <w:keepLines/>
              <w:rPr>
                <w:b/>
              </w:rPr>
            </w:pPr>
            <w:r w:rsidRPr="00184030">
              <w:rPr>
                <w:b/>
              </w:rPr>
              <w:t>Medicine/regimen</w:t>
            </w:r>
          </w:p>
        </w:tc>
        <w:tc>
          <w:tcPr>
            <w:tcW w:w="1304" w:type="dxa"/>
            <w:tcBorders>
              <w:top w:val="nil"/>
              <w:bottom w:val="nil"/>
            </w:tcBorders>
            <w:shd w:val="clear" w:color="auto" w:fill="C2D9BA"/>
          </w:tcPr>
          <w:p w14:paraId="7DA35D1D" w14:textId="77777777" w:rsidR="00184030" w:rsidRPr="00184030" w:rsidRDefault="00184030" w:rsidP="006F66A9">
            <w:pPr>
              <w:pStyle w:val="TableText"/>
              <w:keepNext/>
              <w:keepLines/>
              <w:jc w:val="center"/>
              <w:rPr>
                <w:b/>
              </w:rPr>
            </w:pPr>
            <w:r w:rsidRPr="00184030">
              <w:rPr>
                <w:b/>
              </w:rPr>
              <w:t>ESMO-MCBS</w:t>
            </w:r>
          </w:p>
        </w:tc>
        <w:tc>
          <w:tcPr>
            <w:tcW w:w="1616" w:type="dxa"/>
            <w:tcBorders>
              <w:top w:val="nil"/>
              <w:bottom w:val="nil"/>
            </w:tcBorders>
            <w:shd w:val="clear" w:color="auto" w:fill="C2D9BA"/>
          </w:tcPr>
          <w:p w14:paraId="7F381525" w14:textId="77777777" w:rsidR="00184030" w:rsidRPr="00184030" w:rsidRDefault="00184030" w:rsidP="006F66A9">
            <w:pPr>
              <w:pStyle w:val="TableText"/>
              <w:keepNext/>
              <w:keepLines/>
              <w:jc w:val="center"/>
              <w:rPr>
                <w:b/>
              </w:rPr>
            </w:pPr>
            <w:r w:rsidRPr="00184030">
              <w:rPr>
                <w:b/>
              </w:rPr>
              <w:t>Pharmac status at time of analysis</w:t>
            </w:r>
          </w:p>
        </w:tc>
        <w:tc>
          <w:tcPr>
            <w:tcW w:w="1616" w:type="dxa"/>
            <w:tcBorders>
              <w:top w:val="nil"/>
              <w:bottom w:val="nil"/>
            </w:tcBorders>
            <w:shd w:val="clear" w:color="auto" w:fill="C2D9BA"/>
          </w:tcPr>
          <w:p w14:paraId="25903723" w14:textId="77777777" w:rsidR="00184030" w:rsidRPr="00184030" w:rsidRDefault="00184030" w:rsidP="006F66A9">
            <w:pPr>
              <w:pStyle w:val="TableText"/>
              <w:keepNext/>
              <w:keepLines/>
              <w:jc w:val="center"/>
              <w:rPr>
                <w:b/>
              </w:rPr>
            </w:pPr>
            <w:r w:rsidRPr="00184030">
              <w:rPr>
                <w:b/>
              </w:rPr>
              <w:t>Appendix table for further detail</w:t>
            </w:r>
          </w:p>
        </w:tc>
      </w:tr>
      <w:tr w:rsidR="00184030" w14:paraId="33B21355" w14:textId="77777777" w:rsidTr="000861AF">
        <w:trPr>
          <w:cantSplit/>
        </w:trPr>
        <w:tc>
          <w:tcPr>
            <w:tcW w:w="1843" w:type="dxa"/>
            <w:tcBorders>
              <w:top w:val="nil"/>
              <w:bottom w:val="single" w:sz="4" w:space="0" w:color="C2D9BA"/>
            </w:tcBorders>
            <w:shd w:val="clear" w:color="auto" w:fill="auto"/>
          </w:tcPr>
          <w:p w14:paraId="1B9D33FE" w14:textId="77777777" w:rsidR="00184030" w:rsidRPr="001336C7" w:rsidRDefault="00184030" w:rsidP="00184030">
            <w:pPr>
              <w:pStyle w:val="TableText"/>
            </w:pPr>
            <w:r>
              <w:t>Early stage, HER-2 +ve, adjuvant to surgery and neo</w:t>
            </w:r>
            <w:r>
              <w:noBreakHyphen/>
              <w:t>adjuvant trastuzumab and chemotherapy, with residual disease</w:t>
            </w:r>
          </w:p>
        </w:tc>
        <w:tc>
          <w:tcPr>
            <w:tcW w:w="1701" w:type="dxa"/>
            <w:tcBorders>
              <w:top w:val="nil"/>
              <w:bottom w:val="single" w:sz="4" w:space="0" w:color="C2D9BA"/>
            </w:tcBorders>
            <w:shd w:val="clear" w:color="auto" w:fill="auto"/>
          </w:tcPr>
          <w:p w14:paraId="78E04919" w14:textId="77777777" w:rsidR="00184030" w:rsidRPr="001336C7" w:rsidRDefault="00184030" w:rsidP="00F64599">
            <w:pPr>
              <w:pStyle w:val="TableText"/>
            </w:pPr>
            <w:r>
              <w:t>Trastuzumab emtansine</w:t>
            </w:r>
          </w:p>
        </w:tc>
        <w:tc>
          <w:tcPr>
            <w:tcW w:w="1304" w:type="dxa"/>
            <w:tcBorders>
              <w:top w:val="nil"/>
              <w:bottom w:val="single" w:sz="4" w:space="0" w:color="C2D9BA"/>
            </w:tcBorders>
            <w:shd w:val="clear" w:color="auto" w:fill="auto"/>
          </w:tcPr>
          <w:p w14:paraId="4F613C44" w14:textId="77777777" w:rsidR="00184030" w:rsidRPr="001336C7" w:rsidRDefault="00184030" w:rsidP="00184030">
            <w:pPr>
              <w:pStyle w:val="TableText"/>
              <w:jc w:val="center"/>
            </w:pPr>
            <w:r w:rsidRPr="001336C7">
              <w:t>Not available</w:t>
            </w:r>
          </w:p>
        </w:tc>
        <w:tc>
          <w:tcPr>
            <w:tcW w:w="1616" w:type="dxa"/>
            <w:tcBorders>
              <w:top w:val="nil"/>
              <w:bottom w:val="single" w:sz="4" w:space="0" w:color="C2D9BA"/>
            </w:tcBorders>
            <w:shd w:val="clear" w:color="auto" w:fill="auto"/>
          </w:tcPr>
          <w:p w14:paraId="6051E407" w14:textId="77777777" w:rsidR="00184030" w:rsidRPr="001336C7" w:rsidRDefault="00184030" w:rsidP="00F64599">
            <w:pPr>
              <w:pStyle w:val="TableText"/>
            </w:pPr>
            <w:r w:rsidRPr="001336C7">
              <w:t>Ranked as an option for investment</w:t>
            </w:r>
          </w:p>
        </w:tc>
        <w:tc>
          <w:tcPr>
            <w:tcW w:w="1616" w:type="dxa"/>
            <w:tcBorders>
              <w:top w:val="nil"/>
              <w:bottom w:val="single" w:sz="4" w:space="0" w:color="C2D9BA"/>
            </w:tcBorders>
            <w:shd w:val="clear" w:color="auto" w:fill="auto"/>
          </w:tcPr>
          <w:p w14:paraId="40A5CCE4" w14:textId="77777777" w:rsidR="00184030" w:rsidRPr="001336C7" w:rsidRDefault="0056499C" w:rsidP="00184030">
            <w:pPr>
              <w:pStyle w:val="TableText"/>
              <w:jc w:val="center"/>
            </w:pPr>
            <w:hyperlink w:anchor="Appendix_7_Table_7point6" w:history="1">
              <w:r w:rsidR="00184030" w:rsidRPr="00E1769B">
                <w:rPr>
                  <w:rStyle w:val="Hyperlink"/>
                  <w:rFonts w:eastAsia="MS Gothic"/>
                </w:rPr>
                <w:t>7.6</w:t>
              </w:r>
            </w:hyperlink>
          </w:p>
        </w:tc>
      </w:tr>
    </w:tbl>
    <w:p w14:paraId="519C68D0" w14:textId="77777777" w:rsidR="00C338E8" w:rsidRDefault="00C338E8" w:rsidP="00184030"/>
    <w:p w14:paraId="786DD198" w14:textId="77777777" w:rsidR="00F64599" w:rsidRDefault="00B12E4F" w:rsidP="00D4035C">
      <w:r w:rsidRPr="001336C7">
        <w:t xml:space="preserve">Breast cancer is the second most commonly diagnosed cancer in </w:t>
      </w:r>
      <w:r>
        <w:t>Aotearoa</w:t>
      </w:r>
      <w:r w:rsidRPr="001336C7">
        <w:t>, with an average of 3,000 women, including 400 Māori</w:t>
      </w:r>
      <w:r>
        <w:t xml:space="preserve"> (</w:t>
      </w:r>
      <w:r w:rsidR="00F64599">
        <w:t>Te Aho</w:t>
      </w:r>
      <w:r>
        <w:t xml:space="preserve"> o </w:t>
      </w:r>
      <w:r w:rsidR="00B537E2">
        <w:t>Te Kahu</w:t>
      </w:r>
      <w:r>
        <w:t xml:space="preserve"> 2021a), and around 25</w:t>
      </w:r>
      <w:r w:rsidR="00D4035C">
        <w:t> </w:t>
      </w:r>
      <w:r>
        <w:t xml:space="preserve">men diagnosed each year </w:t>
      </w:r>
      <w:r>
        <w:rPr>
          <w:noProof/>
        </w:rPr>
        <w:t>(Breast Cancer Foundation New Zealand 2022)</w:t>
      </w:r>
      <w:r w:rsidRPr="001336C7">
        <w:t xml:space="preserve">. The incidence of breast cancer as a whole is 1.2 times higher </w:t>
      </w:r>
      <w:r>
        <w:t>in</w:t>
      </w:r>
      <w:r w:rsidRPr="001336C7">
        <w:t xml:space="preserve"> Māori compared </w:t>
      </w:r>
      <w:r>
        <w:t>with</w:t>
      </w:r>
      <w:r w:rsidRPr="001336C7">
        <w:t xml:space="preserve"> non</w:t>
      </w:r>
      <w:r w:rsidR="00D4035C">
        <w:noBreakHyphen/>
      </w:r>
      <w:r w:rsidRPr="001336C7">
        <w:t xml:space="preserve">Māori and slightly higher </w:t>
      </w:r>
      <w:r>
        <w:t>in</w:t>
      </w:r>
      <w:r w:rsidRPr="001336C7">
        <w:t xml:space="preserve"> Pacific peoples compared </w:t>
      </w:r>
      <w:r>
        <w:t>with</w:t>
      </w:r>
      <w:r w:rsidRPr="001336C7">
        <w:t xml:space="preserve"> non-Māori non-Pacific non</w:t>
      </w:r>
      <w:r w:rsidR="00D4035C">
        <w:noBreakHyphen/>
      </w:r>
      <w:r w:rsidRPr="001336C7">
        <w:t xml:space="preserve">Asian </w:t>
      </w:r>
      <w:r>
        <w:t xml:space="preserve">peoples </w:t>
      </w:r>
      <w:r>
        <w:rPr>
          <w:noProof/>
        </w:rPr>
        <w:t>(</w:t>
      </w:r>
      <w:r w:rsidR="00F64599">
        <w:rPr>
          <w:noProof/>
        </w:rPr>
        <w:t>Te Aho</w:t>
      </w:r>
      <w:r>
        <w:rPr>
          <w:noProof/>
        </w:rPr>
        <w:t xml:space="preserve"> o </w:t>
      </w:r>
      <w:r w:rsidR="00B537E2">
        <w:rPr>
          <w:noProof/>
        </w:rPr>
        <w:t>Te Kahu</w:t>
      </w:r>
      <w:r>
        <w:rPr>
          <w:noProof/>
        </w:rPr>
        <w:t xml:space="preserve"> 2021a)</w:t>
      </w:r>
      <w:r w:rsidRPr="001336C7">
        <w:t>. Early-stage breast cancer includes ductal carcinoma in situ as well as breast cancers in stages I, II and IIIa. Around 80</w:t>
      </w:r>
      <w:r w:rsidR="00F64599">
        <w:t> percent</w:t>
      </w:r>
      <w:r w:rsidRPr="001336C7">
        <w:t xml:space="preserve"> of women with breast cancer are diagnosed with either stage I or stage II disease, </w:t>
      </w:r>
      <w:r>
        <w:t>lower for</w:t>
      </w:r>
      <w:r w:rsidRPr="001336C7" w:rsidDel="008905DA">
        <w:t xml:space="preserve"> </w:t>
      </w:r>
      <w:r w:rsidRPr="001336C7">
        <w:t>Pacific peoples (</w:t>
      </w:r>
      <w:r>
        <w:t>70</w:t>
      </w:r>
      <w:r w:rsidR="00F64599">
        <w:t> percent</w:t>
      </w:r>
      <w:r w:rsidRPr="001336C7">
        <w:t>)</w:t>
      </w:r>
      <w:r>
        <w:t>. About</w:t>
      </w:r>
      <w:r w:rsidRPr="001336C7">
        <w:t xml:space="preserve"> 1</w:t>
      </w:r>
      <w:r>
        <w:t>3</w:t>
      </w:r>
      <w:r w:rsidR="00F64599">
        <w:t> percent</w:t>
      </w:r>
      <w:r w:rsidRPr="001336C7">
        <w:t xml:space="preserve"> of women with breast cancer are diagnosed with stage III disease, </w:t>
      </w:r>
      <w:r>
        <w:t xml:space="preserve">with this being </w:t>
      </w:r>
      <w:r w:rsidRPr="001336C7">
        <w:t>higher for Māori (1</w:t>
      </w:r>
      <w:r>
        <w:t>4</w:t>
      </w:r>
      <w:r w:rsidR="00F64599">
        <w:t> percent</w:t>
      </w:r>
      <w:r w:rsidRPr="001336C7">
        <w:t>) and Pacific peoples (</w:t>
      </w:r>
      <w:r>
        <w:t>19</w:t>
      </w:r>
      <w:r w:rsidR="00F64599">
        <w:t> percent</w:t>
      </w:r>
      <w:r w:rsidRPr="001336C7">
        <w:t>)</w:t>
      </w:r>
      <w:r>
        <w:t>. Approximately 15</w:t>
      </w:r>
      <w:r w:rsidR="00F64599">
        <w:t> percent</w:t>
      </w:r>
      <w:r>
        <w:t xml:space="preserve"> of women with breast cancer will be HER2+, significantly higher for Pacific women (24</w:t>
      </w:r>
      <w:r w:rsidR="00F64599">
        <w:t> percent</w:t>
      </w:r>
      <w:r>
        <w:t>). Around</w:t>
      </w:r>
      <w:r w:rsidRPr="001336C7">
        <w:t xml:space="preserve"> </w:t>
      </w:r>
      <w:r>
        <w:rPr>
          <w:bCs/>
        </w:rPr>
        <w:t>91</w:t>
      </w:r>
      <w:r w:rsidR="00F64599">
        <w:rPr>
          <w:bCs/>
        </w:rPr>
        <w:t> percent</w:t>
      </w:r>
      <w:r>
        <w:rPr>
          <w:bCs/>
        </w:rPr>
        <w:t xml:space="preserve"> of those diagnosed with invasive breast cancer (defined as stage I disease or higher) will survive to five years</w:t>
      </w:r>
      <w:r w:rsidRPr="001336C7" w:rsidDel="003A6AE5">
        <w:rPr>
          <w:bCs/>
        </w:rPr>
        <w:t xml:space="preserve"> </w:t>
      </w:r>
      <w:r>
        <w:t>(89</w:t>
      </w:r>
      <w:r w:rsidR="00F64599">
        <w:t> percent</w:t>
      </w:r>
      <w:r>
        <w:t xml:space="preserve"> for Māori, 87</w:t>
      </w:r>
      <w:r w:rsidR="00F64599">
        <w:t> percent</w:t>
      </w:r>
      <w:r>
        <w:t xml:space="preserve"> for Pacific peoples). </w:t>
      </w:r>
      <w:r w:rsidRPr="001336C7">
        <w:t>By stage of disease, data from the New Zealand Breast Cancer Register indicates that</w:t>
      </w:r>
      <w:r>
        <w:t xml:space="preserve"> 99</w:t>
      </w:r>
      <w:r w:rsidR="00F64599">
        <w:t> percent</w:t>
      </w:r>
      <w:r>
        <w:t xml:space="preserve"> of patients diagnosed with Stage I, 93</w:t>
      </w:r>
      <w:r w:rsidR="00F64599">
        <w:t> percent</w:t>
      </w:r>
      <w:r>
        <w:t xml:space="preserve"> of those with Stage II, and 81</w:t>
      </w:r>
      <w:r w:rsidR="00F64599">
        <w:t> percent</w:t>
      </w:r>
      <w:r>
        <w:t xml:space="preserve"> of those with Stage</w:t>
      </w:r>
      <w:r w:rsidR="00D4035C">
        <w:t> </w:t>
      </w:r>
      <w:r>
        <w:t>III will survive to five years. From 2003</w:t>
      </w:r>
      <w:r w:rsidR="00D4035C">
        <w:t>–</w:t>
      </w:r>
      <w:r>
        <w:t xml:space="preserve">2020 data, </w:t>
      </w:r>
      <w:r w:rsidRPr="001336C7">
        <w:t>Māori patients with breast cancer are 3</w:t>
      </w:r>
      <w:r>
        <w:t>3</w:t>
      </w:r>
      <w:r w:rsidR="00F64599">
        <w:t> percent</w:t>
      </w:r>
      <w:r>
        <w:t xml:space="preserve"> and Pacific are 52</w:t>
      </w:r>
      <w:r w:rsidR="00F64599">
        <w:t> percent</w:t>
      </w:r>
      <w:r>
        <w:t xml:space="preserve"> </w:t>
      </w:r>
      <w:r w:rsidRPr="001336C7">
        <w:t>more likely to die than non-Māori</w:t>
      </w:r>
      <w:r>
        <w:t xml:space="preserve"> non</w:t>
      </w:r>
      <w:r w:rsidR="00D4035C">
        <w:noBreakHyphen/>
      </w:r>
      <w:r>
        <w:t xml:space="preserve">Pacific non-Asian peoples </w:t>
      </w:r>
      <w:bookmarkStart w:id="260" w:name="_Hlk100657480"/>
      <w:r>
        <w:rPr>
          <w:noProof/>
        </w:rPr>
        <w:t>(Breast Cancer Foundation New Zealand 2022)</w:t>
      </w:r>
      <w:r w:rsidRPr="001336C7">
        <w:t>.</w:t>
      </w:r>
      <w:bookmarkEnd w:id="260"/>
    </w:p>
    <w:p w14:paraId="280EB2D9" w14:textId="3DADA7D3" w:rsidR="00C338E8" w:rsidRDefault="00B12E4F" w:rsidP="00D10141">
      <w:pPr>
        <w:spacing w:before="240"/>
      </w:pPr>
      <w:r w:rsidRPr="001336C7">
        <w:t>The size of the population that would benefit if this gap was funded is at least 110</w:t>
      </w:r>
      <w:r w:rsidR="00D4035C">
        <w:t> </w:t>
      </w:r>
      <w:r>
        <w:t>people each</w:t>
      </w:r>
      <w:r w:rsidRPr="001336C7">
        <w:t xml:space="preserve"> year, reflecting the subset of the group that currently receives trastuzumab but who would be switched to trastuzumab emtansine if they had residual disease detected after surgery. </w:t>
      </w:r>
    </w:p>
    <w:p w14:paraId="516701B5" w14:textId="7D413A4C" w:rsidR="00C338E8" w:rsidRDefault="00B12E4F" w:rsidP="000A08B7">
      <w:pPr>
        <w:pStyle w:val="Heading4"/>
      </w:pPr>
      <w:bookmarkStart w:id="261" w:name="_Toc100739036"/>
      <w:r w:rsidRPr="00CC1870">
        <w:lastRenderedPageBreak/>
        <w:t>Liver cancer</w:t>
      </w:r>
      <w:r>
        <w:t xml:space="preserve"> gap </w:t>
      </w:r>
      <w:bookmarkEnd w:id="261"/>
    </w:p>
    <w:p w14:paraId="77B9613B" w14:textId="77777777" w:rsidR="00C338E8" w:rsidRDefault="00B12E4F" w:rsidP="003F099E">
      <w:pPr>
        <w:keepNext/>
        <w:keepLines/>
      </w:pPr>
      <w:r w:rsidRPr="001336C7">
        <w:t xml:space="preserve">There was one gap in liver cancer </w:t>
      </w:r>
      <w:r>
        <w:t xml:space="preserve">medicine funding </w:t>
      </w:r>
      <w:r w:rsidRPr="001336C7">
        <w:t xml:space="preserve">that </w:t>
      </w:r>
      <w:r>
        <w:t xml:space="preserve">was defined by ESMO-MCBS </w:t>
      </w:r>
      <w:r w:rsidRPr="001336C7">
        <w:t xml:space="preserve">as likely to have substantial clinical benefit, represented by a combination of two medicines (atezolizumab with bevacizumab). This gap was in the non-curative </w:t>
      </w:r>
      <w:r>
        <w:t xml:space="preserve">treatment </w:t>
      </w:r>
      <w:r w:rsidRPr="001336C7">
        <w:t>setting, in first-line therapy for advanced hepatocellular cancer.</w:t>
      </w:r>
    </w:p>
    <w:p w14:paraId="1DD40487" w14:textId="77777777" w:rsidR="00C338E8" w:rsidRDefault="00C338E8" w:rsidP="003F099E">
      <w:pPr>
        <w:keepNext/>
        <w:keepLines/>
      </w:pPr>
    </w:p>
    <w:p w14:paraId="69BE7EB1" w14:textId="4D73E310" w:rsidR="00B12E4F" w:rsidRDefault="00F34187" w:rsidP="006F66A9">
      <w:pPr>
        <w:pStyle w:val="Table"/>
        <w:keepLines/>
      </w:pPr>
      <w:bookmarkStart w:id="262" w:name="_Toc101365599"/>
      <w:r>
        <w:t>Table </w:t>
      </w:r>
      <w:r w:rsidR="0056499C">
        <w:fldChar w:fldCharType="begin"/>
      </w:r>
      <w:r w:rsidR="0056499C">
        <w:instrText xml:space="preserve"> SEQ Table \* ARABIC </w:instrText>
      </w:r>
      <w:r w:rsidR="0056499C">
        <w:fldChar w:fldCharType="separate"/>
      </w:r>
      <w:r w:rsidR="00386819">
        <w:rPr>
          <w:noProof/>
        </w:rPr>
        <w:t>5</w:t>
      </w:r>
      <w:r w:rsidR="0056499C">
        <w:rPr>
          <w:noProof/>
        </w:rPr>
        <w:fldChar w:fldCharType="end"/>
      </w:r>
      <w:r w:rsidR="00B12E4F">
        <w:t>: Liver</w:t>
      </w:r>
      <w:r w:rsidR="00B12E4F" w:rsidRPr="001336C7">
        <w:t xml:space="preserve"> cancer gap</w:t>
      </w:r>
      <w:bookmarkEnd w:id="26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304"/>
        <w:gridCol w:w="1616"/>
        <w:gridCol w:w="1616"/>
      </w:tblGrid>
      <w:tr w:rsidR="00F64599" w:rsidRPr="00184030" w14:paraId="210CD12F" w14:textId="77777777" w:rsidTr="000861AF">
        <w:trPr>
          <w:cantSplit/>
        </w:trPr>
        <w:tc>
          <w:tcPr>
            <w:tcW w:w="1843" w:type="dxa"/>
            <w:tcBorders>
              <w:top w:val="nil"/>
              <w:bottom w:val="nil"/>
            </w:tcBorders>
            <w:shd w:val="clear" w:color="auto" w:fill="C2D9BA"/>
          </w:tcPr>
          <w:p w14:paraId="4C0F295C" w14:textId="77777777" w:rsidR="00F64599" w:rsidRPr="00184030" w:rsidRDefault="00F64599" w:rsidP="006F66A9">
            <w:pPr>
              <w:pStyle w:val="TableText"/>
              <w:keepNext/>
              <w:keepLines/>
              <w:rPr>
                <w:b/>
              </w:rPr>
            </w:pPr>
            <w:r w:rsidRPr="00184030">
              <w:rPr>
                <w:b/>
              </w:rPr>
              <w:t>Indication</w:t>
            </w:r>
          </w:p>
        </w:tc>
        <w:tc>
          <w:tcPr>
            <w:tcW w:w="1701" w:type="dxa"/>
            <w:tcBorders>
              <w:top w:val="nil"/>
              <w:bottom w:val="nil"/>
            </w:tcBorders>
            <w:shd w:val="clear" w:color="auto" w:fill="C2D9BA"/>
          </w:tcPr>
          <w:p w14:paraId="7CB29F30" w14:textId="77777777" w:rsidR="00F64599" w:rsidRPr="00184030" w:rsidRDefault="00F64599" w:rsidP="006F66A9">
            <w:pPr>
              <w:pStyle w:val="TableText"/>
              <w:keepNext/>
              <w:keepLines/>
              <w:rPr>
                <w:b/>
              </w:rPr>
            </w:pPr>
            <w:r w:rsidRPr="00184030">
              <w:rPr>
                <w:b/>
              </w:rPr>
              <w:t>Medicine/regimen</w:t>
            </w:r>
          </w:p>
        </w:tc>
        <w:tc>
          <w:tcPr>
            <w:tcW w:w="1304" w:type="dxa"/>
            <w:tcBorders>
              <w:top w:val="nil"/>
              <w:bottom w:val="nil"/>
            </w:tcBorders>
            <w:shd w:val="clear" w:color="auto" w:fill="C2D9BA"/>
          </w:tcPr>
          <w:p w14:paraId="6B91DC70" w14:textId="77777777" w:rsidR="00F64599" w:rsidRPr="00184030" w:rsidRDefault="00F64599" w:rsidP="006F66A9">
            <w:pPr>
              <w:pStyle w:val="TableText"/>
              <w:keepNext/>
              <w:keepLines/>
              <w:jc w:val="center"/>
              <w:rPr>
                <w:b/>
              </w:rPr>
            </w:pPr>
            <w:r w:rsidRPr="00184030">
              <w:rPr>
                <w:b/>
              </w:rPr>
              <w:t>ESMO-MCBS</w:t>
            </w:r>
          </w:p>
        </w:tc>
        <w:tc>
          <w:tcPr>
            <w:tcW w:w="1616" w:type="dxa"/>
            <w:tcBorders>
              <w:top w:val="nil"/>
              <w:bottom w:val="nil"/>
            </w:tcBorders>
            <w:shd w:val="clear" w:color="auto" w:fill="C2D9BA"/>
          </w:tcPr>
          <w:p w14:paraId="55C29305" w14:textId="77777777" w:rsidR="00F64599" w:rsidRPr="00184030" w:rsidRDefault="00F64599" w:rsidP="006F66A9">
            <w:pPr>
              <w:pStyle w:val="TableText"/>
              <w:keepNext/>
              <w:keepLines/>
              <w:jc w:val="center"/>
              <w:rPr>
                <w:b/>
              </w:rPr>
            </w:pPr>
            <w:r w:rsidRPr="00184030">
              <w:rPr>
                <w:b/>
              </w:rPr>
              <w:t>Pharmac status at time of analysis</w:t>
            </w:r>
          </w:p>
        </w:tc>
        <w:tc>
          <w:tcPr>
            <w:tcW w:w="1616" w:type="dxa"/>
            <w:tcBorders>
              <w:top w:val="nil"/>
              <w:bottom w:val="nil"/>
            </w:tcBorders>
            <w:shd w:val="clear" w:color="auto" w:fill="C2D9BA"/>
          </w:tcPr>
          <w:p w14:paraId="248F1B08" w14:textId="77777777" w:rsidR="00F64599" w:rsidRPr="00184030" w:rsidRDefault="00F64599" w:rsidP="006F66A9">
            <w:pPr>
              <w:pStyle w:val="TableText"/>
              <w:keepNext/>
              <w:keepLines/>
              <w:jc w:val="center"/>
              <w:rPr>
                <w:b/>
              </w:rPr>
            </w:pPr>
            <w:r w:rsidRPr="00184030">
              <w:rPr>
                <w:b/>
              </w:rPr>
              <w:t>Appendix table for further detail</w:t>
            </w:r>
          </w:p>
        </w:tc>
      </w:tr>
      <w:tr w:rsidR="00F64599" w14:paraId="6C6CD81E" w14:textId="77777777" w:rsidTr="000861AF">
        <w:trPr>
          <w:cantSplit/>
        </w:trPr>
        <w:tc>
          <w:tcPr>
            <w:tcW w:w="1843" w:type="dxa"/>
            <w:tcBorders>
              <w:top w:val="nil"/>
              <w:bottom w:val="single" w:sz="4" w:space="0" w:color="C2D9BA"/>
            </w:tcBorders>
            <w:shd w:val="clear" w:color="auto" w:fill="auto"/>
          </w:tcPr>
          <w:p w14:paraId="03C1B24C" w14:textId="77777777" w:rsidR="00F64599" w:rsidRPr="001336C7" w:rsidRDefault="00F64599" w:rsidP="00F64599">
            <w:pPr>
              <w:pStyle w:val="TableText"/>
            </w:pPr>
            <w:r w:rsidRPr="001336C7">
              <w:t xml:space="preserve">Hepatocellular carcinoma (HCC), advanced stage, </w:t>
            </w:r>
            <w:r>
              <w:t>first-line therapy</w:t>
            </w:r>
          </w:p>
        </w:tc>
        <w:tc>
          <w:tcPr>
            <w:tcW w:w="1701" w:type="dxa"/>
            <w:tcBorders>
              <w:top w:val="nil"/>
              <w:bottom w:val="single" w:sz="4" w:space="0" w:color="C2D9BA"/>
            </w:tcBorders>
            <w:shd w:val="clear" w:color="auto" w:fill="auto"/>
          </w:tcPr>
          <w:p w14:paraId="38E1C642" w14:textId="77777777" w:rsidR="00F64599" w:rsidRPr="001336C7" w:rsidRDefault="00F64599" w:rsidP="00F64599">
            <w:pPr>
              <w:pStyle w:val="TableText"/>
            </w:pPr>
            <w:r w:rsidRPr="001336C7">
              <w:t>Atezolizumab with bevacizumab</w:t>
            </w:r>
          </w:p>
        </w:tc>
        <w:tc>
          <w:tcPr>
            <w:tcW w:w="1304" w:type="dxa"/>
            <w:tcBorders>
              <w:top w:val="nil"/>
              <w:bottom w:val="single" w:sz="4" w:space="0" w:color="C2D9BA"/>
            </w:tcBorders>
            <w:shd w:val="clear" w:color="auto" w:fill="auto"/>
          </w:tcPr>
          <w:p w14:paraId="487F91BE" w14:textId="77777777" w:rsidR="00F64599" w:rsidRPr="001336C7" w:rsidRDefault="00F64599" w:rsidP="00F64599">
            <w:pPr>
              <w:pStyle w:val="TableText"/>
              <w:jc w:val="center"/>
            </w:pPr>
            <w:r w:rsidRPr="001336C7">
              <w:t>5</w:t>
            </w:r>
          </w:p>
        </w:tc>
        <w:tc>
          <w:tcPr>
            <w:tcW w:w="1616" w:type="dxa"/>
            <w:tcBorders>
              <w:top w:val="nil"/>
              <w:bottom w:val="single" w:sz="4" w:space="0" w:color="C2D9BA"/>
            </w:tcBorders>
            <w:shd w:val="clear" w:color="auto" w:fill="auto"/>
          </w:tcPr>
          <w:p w14:paraId="6106EF9A" w14:textId="77777777" w:rsidR="00F64599" w:rsidRPr="001336C7" w:rsidRDefault="00F64599" w:rsidP="00F64599">
            <w:pPr>
              <w:pStyle w:val="TableText"/>
            </w:pPr>
            <w:r>
              <w:t>Seeking clinical advice – not yet ranked</w:t>
            </w:r>
            <w:r w:rsidRPr="00F64599">
              <w:rPr>
                <w:rStyle w:val="FootnoteReference"/>
                <w:rFonts w:eastAsia="MS Gothic"/>
              </w:rPr>
              <w:footnoteReference w:id="16"/>
            </w:r>
          </w:p>
        </w:tc>
        <w:tc>
          <w:tcPr>
            <w:tcW w:w="1616" w:type="dxa"/>
            <w:tcBorders>
              <w:top w:val="nil"/>
              <w:bottom w:val="single" w:sz="4" w:space="0" w:color="C2D9BA"/>
            </w:tcBorders>
            <w:shd w:val="clear" w:color="auto" w:fill="auto"/>
          </w:tcPr>
          <w:p w14:paraId="6222CF05" w14:textId="77777777" w:rsidR="00F64599" w:rsidRPr="001336C7" w:rsidRDefault="0056499C" w:rsidP="00F64599">
            <w:pPr>
              <w:pStyle w:val="TableText"/>
              <w:jc w:val="center"/>
            </w:pPr>
            <w:hyperlink w:anchor="Appendix_7_Table_7point7" w:history="1">
              <w:r w:rsidR="00F64599" w:rsidRPr="00243120">
                <w:rPr>
                  <w:rStyle w:val="Hyperlink"/>
                  <w:rFonts w:eastAsia="MS Gothic"/>
                </w:rPr>
                <w:t>7.7</w:t>
              </w:r>
            </w:hyperlink>
          </w:p>
        </w:tc>
      </w:tr>
    </w:tbl>
    <w:p w14:paraId="26ABE6EB" w14:textId="77777777" w:rsidR="00F64599" w:rsidRDefault="00F64599" w:rsidP="00F64599"/>
    <w:p w14:paraId="2BC68E21" w14:textId="77777777" w:rsidR="00C338E8" w:rsidRDefault="00B12E4F" w:rsidP="00B12E4F">
      <w:r w:rsidRPr="00F64599">
        <w:t>Most primary liver cancers are hepatocellular carcinomas.</w:t>
      </w:r>
      <w:r w:rsidRPr="00F64599">
        <w:rPr>
          <w:rStyle w:val="FootnoteReference"/>
          <w:rFonts w:eastAsia="MS Gothic"/>
        </w:rPr>
        <w:footnoteReference w:id="17"/>
      </w:r>
      <w:r w:rsidRPr="00F64599">
        <w:t xml:space="preserve"> On average, 315 people are diagnosed with liver cancer every year, including an average of 66 Māori, and there are 234</w:t>
      </w:r>
      <w:r w:rsidR="00F64599">
        <w:t> </w:t>
      </w:r>
      <w:r w:rsidRPr="00F64599">
        <w:t xml:space="preserve">deaths each year, including 43 Māori. The incidence of liver cancer is three times higher for Māori compared with non-Māori (Gurney, Robson </w:t>
      </w:r>
      <w:r w:rsidR="00C338E8" w:rsidRPr="00F64599">
        <w:t>et al</w:t>
      </w:r>
      <w:r w:rsidR="003B51F4" w:rsidRPr="00F64599">
        <w:t xml:space="preserve"> 2</w:t>
      </w:r>
      <w:r w:rsidRPr="00F64599">
        <w:t>020) and about four times higher for Pacific peoples compared with non-Māori non-Pacific non-Asian peoples (</w:t>
      </w:r>
      <w:r w:rsidR="00F64599">
        <w:t>Te Aho</w:t>
      </w:r>
      <w:r w:rsidRPr="00F64599">
        <w:t xml:space="preserve"> o </w:t>
      </w:r>
      <w:r w:rsidR="00B537E2">
        <w:t>Te Kahu</w:t>
      </w:r>
      <w:r w:rsidRPr="00F64599">
        <w:t xml:space="preserve"> 2021a). More</w:t>
      </w:r>
      <w:r w:rsidRPr="001336C7">
        <w:t xml:space="preserve"> than </w:t>
      </w:r>
      <w:r>
        <w:t>one-</w:t>
      </w:r>
      <w:r w:rsidRPr="001336C7">
        <w:t>third of liver cancers (34</w:t>
      </w:r>
      <w:r w:rsidR="00F64599">
        <w:t> percent</w:t>
      </w:r>
      <w:r w:rsidRPr="001336C7">
        <w:t xml:space="preserve"> Māori, 38</w:t>
      </w:r>
      <w:r w:rsidR="00F64599">
        <w:t> percent</w:t>
      </w:r>
      <w:r w:rsidRPr="001336C7">
        <w:t xml:space="preserve"> non-Māori) are diagnosed at an advanced stage </w:t>
      </w:r>
      <w:r w:rsidRPr="001336C7">
        <w:rPr>
          <w:noProof/>
        </w:rPr>
        <w:t xml:space="preserve">(Chamberlain </w:t>
      </w:r>
      <w:r w:rsidR="00C338E8">
        <w:rPr>
          <w:noProof/>
        </w:rPr>
        <w:t>et al</w:t>
      </w:r>
      <w:r w:rsidR="003B51F4">
        <w:rPr>
          <w:noProof/>
        </w:rPr>
        <w:t xml:space="preserve"> 2</w:t>
      </w:r>
      <w:r w:rsidRPr="001336C7">
        <w:rPr>
          <w:noProof/>
        </w:rPr>
        <w:t>013)</w:t>
      </w:r>
      <w:r w:rsidRPr="001336C7">
        <w:t xml:space="preserve">. </w:t>
      </w:r>
      <w:r w:rsidRPr="001336C7">
        <w:rPr>
          <w:bCs/>
        </w:rPr>
        <w:t>Those diagnosed with</w:t>
      </w:r>
      <w:r w:rsidRPr="001336C7">
        <w:t xml:space="preserve"> liver cancer have approximately 20</w:t>
      </w:r>
      <w:r w:rsidR="00F64599">
        <w:t> percent</w:t>
      </w:r>
      <w:r w:rsidRPr="001336C7">
        <w:t xml:space="preserve"> survival at </w:t>
      </w:r>
      <w:r>
        <w:t>five</w:t>
      </w:r>
      <w:r w:rsidRPr="001336C7">
        <w:t xml:space="preserve"> years</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336C7">
        <w:t xml:space="preserve">. </w:t>
      </w:r>
      <w:r>
        <w:t xml:space="preserve">Data from 2007-2016 showed that </w:t>
      </w:r>
      <w:r w:rsidRPr="001336C7">
        <w:t xml:space="preserve">Māori patients with liver cancer </w:t>
      </w:r>
      <w:r>
        <w:t>were</w:t>
      </w:r>
      <w:r w:rsidRPr="001336C7">
        <w:t xml:space="preserve"> 31</w:t>
      </w:r>
      <w:r w:rsidR="00F64599">
        <w:t> percent</w:t>
      </w:r>
      <w:r w:rsidRPr="001336C7">
        <w:t xml:space="preserve"> more likely to die </w:t>
      </w:r>
      <w:r>
        <w:t xml:space="preserve">from that cancer </w:t>
      </w:r>
      <w:r w:rsidRPr="001336C7">
        <w:t>than non-Māori patients with liver cancer. Survival disparities between Māori and non-Māori were found to be the strongest among those with either advanced or unstaged disease</w:t>
      </w:r>
      <w:r>
        <w:t xml:space="preserve"> </w:t>
      </w:r>
      <w:r>
        <w:rPr>
          <w:noProof/>
        </w:rPr>
        <w:t xml:space="preserve">(Gurney, Stanley, McLeod, </w:t>
      </w:r>
      <w:r w:rsidR="00C338E8">
        <w:rPr>
          <w:noProof/>
        </w:rPr>
        <w:t>et al</w:t>
      </w:r>
      <w:r w:rsidR="003B51F4">
        <w:rPr>
          <w:noProof/>
        </w:rPr>
        <w:t xml:space="preserve"> 2</w:t>
      </w:r>
      <w:r>
        <w:rPr>
          <w:noProof/>
        </w:rPr>
        <w:t>020)</w:t>
      </w:r>
      <w:r w:rsidRPr="001336C7">
        <w:t>.</w:t>
      </w:r>
    </w:p>
    <w:p w14:paraId="7B4749C6" w14:textId="77777777" w:rsidR="00C338E8" w:rsidRDefault="00C338E8" w:rsidP="00F64599"/>
    <w:p w14:paraId="78E61D33" w14:textId="3C554ACA" w:rsidR="00C338E8" w:rsidRDefault="00B12E4F" w:rsidP="00F64599">
      <w:r w:rsidRPr="001336C7">
        <w:t xml:space="preserve">The size of the eligible population that would benefit if this gap </w:t>
      </w:r>
      <w:r>
        <w:t>were</w:t>
      </w:r>
      <w:r w:rsidRPr="001336C7">
        <w:t xml:space="preserve"> funded is about 60</w:t>
      </w:r>
      <w:r>
        <w:t>–</w:t>
      </w:r>
      <w:r w:rsidRPr="001336C7">
        <w:t xml:space="preserve">70 people </w:t>
      </w:r>
      <w:r>
        <w:t>each</w:t>
      </w:r>
      <w:r w:rsidRPr="001336C7">
        <w:t xml:space="preserve"> year, and the magnitude of benefit is (at least) an overall survival gain of 9.6 months. </w:t>
      </w:r>
    </w:p>
    <w:p w14:paraId="2EFB1980" w14:textId="77777777" w:rsidR="00C338E8" w:rsidRDefault="00C338E8" w:rsidP="00F64599"/>
    <w:p w14:paraId="720E1398" w14:textId="569A6B8E" w:rsidR="00C338E8" w:rsidRDefault="00B12E4F" w:rsidP="000A08B7">
      <w:pPr>
        <w:pStyle w:val="Heading4"/>
      </w:pPr>
      <w:bookmarkStart w:id="263" w:name="_Toc100739037"/>
      <w:r>
        <w:lastRenderedPageBreak/>
        <w:t>Bowel</w:t>
      </w:r>
      <w:r w:rsidRPr="00D43691">
        <w:t xml:space="preserve"> cancer </w:t>
      </w:r>
      <w:r>
        <w:t xml:space="preserve">gaps </w:t>
      </w:r>
      <w:bookmarkEnd w:id="263"/>
    </w:p>
    <w:p w14:paraId="2112B518" w14:textId="77777777" w:rsidR="00C338E8" w:rsidRDefault="00B12E4F" w:rsidP="009136D8">
      <w:pPr>
        <w:keepNext/>
        <w:keepLines/>
      </w:pPr>
      <w:r w:rsidRPr="001336C7">
        <w:t xml:space="preserve">There </w:t>
      </w:r>
      <w:r>
        <w:t>were two</w:t>
      </w:r>
      <w:r w:rsidRPr="001336C7">
        <w:t xml:space="preserve"> gap</w:t>
      </w:r>
      <w:r>
        <w:t>s</w:t>
      </w:r>
      <w:r w:rsidRPr="001336C7">
        <w:t xml:space="preserve"> in </w:t>
      </w:r>
      <w:r>
        <w:t>bowel</w:t>
      </w:r>
      <w:r w:rsidRPr="001336C7">
        <w:t xml:space="preserve"> cancer that </w:t>
      </w:r>
      <w:r>
        <w:t xml:space="preserve">were defined by ESMO-MCBS </w:t>
      </w:r>
      <w:r w:rsidRPr="001336C7">
        <w:t>as likely to have substantial clinical benefit, represented by two medicine options: cetuximab and panitumumab. The gap</w:t>
      </w:r>
      <w:r>
        <w:t>s</w:t>
      </w:r>
      <w:r w:rsidRPr="001336C7">
        <w:t xml:space="preserve"> </w:t>
      </w:r>
      <w:r>
        <w:t>were both</w:t>
      </w:r>
      <w:r w:rsidRPr="001336C7">
        <w:t xml:space="preserve"> in metastatic colorectal cancer with a </w:t>
      </w:r>
      <w:r>
        <w:t>wild-type (non</w:t>
      </w:r>
      <w:r w:rsidR="00F64599">
        <w:noBreakHyphen/>
      </w:r>
      <w:r>
        <w:t xml:space="preserve">mutated) </w:t>
      </w:r>
      <w:r w:rsidRPr="001336C7">
        <w:t>RAS gene, in the non-curative setting</w:t>
      </w:r>
      <w:r>
        <w:t>. One gap was in first-line therapy and the other was in second-line therapy.</w:t>
      </w:r>
      <w:r w:rsidR="00D34911">
        <w:t xml:space="preserve"> </w:t>
      </w:r>
      <w:r>
        <w:t>If the first-line gap were filled, this would make the second-line gap redundant.</w:t>
      </w:r>
    </w:p>
    <w:p w14:paraId="2D540BF1" w14:textId="4472ACB1" w:rsidR="00B12E4F" w:rsidRDefault="00F64599" w:rsidP="006F66A9">
      <w:pPr>
        <w:pStyle w:val="Table"/>
        <w:keepLines/>
      </w:pPr>
      <w:bookmarkStart w:id="264" w:name="_Toc101365600"/>
      <w:r>
        <w:t>Table </w:t>
      </w:r>
      <w:r w:rsidR="0056499C">
        <w:fldChar w:fldCharType="begin"/>
      </w:r>
      <w:r w:rsidR="0056499C">
        <w:instrText xml:space="preserve"> SEQ Table \* ARABIC </w:instrText>
      </w:r>
      <w:r w:rsidR="0056499C">
        <w:fldChar w:fldCharType="separate"/>
      </w:r>
      <w:r w:rsidR="00386819">
        <w:rPr>
          <w:noProof/>
        </w:rPr>
        <w:t>6</w:t>
      </w:r>
      <w:r w:rsidR="0056499C">
        <w:rPr>
          <w:noProof/>
        </w:rPr>
        <w:fldChar w:fldCharType="end"/>
      </w:r>
      <w:r w:rsidR="00B12E4F">
        <w:t>: Bowel cancer gaps</w:t>
      </w:r>
      <w:bookmarkEnd w:id="26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304"/>
        <w:gridCol w:w="1616"/>
        <w:gridCol w:w="1616"/>
      </w:tblGrid>
      <w:tr w:rsidR="00F64599" w:rsidRPr="00184030" w14:paraId="2DCD7A5B" w14:textId="77777777" w:rsidTr="000861AF">
        <w:trPr>
          <w:cantSplit/>
        </w:trPr>
        <w:tc>
          <w:tcPr>
            <w:tcW w:w="1843" w:type="dxa"/>
            <w:tcBorders>
              <w:top w:val="nil"/>
              <w:bottom w:val="nil"/>
            </w:tcBorders>
            <w:shd w:val="clear" w:color="auto" w:fill="C2D9BA"/>
          </w:tcPr>
          <w:p w14:paraId="0C5AE5C2" w14:textId="77777777" w:rsidR="00F64599" w:rsidRPr="00184030" w:rsidRDefault="00F64599" w:rsidP="006F66A9">
            <w:pPr>
              <w:pStyle w:val="TableText"/>
              <w:keepNext/>
              <w:keepLines/>
              <w:rPr>
                <w:b/>
              </w:rPr>
            </w:pPr>
            <w:r w:rsidRPr="00184030">
              <w:rPr>
                <w:b/>
              </w:rPr>
              <w:t>Indication</w:t>
            </w:r>
          </w:p>
        </w:tc>
        <w:tc>
          <w:tcPr>
            <w:tcW w:w="1701" w:type="dxa"/>
            <w:tcBorders>
              <w:top w:val="nil"/>
              <w:bottom w:val="nil"/>
            </w:tcBorders>
            <w:shd w:val="clear" w:color="auto" w:fill="C2D9BA"/>
          </w:tcPr>
          <w:p w14:paraId="162D08B7" w14:textId="77777777" w:rsidR="00F64599" w:rsidRPr="00184030" w:rsidRDefault="00F64599" w:rsidP="006F66A9">
            <w:pPr>
              <w:pStyle w:val="TableText"/>
              <w:keepNext/>
              <w:keepLines/>
              <w:rPr>
                <w:b/>
              </w:rPr>
            </w:pPr>
            <w:r w:rsidRPr="00184030">
              <w:rPr>
                <w:b/>
              </w:rPr>
              <w:t>Medicine/regimen</w:t>
            </w:r>
          </w:p>
        </w:tc>
        <w:tc>
          <w:tcPr>
            <w:tcW w:w="1304" w:type="dxa"/>
            <w:tcBorders>
              <w:top w:val="nil"/>
              <w:bottom w:val="nil"/>
            </w:tcBorders>
            <w:shd w:val="clear" w:color="auto" w:fill="C2D9BA"/>
          </w:tcPr>
          <w:p w14:paraId="58B401A9" w14:textId="77777777" w:rsidR="00F64599" w:rsidRPr="00184030" w:rsidRDefault="00F64599" w:rsidP="006F66A9">
            <w:pPr>
              <w:pStyle w:val="TableText"/>
              <w:keepNext/>
              <w:keepLines/>
              <w:jc w:val="center"/>
              <w:rPr>
                <w:b/>
              </w:rPr>
            </w:pPr>
            <w:r w:rsidRPr="00184030">
              <w:rPr>
                <w:b/>
              </w:rPr>
              <w:t>ESMO-MCBS</w:t>
            </w:r>
          </w:p>
        </w:tc>
        <w:tc>
          <w:tcPr>
            <w:tcW w:w="1616" w:type="dxa"/>
            <w:tcBorders>
              <w:top w:val="nil"/>
              <w:bottom w:val="nil"/>
            </w:tcBorders>
            <w:shd w:val="clear" w:color="auto" w:fill="C2D9BA"/>
          </w:tcPr>
          <w:p w14:paraId="0CB09E8B" w14:textId="77777777" w:rsidR="00F64599" w:rsidRPr="00184030" w:rsidRDefault="00F64599" w:rsidP="006F66A9">
            <w:pPr>
              <w:pStyle w:val="TableText"/>
              <w:keepNext/>
              <w:keepLines/>
              <w:jc w:val="center"/>
              <w:rPr>
                <w:b/>
              </w:rPr>
            </w:pPr>
            <w:r w:rsidRPr="00184030">
              <w:rPr>
                <w:b/>
              </w:rPr>
              <w:t>Pharmac status at time of analysis</w:t>
            </w:r>
          </w:p>
        </w:tc>
        <w:tc>
          <w:tcPr>
            <w:tcW w:w="1616" w:type="dxa"/>
            <w:tcBorders>
              <w:top w:val="nil"/>
              <w:bottom w:val="nil"/>
            </w:tcBorders>
            <w:shd w:val="clear" w:color="auto" w:fill="C2D9BA"/>
          </w:tcPr>
          <w:p w14:paraId="6EBEEE6B" w14:textId="77777777" w:rsidR="00F64599" w:rsidRPr="00184030" w:rsidRDefault="00F64599" w:rsidP="006F66A9">
            <w:pPr>
              <w:pStyle w:val="TableText"/>
              <w:keepNext/>
              <w:keepLines/>
              <w:jc w:val="center"/>
              <w:rPr>
                <w:b/>
              </w:rPr>
            </w:pPr>
            <w:r w:rsidRPr="00184030">
              <w:rPr>
                <w:b/>
              </w:rPr>
              <w:t>Appendix table for further detail</w:t>
            </w:r>
          </w:p>
        </w:tc>
      </w:tr>
      <w:tr w:rsidR="00F64599" w14:paraId="21A6E8D0" w14:textId="77777777" w:rsidTr="000861AF">
        <w:trPr>
          <w:cantSplit/>
        </w:trPr>
        <w:tc>
          <w:tcPr>
            <w:tcW w:w="1843" w:type="dxa"/>
            <w:vMerge w:val="restart"/>
            <w:tcBorders>
              <w:top w:val="nil"/>
            </w:tcBorders>
            <w:shd w:val="clear" w:color="auto" w:fill="auto"/>
          </w:tcPr>
          <w:p w14:paraId="3EDBB5B9" w14:textId="77777777" w:rsidR="00F64599" w:rsidRDefault="00F64599" w:rsidP="006F66A9">
            <w:pPr>
              <w:pStyle w:val="TableText"/>
              <w:keepNext/>
              <w:keepLines/>
              <w:rPr>
                <w:b/>
                <w:bCs/>
              </w:rPr>
            </w:pPr>
            <w:r>
              <w:t>Colorectal cancer (CRC), metastatic, RA</w:t>
            </w:r>
            <w:r w:rsidR="000861AF">
              <w:t>S wild-type, first-line therapy</w:t>
            </w:r>
          </w:p>
        </w:tc>
        <w:tc>
          <w:tcPr>
            <w:tcW w:w="1701" w:type="dxa"/>
            <w:tcBorders>
              <w:top w:val="nil"/>
              <w:bottom w:val="nil"/>
            </w:tcBorders>
            <w:shd w:val="clear" w:color="auto" w:fill="auto"/>
          </w:tcPr>
          <w:p w14:paraId="0DD74AAF" w14:textId="77777777" w:rsidR="00F64599" w:rsidRDefault="00F64599" w:rsidP="006F66A9">
            <w:pPr>
              <w:pStyle w:val="TableText"/>
              <w:keepNext/>
              <w:keepLines/>
            </w:pPr>
            <w:r>
              <w:t>Cetuximab (used with chemotherapy)</w:t>
            </w:r>
          </w:p>
          <w:p w14:paraId="1758D233" w14:textId="77777777" w:rsidR="00F64599" w:rsidRDefault="00F64599" w:rsidP="006F66A9">
            <w:pPr>
              <w:pStyle w:val="TableText"/>
              <w:keepNext/>
              <w:keepLines/>
            </w:pPr>
            <w:r>
              <w:t>OR</w:t>
            </w:r>
          </w:p>
        </w:tc>
        <w:tc>
          <w:tcPr>
            <w:tcW w:w="1304" w:type="dxa"/>
            <w:tcBorders>
              <w:top w:val="nil"/>
              <w:bottom w:val="nil"/>
            </w:tcBorders>
            <w:shd w:val="clear" w:color="auto" w:fill="auto"/>
          </w:tcPr>
          <w:p w14:paraId="4584B1F6" w14:textId="77777777" w:rsidR="00F64599" w:rsidRDefault="00F64599" w:rsidP="006F66A9">
            <w:pPr>
              <w:pStyle w:val="TableText"/>
              <w:keepNext/>
              <w:keepLines/>
              <w:jc w:val="center"/>
            </w:pPr>
            <w:r>
              <w:t>4</w:t>
            </w:r>
          </w:p>
        </w:tc>
        <w:tc>
          <w:tcPr>
            <w:tcW w:w="1616" w:type="dxa"/>
            <w:vMerge w:val="restart"/>
            <w:tcBorders>
              <w:top w:val="nil"/>
            </w:tcBorders>
            <w:shd w:val="clear" w:color="auto" w:fill="auto"/>
          </w:tcPr>
          <w:p w14:paraId="0EAC167E" w14:textId="77777777" w:rsidR="00F64599" w:rsidRDefault="00F64599" w:rsidP="006F66A9">
            <w:pPr>
              <w:pStyle w:val="TableText"/>
              <w:keepNext/>
              <w:keepLines/>
            </w:pPr>
            <w:r>
              <w:t>Ranked as an option for investment</w:t>
            </w:r>
            <w:r w:rsidRPr="00F64599">
              <w:rPr>
                <w:rStyle w:val="FootnoteReference"/>
                <w:rFonts w:eastAsia="MS Gothic"/>
              </w:rPr>
              <w:footnoteReference w:id="18"/>
            </w:r>
          </w:p>
        </w:tc>
        <w:tc>
          <w:tcPr>
            <w:tcW w:w="1616" w:type="dxa"/>
            <w:vMerge w:val="restart"/>
            <w:tcBorders>
              <w:top w:val="nil"/>
            </w:tcBorders>
            <w:shd w:val="clear" w:color="auto" w:fill="auto"/>
          </w:tcPr>
          <w:p w14:paraId="7AE7975E" w14:textId="77777777" w:rsidR="00F64599" w:rsidRDefault="0056499C" w:rsidP="006F66A9">
            <w:pPr>
              <w:pStyle w:val="TableText"/>
              <w:keepNext/>
              <w:keepLines/>
              <w:jc w:val="center"/>
            </w:pPr>
            <w:hyperlink w:anchor="Appendix_7_Table_7point8" w:history="1">
              <w:r w:rsidR="00F64599" w:rsidRPr="000F2005">
                <w:rPr>
                  <w:rStyle w:val="Hyperlink"/>
                  <w:rFonts w:eastAsia="MS Gothic"/>
                </w:rPr>
                <w:t>7.8</w:t>
              </w:r>
            </w:hyperlink>
          </w:p>
        </w:tc>
      </w:tr>
      <w:tr w:rsidR="00F64599" w14:paraId="2E246B56" w14:textId="77777777" w:rsidTr="000861AF">
        <w:trPr>
          <w:cantSplit/>
        </w:trPr>
        <w:tc>
          <w:tcPr>
            <w:tcW w:w="1843" w:type="dxa"/>
            <w:vMerge/>
            <w:tcBorders>
              <w:bottom w:val="single" w:sz="4" w:space="0" w:color="C2D9BA"/>
            </w:tcBorders>
            <w:shd w:val="clear" w:color="auto" w:fill="auto"/>
          </w:tcPr>
          <w:p w14:paraId="1B3E2A30" w14:textId="77777777" w:rsidR="00F64599" w:rsidRDefault="00F64599" w:rsidP="003F099E">
            <w:pPr>
              <w:pStyle w:val="TableText"/>
              <w:keepNext/>
              <w:keepLines/>
            </w:pPr>
          </w:p>
        </w:tc>
        <w:tc>
          <w:tcPr>
            <w:tcW w:w="1701" w:type="dxa"/>
            <w:tcBorders>
              <w:top w:val="nil"/>
              <w:bottom w:val="single" w:sz="4" w:space="0" w:color="C2D9BA"/>
            </w:tcBorders>
            <w:shd w:val="clear" w:color="auto" w:fill="auto"/>
          </w:tcPr>
          <w:p w14:paraId="3AE536E0" w14:textId="77777777" w:rsidR="00F64599" w:rsidRDefault="00F64599" w:rsidP="003F099E">
            <w:pPr>
              <w:pStyle w:val="TableText"/>
              <w:keepNext/>
              <w:keepLines/>
            </w:pPr>
            <w:r>
              <w:t>Panitumumab (used with chemotherapy)</w:t>
            </w:r>
          </w:p>
        </w:tc>
        <w:tc>
          <w:tcPr>
            <w:tcW w:w="1304" w:type="dxa"/>
            <w:tcBorders>
              <w:top w:val="nil"/>
              <w:bottom w:val="single" w:sz="4" w:space="0" w:color="C2D9BA"/>
            </w:tcBorders>
            <w:shd w:val="clear" w:color="auto" w:fill="auto"/>
          </w:tcPr>
          <w:p w14:paraId="0676F523" w14:textId="77777777" w:rsidR="00F64599" w:rsidRDefault="00F64599" w:rsidP="003F099E">
            <w:pPr>
              <w:pStyle w:val="TableText"/>
              <w:keepNext/>
              <w:keepLines/>
              <w:jc w:val="center"/>
            </w:pPr>
            <w:r>
              <w:t>4</w:t>
            </w:r>
          </w:p>
        </w:tc>
        <w:tc>
          <w:tcPr>
            <w:tcW w:w="1616" w:type="dxa"/>
            <w:vMerge/>
            <w:tcBorders>
              <w:bottom w:val="single" w:sz="4" w:space="0" w:color="C2D9BA"/>
            </w:tcBorders>
            <w:shd w:val="clear" w:color="auto" w:fill="auto"/>
          </w:tcPr>
          <w:p w14:paraId="1CA6F750" w14:textId="77777777" w:rsidR="00F64599" w:rsidRDefault="00F64599" w:rsidP="003F099E">
            <w:pPr>
              <w:pStyle w:val="TableText"/>
              <w:keepNext/>
              <w:keepLines/>
            </w:pPr>
          </w:p>
        </w:tc>
        <w:tc>
          <w:tcPr>
            <w:tcW w:w="1616" w:type="dxa"/>
            <w:vMerge/>
            <w:tcBorders>
              <w:bottom w:val="single" w:sz="4" w:space="0" w:color="C2D9BA"/>
            </w:tcBorders>
            <w:shd w:val="clear" w:color="auto" w:fill="auto"/>
          </w:tcPr>
          <w:p w14:paraId="4C6A895C" w14:textId="77777777" w:rsidR="00F64599" w:rsidRDefault="00F64599" w:rsidP="003F099E">
            <w:pPr>
              <w:pStyle w:val="TableText"/>
              <w:keepNext/>
              <w:keepLines/>
              <w:jc w:val="center"/>
            </w:pPr>
          </w:p>
        </w:tc>
      </w:tr>
      <w:tr w:rsidR="00F64599" w14:paraId="07396D33" w14:textId="77777777" w:rsidTr="000861AF">
        <w:trPr>
          <w:cantSplit/>
        </w:trPr>
        <w:tc>
          <w:tcPr>
            <w:tcW w:w="1843" w:type="dxa"/>
            <w:tcBorders>
              <w:top w:val="nil"/>
              <w:bottom w:val="single" w:sz="4" w:space="0" w:color="C2D9BA"/>
            </w:tcBorders>
            <w:shd w:val="clear" w:color="auto" w:fill="auto"/>
          </w:tcPr>
          <w:p w14:paraId="46367EB6" w14:textId="77777777" w:rsidR="00F64599" w:rsidRDefault="00F64599" w:rsidP="00F64599">
            <w:pPr>
              <w:pStyle w:val="TableText"/>
            </w:pPr>
            <w:r>
              <w:t>Colorectal cancer (CRC), metastatic, RAS wild-type, second-line therapy</w:t>
            </w:r>
          </w:p>
        </w:tc>
        <w:tc>
          <w:tcPr>
            <w:tcW w:w="1701" w:type="dxa"/>
            <w:tcBorders>
              <w:top w:val="nil"/>
              <w:bottom w:val="single" w:sz="4" w:space="0" w:color="C2D9BA"/>
            </w:tcBorders>
            <w:shd w:val="clear" w:color="auto" w:fill="auto"/>
          </w:tcPr>
          <w:p w14:paraId="33A7D5FF" w14:textId="77777777" w:rsidR="00F64599" w:rsidRDefault="00F64599" w:rsidP="00F64599">
            <w:pPr>
              <w:pStyle w:val="TableText"/>
            </w:pPr>
            <w:r>
              <w:t>Cetuximab (used with or without chemotherapy)</w:t>
            </w:r>
          </w:p>
        </w:tc>
        <w:tc>
          <w:tcPr>
            <w:tcW w:w="1304" w:type="dxa"/>
            <w:tcBorders>
              <w:top w:val="nil"/>
              <w:bottom w:val="single" w:sz="4" w:space="0" w:color="C2D9BA"/>
            </w:tcBorders>
            <w:shd w:val="clear" w:color="auto" w:fill="auto"/>
          </w:tcPr>
          <w:p w14:paraId="48C97539" w14:textId="77777777" w:rsidR="00F64599" w:rsidRDefault="00F64599" w:rsidP="00F64599">
            <w:pPr>
              <w:pStyle w:val="TableText"/>
              <w:jc w:val="center"/>
            </w:pPr>
            <w:r>
              <w:t>4</w:t>
            </w:r>
          </w:p>
        </w:tc>
        <w:tc>
          <w:tcPr>
            <w:tcW w:w="1616" w:type="dxa"/>
            <w:tcBorders>
              <w:top w:val="nil"/>
              <w:bottom w:val="single" w:sz="4" w:space="0" w:color="C2D9BA"/>
            </w:tcBorders>
            <w:shd w:val="clear" w:color="auto" w:fill="auto"/>
          </w:tcPr>
          <w:p w14:paraId="73A2E086" w14:textId="77777777" w:rsidR="00F64599" w:rsidRDefault="00F64599" w:rsidP="00F64599">
            <w:pPr>
              <w:pStyle w:val="TableText"/>
            </w:pPr>
            <w:r>
              <w:t>Under consultation for decline</w:t>
            </w:r>
            <w:r w:rsidRPr="00F64599">
              <w:rPr>
                <w:rStyle w:val="FootnoteReference"/>
                <w:rFonts w:eastAsia="MS Gothic"/>
              </w:rPr>
              <w:footnoteReference w:id="19"/>
            </w:r>
          </w:p>
        </w:tc>
        <w:tc>
          <w:tcPr>
            <w:tcW w:w="1616" w:type="dxa"/>
            <w:tcBorders>
              <w:top w:val="nil"/>
              <w:bottom w:val="single" w:sz="4" w:space="0" w:color="C2D9BA"/>
            </w:tcBorders>
            <w:shd w:val="clear" w:color="auto" w:fill="auto"/>
          </w:tcPr>
          <w:p w14:paraId="4A8C6632" w14:textId="77777777" w:rsidR="00F64599" w:rsidRDefault="0056499C" w:rsidP="00F64599">
            <w:pPr>
              <w:pStyle w:val="TableText"/>
              <w:jc w:val="center"/>
            </w:pPr>
            <w:hyperlink w:anchor="Appendix_7_Table_7point9" w:history="1">
              <w:r w:rsidR="00F64599" w:rsidRPr="000F2005">
                <w:rPr>
                  <w:rStyle w:val="Hyperlink"/>
                  <w:rFonts w:eastAsia="MS Gothic"/>
                </w:rPr>
                <w:t>7.9</w:t>
              </w:r>
            </w:hyperlink>
          </w:p>
        </w:tc>
      </w:tr>
    </w:tbl>
    <w:p w14:paraId="411EF99F" w14:textId="77777777" w:rsidR="00F64599" w:rsidRPr="00F64599" w:rsidRDefault="00F64599" w:rsidP="00F64599"/>
    <w:p w14:paraId="5C5B1629" w14:textId="77777777" w:rsidR="00C338E8" w:rsidRDefault="00B12E4F" w:rsidP="00F64599">
      <w:r w:rsidRPr="001336C7">
        <w:t xml:space="preserve">Colorectal cancers are the third most commonly diagnosed cancers in Aotearoa, with an average of 3,000 people diagnosed </w:t>
      </w:r>
      <w:r>
        <w:t>each</w:t>
      </w:r>
      <w:r w:rsidRPr="001336C7">
        <w:t xml:space="preserve"> year, including 184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336C7">
        <w:rPr>
          <w:bCs/>
        </w:rPr>
        <w:t xml:space="preserve"> and </w:t>
      </w:r>
      <w:r w:rsidRPr="001336C7">
        <w:t xml:space="preserve">1,230 deaths </w:t>
      </w:r>
      <w:r>
        <w:t>each</w:t>
      </w:r>
      <w:r w:rsidRPr="001336C7">
        <w:t xml:space="preserve"> year, including 70 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336C7">
        <w:t xml:space="preserve">. The incidence and mortality of colorectal cancer is lower for Māori </w:t>
      </w:r>
      <w:r>
        <w:t>and Pacific peoples</w:t>
      </w:r>
      <w:r w:rsidRPr="001336C7">
        <w:t xml:space="preserve"> </w:t>
      </w:r>
      <w:r>
        <w:rPr>
          <w:noProof/>
        </w:rPr>
        <w:t>(</w:t>
      </w:r>
      <w:r w:rsidR="00F64599">
        <w:rPr>
          <w:noProof/>
        </w:rPr>
        <w:t>Te Aho</w:t>
      </w:r>
      <w:r>
        <w:rPr>
          <w:noProof/>
        </w:rPr>
        <w:t xml:space="preserve"> o </w:t>
      </w:r>
      <w:r w:rsidR="00B537E2">
        <w:rPr>
          <w:noProof/>
        </w:rPr>
        <w:t>Te Kahu</w:t>
      </w:r>
      <w:r>
        <w:rPr>
          <w:noProof/>
        </w:rPr>
        <w:t xml:space="preserve"> 2021a)</w:t>
      </w:r>
      <w:r w:rsidRPr="001336C7">
        <w:t>.</w:t>
      </w:r>
    </w:p>
    <w:p w14:paraId="2D6E1516" w14:textId="77777777" w:rsidR="00C338E8" w:rsidRDefault="00C338E8" w:rsidP="00F64599"/>
    <w:p w14:paraId="732BBFEF" w14:textId="77C33016" w:rsidR="00C338E8" w:rsidRDefault="00B12E4F" w:rsidP="00F64599">
      <w:r>
        <w:t>Around</w:t>
      </w:r>
      <w:r w:rsidRPr="001336C7">
        <w:t xml:space="preserve"> 25</w:t>
      </w:r>
      <w:r w:rsidR="00F64599">
        <w:t> percent</w:t>
      </w:r>
      <w:r w:rsidRPr="001336C7">
        <w:t xml:space="preserve"> of patients with colon or rectal cancer are diagnosed with </w:t>
      </w:r>
      <w:r>
        <w:t>s</w:t>
      </w:r>
      <w:r w:rsidRPr="001336C7">
        <w:t>tage IV (metastatic) disease. Māori appear to be more likely to be diagnosed with metastatic disease (29</w:t>
      </w:r>
      <w:r w:rsidR="00F64599">
        <w:t> percent</w:t>
      </w:r>
      <w:r w:rsidRPr="001336C7">
        <w:t xml:space="preserve"> colon, 29</w:t>
      </w:r>
      <w:r w:rsidR="00F64599">
        <w:t> percent</w:t>
      </w:r>
      <w:r w:rsidRPr="001336C7">
        <w:t xml:space="preserve"> rectal) than non-Māori</w:t>
      </w:r>
      <w:r>
        <w:t xml:space="preserve"> </w:t>
      </w:r>
      <w:r w:rsidRPr="001336C7">
        <w:t>non-Pacific peoples (22</w:t>
      </w:r>
      <w:r w:rsidR="00F64599">
        <w:t> percent</w:t>
      </w:r>
      <w:r w:rsidRPr="001336C7">
        <w:t xml:space="preserve"> colon, 18</w:t>
      </w:r>
      <w:r w:rsidR="00F64599">
        <w:t> percent</w:t>
      </w:r>
      <w:r w:rsidRPr="001336C7">
        <w:t xml:space="preserve"> rectal) </w:t>
      </w:r>
      <w:r w:rsidRPr="001336C7">
        <w:rPr>
          <w:noProof/>
        </w:rPr>
        <w:t xml:space="preserve">(Jackson </w:t>
      </w:r>
      <w:r w:rsidR="00C338E8">
        <w:rPr>
          <w:noProof/>
        </w:rPr>
        <w:t>et al</w:t>
      </w:r>
      <w:r w:rsidR="003B51F4">
        <w:rPr>
          <w:noProof/>
        </w:rPr>
        <w:t xml:space="preserve"> 2</w:t>
      </w:r>
      <w:r w:rsidRPr="001336C7">
        <w:rPr>
          <w:noProof/>
        </w:rPr>
        <w:t>015)</w:t>
      </w:r>
      <w:r w:rsidRPr="001336C7">
        <w:t>. About 10</w:t>
      </w:r>
      <w:r w:rsidR="00F64599">
        <w:t> percent</w:t>
      </w:r>
      <w:r w:rsidRPr="001336C7">
        <w:t xml:space="preserve"> of people with advanced disease will survive to five years </w:t>
      </w:r>
      <w:r w:rsidRPr="001336C7">
        <w:rPr>
          <w:noProof/>
        </w:rPr>
        <w:t xml:space="preserve">(Araghi </w:t>
      </w:r>
      <w:r w:rsidR="00C338E8">
        <w:rPr>
          <w:noProof/>
        </w:rPr>
        <w:t>et al</w:t>
      </w:r>
      <w:r w:rsidR="003B51F4">
        <w:rPr>
          <w:noProof/>
        </w:rPr>
        <w:t xml:space="preserve"> 2</w:t>
      </w:r>
      <w:r w:rsidRPr="001336C7">
        <w:rPr>
          <w:noProof/>
        </w:rPr>
        <w:t>021)</w:t>
      </w:r>
      <w:r w:rsidRPr="001336C7">
        <w:t>. Based on data from</w:t>
      </w:r>
      <w:r w:rsidR="00F64599">
        <w:br/>
      </w:r>
      <w:r w:rsidRPr="001336C7">
        <w:t>2007</w:t>
      </w:r>
      <w:r>
        <w:t>–</w:t>
      </w:r>
      <w:r w:rsidRPr="001336C7">
        <w:t xml:space="preserve">2016, Māori patients with colorectal cancer are more likely to die </w:t>
      </w:r>
      <w:r>
        <w:t xml:space="preserve">from their cancer </w:t>
      </w:r>
      <w:r w:rsidRPr="001336C7">
        <w:t>than non-Māori patients with colorectal cancer (colon: 46</w:t>
      </w:r>
      <w:r w:rsidR="00F64599">
        <w:t> percent</w:t>
      </w:r>
      <w:r w:rsidRPr="001336C7">
        <w:t xml:space="preserve"> more likely; rectal: 72</w:t>
      </w:r>
      <w:r w:rsidR="00F64599">
        <w:t> percent</w:t>
      </w:r>
      <w:r w:rsidRPr="001336C7">
        <w:t xml:space="preserve"> more likely)</w:t>
      </w:r>
      <w:r>
        <w:t xml:space="preserve"> </w:t>
      </w:r>
      <w:r>
        <w:rPr>
          <w:noProof/>
        </w:rPr>
        <w:t xml:space="preserve">(Gurney, Stanley, McLeod, </w:t>
      </w:r>
      <w:r w:rsidR="00C338E8">
        <w:rPr>
          <w:noProof/>
        </w:rPr>
        <w:t>et al</w:t>
      </w:r>
      <w:r w:rsidR="003B51F4">
        <w:rPr>
          <w:noProof/>
        </w:rPr>
        <w:t xml:space="preserve"> 2</w:t>
      </w:r>
      <w:r>
        <w:rPr>
          <w:noProof/>
        </w:rPr>
        <w:t>020)</w:t>
      </w:r>
      <w:r w:rsidRPr="001336C7">
        <w:t>.</w:t>
      </w:r>
    </w:p>
    <w:p w14:paraId="5174A391" w14:textId="77777777" w:rsidR="00401665" w:rsidRDefault="00401665" w:rsidP="00401665"/>
    <w:p w14:paraId="759BDD51" w14:textId="6538DC9F" w:rsidR="00C338E8" w:rsidRPr="00F64599" w:rsidRDefault="00B12E4F" w:rsidP="00401665">
      <w:pPr>
        <w:rPr>
          <w:rFonts w:eastAsia="Calibri"/>
        </w:rPr>
      </w:pPr>
      <w:r w:rsidRPr="001336C7">
        <w:t xml:space="preserve">The size of the eligible population that would benefit if this gap was </w:t>
      </w:r>
      <w:r>
        <w:t>filled</w:t>
      </w:r>
      <w:r w:rsidRPr="001336C7">
        <w:t xml:space="preserve"> </w:t>
      </w:r>
      <w:r>
        <w:t>is up to 70</w:t>
      </w:r>
      <w:r w:rsidR="00F64599">
        <w:t> </w:t>
      </w:r>
      <w:r>
        <w:t xml:space="preserve">people per year. </w:t>
      </w:r>
      <w:r w:rsidRPr="001336C7">
        <w:t>The magnitude of benefit ranges from an overall survival gain of 4.7</w:t>
      </w:r>
      <w:r w:rsidR="00F64599">
        <w:t> </w:t>
      </w:r>
      <w:r w:rsidRPr="001336C7">
        <w:t xml:space="preserve">months (for cetuximab in second-line therapy) to 8.2 months (for cetuximab in first-line </w:t>
      </w:r>
      <w:r w:rsidRPr="00F64599">
        <w:t>therapy)</w:t>
      </w:r>
      <w:r w:rsidRPr="00F64599">
        <w:rPr>
          <w:rFonts w:eastAsia="Calibri"/>
        </w:rPr>
        <w:t>.</w:t>
      </w:r>
    </w:p>
    <w:p w14:paraId="7BF3A35E" w14:textId="5CF3C3C7" w:rsidR="00C338E8" w:rsidRDefault="00B12E4F" w:rsidP="000A08B7">
      <w:pPr>
        <w:pStyle w:val="Heading4"/>
      </w:pPr>
      <w:bookmarkStart w:id="265" w:name="_Toc100739038"/>
      <w:r>
        <w:lastRenderedPageBreak/>
        <w:t xml:space="preserve">Kidney </w:t>
      </w:r>
      <w:r w:rsidRPr="001336C7">
        <w:t>cancer</w:t>
      </w:r>
      <w:r>
        <w:t xml:space="preserve"> gaps </w:t>
      </w:r>
      <w:bookmarkEnd w:id="265"/>
    </w:p>
    <w:p w14:paraId="4CCF530B" w14:textId="77777777" w:rsidR="00C338E8" w:rsidRDefault="00B12E4F" w:rsidP="00431844">
      <w:pPr>
        <w:keepNext/>
        <w:keepLines/>
        <w:rPr>
          <w:rFonts w:eastAsia="Calibri"/>
        </w:rPr>
      </w:pPr>
      <w:r w:rsidRPr="00EE09E0">
        <w:rPr>
          <w:rFonts w:eastAsia="Calibri"/>
        </w:rPr>
        <w:t xml:space="preserve">There were three gaps in kidney cancer </w:t>
      </w:r>
      <w:r>
        <w:rPr>
          <w:rFonts w:eastAsia="Calibri"/>
        </w:rPr>
        <w:t xml:space="preserve">medicine funding </w:t>
      </w:r>
      <w:r w:rsidRPr="00EE09E0">
        <w:rPr>
          <w:rFonts w:eastAsia="Calibri"/>
        </w:rPr>
        <w:t xml:space="preserve">that </w:t>
      </w:r>
      <w:r>
        <w:rPr>
          <w:rFonts w:eastAsia="Calibri"/>
        </w:rPr>
        <w:t xml:space="preserve">were defined by ESMO-MCBS </w:t>
      </w:r>
      <w:r w:rsidRPr="00EE09E0">
        <w:rPr>
          <w:rFonts w:eastAsia="Calibri"/>
        </w:rPr>
        <w:t>as likely to have substantial clinical benefit, represented by three medicines. All the gaps were for stage IV renal cell carcinoma of the clear cell variant, across both first and second lines of therapy, and in the non-curative setting.</w:t>
      </w:r>
    </w:p>
    <w:p w14:paraId="48B1BD9D" w14:textId="77777777" w:rsidR="00C338E8" w:rsidRDefault="00C338E8" w:rsidP="00F64599">
      <w:pPr>
        <w:rPr>
          <w:rFonts w:eastAsia="Calibri"/>
        </w:rPr>
      </w:pPr>
    </w:p>
    <w:p w14:paraId="65C40A19" w14:textId="25FE55AD" w:rsidR="00B12E4F" w:rsidRDefault="00F64599" w:rsidP="00F64599">
      <w:pPr>
        <w:pStyle w:val="Table"/>
      </w:pPr>
      <w:bookmarkStart w:id="266" w:name="_Toc101365601"/>
      <w:r>
        <w:t>Table </w:t>
      </w:r>
      <w:r w:rsidR="0056499C">
        <w:fldChar w:fldCharType="begin"/>
      </w:r>
      <w:r w:rsidR="0056499C">
        <w:instrText xml:space="preserve"> SEQ Table \* ARABIC </w:instrText>
      </w:r>
      <w:r w:rsidR="0056499C">
        <w:fldChar w:fldCharType="separate"/>
      </w:r>
      <w:r w:rsidR="00386819">
        <w:rPr>
          <w:noProof/>
        </w:rPr>
        <w:t>7</w:t>
      </w:r>
      <w:r w:rsidR="0056499C">
        <w:rPr>
          <w:noProof/>
        </w:rPr>
        <w:fldChar w:fldCharType="end"/>
      </w:r>
      <w:r w:rsidR="00B12E4F">
        <w:t>: Kidney</w:t>
      </w:r>
      <w:r w:rsidR="00B12E4F" w:rsidRPr="001336C7">
        <w:t xml:space="preserve"> cancer gaps</w:t>
      </w:r>
      <w:bookmarkEnd w:id="26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304"/>
        <w:gridCol w:w="1616"/>
        <w:gridCol w:w="1616"/>
      </w:tblGrid>
      <w:tr w:rsidR="00F64599" w:rsidRPr="00184030" w14:paraId="78557BC4" w14:textId="77777777" w:rsidTr="000861AF">
        <w:trPr>
          <w:cantSplit/>
        </w:trPr>
        <w:tc>
          <w:tcPr>
            <w:tcW w:w="1843" w:type="dxa"/>
            <w:tcBorders>
              <w:top w:val="nil"/>
              <w:bottom w:val="nil"/>
            </w:tcBorders>
            <w:shd w:val="clear" w:color="auto" w:fill="C2D9BA"/>
          </w:tcPr>
          <w:p w14:paraId="2CC447A9" w14:textId="77777777" w:rsidR="00F64599" w:rsidRPr="00184030" w:rsidRDefault="00F64599" w:rsidP="00F64599">
            <w:pPr>
              <w:pStyle w:val="TableText"/>
              <w:rPr>
                <w:b/>
              </w:rPr>
            </w:pPr>
            <w:r w:rsidRPr="00184030">
              <w:rPr>
                <w:b/>
              </w:rPr>
              <w:t>Indication</w:t>
            </w:r>
          </w:p>
        </w:tc>
        <w:tc>
          <w:tcPr>
            <w:tcW w:w="1701" w:type="dxa"/>
            <w:tcBorders>
              <w:top w:val="nil"/>
              <w:bottom w:val="nil"/>
            </w:tcBorders>
            <w:shd w:val="clear" w:color="auto" w:fill="C2D9BA"/>
          </w:tcPr>
          <w:p w14:paraId="00FDEB6D" w14:textId="77777777" w:rsidR="00F64599" w:rsidRPr="00184030" w:rsidRDefault="00F64599" w:rsidP="00F64599">
            <w:pPr>
              <w:pStyle w:val="TableText"/>
              <w:rPr>
                <w:b/>
              </w:rPr>
            </w:pPr>
            <w:r w:rsidRPr="00184030">
              <w:rPr>
                <w:b/>
              </w:rPr>
              <w:t>Medicine/regimen</w:t>
            </w:r>
          </w:p>
        </w:tc>
        <w:tc>
          <w:tcPr>
            <w:tcW w:w="1304" w:type="dxa"/>
            <w:tcBorders>
              <w:top w:val="nil"/>
              <w:bottom w:val="nil"/>
            </w:tcBorders>
            <w:shd w:val="clear" w:color="auto" w:fill="C2D9BA"/>
          </w:tcPr>
          <w:p w14:paraId="283D5D96" w14:textId="77777777" w:rsidR="00F64599" w:rsidRPr="00184030" w:rsidRDefault="00F64599" w:rsidP="00F64599">
            <w:pPr>
              <w:pStyle w:val="TableText"/>
              <w:jc w:val="center"/>
              <w:rPr>
                <w:b/>
              </w:rPr>
            </w:pPr>
            <w:r w:rsidRPr="00184030">
              <w:rPr>
                <w:b/>
              </w:rPr>
              <w:t>ESMO-MCBS</w:t>
            </w:r>
          </w:p>
        </w:tc>
        <w:tc>
          <w:tcPr>
            <w:tcW w:w="1616" w:type="dxa"/>
            <w:tcBorders>
              <w:top w:val="nil"/>
              <w:bottom w:val="nil"/>
            </w:tcBorders>
            <w:shd w:val="clear" w:color="auto" w:fill="C2D9BA"/>
          </w:tcPr>
          <w:p w14:paraId="553C04AE" w14:textId="77777777" w:rsidR="00F64599" w:rsidRPr="00184030" w:rsidRDefault="00F64599" w:rsidP="00F64599">
            <w:pPr>
              <w:pStyle w:val="TableText"/>
              <w:jc w:val="center"/>
              <w:rPr>
                <w:b/>
              </w:rPr>
            </w:pPr>
            <w:r w:rsidRPr="00184030">
              <w:rPr>
                <w:b/>
              </w:rPr>
              <w:t>Pharmac status at time of analysis</w:t>
            </w:r>
          </w:p>
        </w:tc>
        <w:tc>
          <w:tcPr>
            <w:tcW w:w="1616" w:type="dxa"/>
            <w:tcBorders>
              <w:top w:val="nil"/>
              <w:bottom w:val="nil"/>
            </w:tcBorders>
            <w:shd w:val="clear" w:color="auto" w:fill="C2D9BA"/>
          </w:tcPr>
          <w:p w14:paraId="7A8C6D99" w14:textId="77777777" w:rsidR="00F64599" w:rsidRPr="00184030" w:rsidRDefault="00F64599" w:rsidP="00F64599">
            <w:pPr>
              <w:pStyle w:val="TableText"/>
              <w:jc w:val="center"/>
              <w:rPr>
                <w:b/>
              </w:rPr>
            </w:pPr>
            <w:r w:rsidRPr="00184030">
              <w:rPr>
                <w:b/>
              </w:rPr>
              <w:t>Appendix table for further detail</w:t>
            </w:r>
          </w:p>
        </w:tc>
      </w:tr>
      <w:tr w:rsidR="00F64599" w14:paraId="3444FF0C" w14:textId="77777777" w:rsidTr="000861AF">
        <w:trPr>
          <w:cantSplit/>
        </w:trPr>
        <w:tc>
          <w:tcPr>
            <w:tcW w:w="1843" w:type="dxa"/>
            <w:tcBorders>
              <w:top w:val="nil"/>
              <w:bottom w:val="single" w:sz="4" w:space="0" w:color="C2D9BA"/>
            </w:tcBorders>
            <w:shd w:val="clear" w:color="auto" w:fill="auto"/>
          </w:tcPr>
          <w:p w14:paraId="027A11B5" w14:textId="77777777" w:rsidR="00F64599" w:rsidRPr="001336C7" w:rsidRDefault="00F64599" w:rsidP="00F64599">
            <w:pPr>
              <w:pStyle w:val="TableText"/>
            </w:pPr>
            <w:r w:rsidRPr="001336C7">
              <w:t xml:space="preserve">Renal cell carcinoma (RCC), clear cell variant, stage IV, </w:t>
            </w:r>
            <w:r>
              <w:t>first-line therapy</w:t>
            </w:r>
          </w:p>
        </w:tc>
        <w:tc>
          <w:tcPr>
            <w:tcW w:w="1701" w:type="dxa"/>
            <w:tcBorders>
              <w:top w:val="nil"/>
              <w:bottom w:val="single" w:sz="4" w:space="0" w:color="C2D9BA"/>
            </w:tcBorders>
            <w:shd w:val="clear" w:color="auto" w:fill="auto"/>
          </w:tcPr>
          <w:p w14:paraId="2005F7D7" w14:textId="77777777" w:rsidR="00F64599" w:rsidRPr="001336C7" w:rsidRDefault="00F64599" w:rsidP="00F64599">
            <w:pPr>
              <w:pStyle w:val="TableText"/>
            </w:pPr>
            <w:r w:rsidRPr="001336C7">
              <w:t>Nivolumab with ipilimumab</w:t>
            </w:r>
          </w:p>
        </w:tc>
        <w:tc>
          <w:tcPr>
            <w:tcW w:w="1304" w:type="dxa"/>
            <w:tcBorders>
              <w:top w:val="nil"/>
              <w:bottom w:val="single" w:sz="4" w:space="0" w:color="C2D9BA"/>
            </w:tcBorders>
            <w:shd w:val="clear" w:color="auto" w:fill="auto"/>
          </w:tcPr>
          <w:p w14:paraId="2001B798" w14:textId="77777777" w:rsidR="00F64599" w:rsidRPr="001336C7" w:rsidRDefault="00F64599" w:rsidP="00F64599">
            <w:pPr>
              <w:pStyle w:val="TableText"/>
              <w:jc w:val="center"/>
            </w:pPr>
            <w:r w:rsidRPr="001336C7">
              <w:t>4</w:t>
            </w:r>
          </w:p>
        </w:tc>
        <w:tc>
          <w:tcPr>
            <w:tcW w:w="1616" w:type="dxa"/>
            <w:tcBorders>
              <w:top w:val="nil"/>
              <w:bottom w:val="single" w:sz="4" w:space="0" w:color="C2D9BA"/>
            </w:tcBorders>
            <w:shd w:val="clear" w:color="auto" w:fill="auto"/>
          </w:tcPr>
          <w:p w14:paraId="7CED0D72" w14:textId="77777777" w:rsidR="00F64599" w:rsidRPr="001336C7" w:rsidRDefault="00F64599" w:rsidP="00F64599">
            <w:pPr>
              <w:pStyle w:val="TableText"/>
            </w:pPr>
            <w:r w:rsidRPr="001336C7">
              <w:t>No application received</w:t>
            </w:r>
          </w:p>
        </w:tc>
        <w:tc>
          <w:tcPr>
            <w:tcW w:w="1616" w:type="dxa"/>
            <w:tcBorders>
              <w:top w:val="nil"/>
              <w:bottom w:val="single" w:sz="4" w:space="0" w:color="C2D9BA"/>
            </w:tcBorders>
            <w:shd w:val="clear" w:color="auto" w:fill="auto"/>
          </w:tcPr>
          <w:p w14:paraId="2D29B657" w14:textId="77777777" w:rsidR="00F64599" w:rsidRPr="001336C7" w:rsidRDefault="0056499C" w:rsidP="00F64599">
            <w:pPr>
              <w:pStyle w:val="TableText"/>
              <w:jc w:val="center"/>
            </w:pPr>
            <w:hyperlink w:anchor="Appendix_7_Table_7point10" w:history="1">
              <w:r w:rsidR="00F64599" w:rsidRPr="00DC397D">
                <w:rPr>
                  <w:rStyle w:val="Hyperlink"/>
                  <w:rFonts w:eastAsia="MS Gothic"/>
                </w:rPr>
                <w:t>7.10</w:t>
              </w:r>
            </w:hyperlink>
          </w:p>
        </w:tc>
      </w:tr>
      <w:tr w:rsidR="00F64599" w14:paraId="0D5EC770" w14:textId="77777777" w:rsidTr="000861AF">
        <w:trPr>
          <w:cantSplit/>
        </w:trPr>
        <w:tc>
          <w:tcPr>
            <w:tcW w:w="1843" w:type="dxa"/>
            <w:tcBorders>
              <w:top w:val="nil"/>
              <w:bottom w:val="single" w:sz="4" w:space="0" w:color="C2D9BA"/>
            </w:tcBorders>
            <w:shd w:val="clear" w:color="auto" w:fill="auto"/>
          </w:tcPr>
          <w:p w14:paraId="55F94839" w14:textId="77777777" w:rsidR="00F64599" w:rsidRPr="001336C7" w:rsidRDefault="00F64599" w:rsidP="00F64599">
            <w:pPr>
              <w:pStyle w:val="TableText"/>
              <w:rPr>
                <w:b/>
                <w:bCs/>
              </w:rPr>
            </w:pPr>
            <w:r w:rsidRPr="001336C7">
              <w:t xml:space="preserve">Renal cell carcinoma (RCC), clear cell variant, stage IV, </w:t>
            </w:r>
            <w:r>
              <w:t>second-line therapy</w:t>
            </w:r>
          </w:p>
        </w:tc>
        <w:tc>
          <w:tcPr>
            <w:tcW w:w="1701" w:type="dxa"/>
            <w:tcBorders>
              <w:top w:val="nil"/>
              <w:bottom w:val="single" w:sz="4" w:space="0" w:color="C2D9BA"/>
            </w:tcBorders>
            <w:shd w:val="clear" w:color="auto" w:fill="auto"/>
          </w:tcPr>
          <w:p w14:paraId="57549CE1" w14:textId="77777777" w:rsidR="00F64599" w:rsidRPr="001336C7" w:rsidRDefault="00F64599" w:rsidP="00F64599">
            <w:pPr>
              <w:pStyle w:val="TableText"/>
            </w:pPr>
            <w:r w:rsidRPr="001336C7">
              <w:t>Nivolumab</w:t>
            </w:r>
          </w:p>
        </w:tc>
        <w:tc>
          <w:tcPr>
            <w:tcW w:w="1304" w:type="dxa"/>
            <w:tcBorders>
              <w:top w:val="nil"/>
              <w:bottom w:val="single" w:sz="4" w:space="0" w:color="C2D9BA"/>
            </w:tcBorders>
            <w:shd w:val="clear" w:color="auto" w:fill="auto"/>
          </w:tcPr>
          <w:p w14:paraId="64134C56" w14:textId="77777777" w:rsidR="00F64599" w:rsidRPr="001336C7" w:rsidRDefault="00F64599" w:rsidP="00F64599">
            <w:pPr>
              <w:pStyle w:val="TableText"/>
              <w:jc w:val="center"/>
            </w:pPr>
            <w:r w:rsidRPr="001336C7">
              <w:t>5</w:t>
            </w:r>
          </w:p>
        </w:tc>
        <w:tc>
          <w:tcPr>
            <w:tcW w:w="1616" w:type="dxa"/>
            <w:tcBorders>
              <w:top w:val="nil"/>
              <w:bottom w:val="single" w:sz="4" w:space="0" w:color="C2D9BA"/>
            </w:tcBorders>
            <w:shd w:val="clear" w:color="auto" w:fill="auto"/>
          </w:tcPr>
          <w:p w14:paraId="53646EF6" w14:textId="77777777" w:rsidR="00F64599" w:rsidRPr="001336C7" w:rsidRDefault="00F64599" w:rsidP="00F64599">
            <w:pPr>
              <w:pStyle w:val="TableText"/>
            </w:pPr>
            <w:r w:rsidRPr="001336C7">
              <w:t>Ranked as an option for investment</w:t>
            </w:r>
          </w:p>
        </w:tc>
        <w:tc>
          <w:tcPr>
            <w:tcW w:w="1616" w:type="dxa"/>
            <w:tcBorders>
              <w:top w:val="nil"/>
              <w:bottom w:val="single" w:sz="4" w:space="0" w:color="C2D9BA"/>
            </w:tcBorders>
            <w:shd w:val="clear" w:color="auto" w:fill="auto"/>
          </w:tcPr>
          <w:p w14:paraId="4F01A689" w14:textId="77777777" w:rsidR="00F64599" w:rsidRPr="001336C7" w:rsidRDefault="0056499C" w:rsidP="00F64599">
            <w:pPr>
              <w:pStyle w:val="TableText"/>
              <w:jc w:val="center"/>
            </w:pPr>
            <w:hyperlink w:anchor="Appendix_7_Table_7point11" w:history="1">
              <w:r w:rsidR="00F64599" w:rsidRPr="00DC397D">
                <w:rPr>
                  <w:rStyle w:val="Hyperlink"/>
                  <w:rFonts w:eastAsia="MS Gothic"/>
                </w:rPr>
                <w:t>7.11</w:t>
              </w:r>
            </w:hyperlink>
          </w:p>
        </w:tc>
      </w:tr>
      <w:tr w:rsidR="00F64599" w14:paraId="58939F99" w14:textId="77777777" w:rsidTr="000861AF">
        <w:trPr>
          <w:cantSplit/>
        </w:trPr>
        <w:tc>
          <w:tcPr>
            <w:tcW w:w="1843" w:type="dxa"/>
            <w:tcBorders>
              <w:top w:val="nil"/>
              <w:bottom w:val="single" w:sz="4" w:space="0" w:color="C2D9BA"/>
            </w:tcBorders>
            <w:shd w:val="clear" w:color="auto" w:fill="auto"/>
          </w:tcPr>
          <w:p w14:paraId="0815DC39" w14:textId="77777777" w:rsidR="00F64599" w:rsidRPr="001336C7" w:rsidRDefault="00F64599" w:rsidP="00F64599">
            <w:pPr>
              <w:pStyle w:val="TableText"/>
            </w:pPr>
            <w:r w:rsidRPr="001336C7">
              <w:t xml:space="preserve">Renal cell carcinoma (RCC), clear cell variant, stage IV, </w:t>
            </w:r>
            <w:r>
              <w:t>second-line therapy</w:t>
            </w:r>
          </w:p>
        </w:tc>
        <w:tc>
          <w:tcPr>
            <w:tcW w:w="1701" w:type="dxa"/>
            <w:tcBorders>
              <w:top w:val="nil"/>
              <w:bottom w:val="single" w:sz="4" w:space="0" w:color="C2D9BA"/>
            </w:tcBorders>
            <w:shd w:val="clear" w:color="auto" w:fill="auto"/>
          </w:tcPr>
          <w:p w14:paraId="49AE2397" w14:textId="77777777" w:rsidR="00F64599" w:rsidRPr="001336C7" w:rsidRDefault="00F64599" w:rsidP="00F64599">
            <w:pPr>
              <w:pStyle w:val="TableText"/>
            </w:pPr>
            <w:r w:rsidRPr="001336C7">
              <w:t>Axitinib</w:t>
            </w:r>
          </w:p>
        </w:tc>
        <w:tc>
          <w:tcPr>
            <w:tcW w:w="1304" w:type="dxa"/>
            <w:tcBorders>
              <w:top w:val="nil"/>
              <w:bottom w:val="single" w:sz="4" w:space="0" w:color="C2D9BA"/>
            </w:tcBorders>
            <w:shd w:val="clear" w:color="auto" w:fill="auto"/>
          </w:tcPr>
          <w:p w14:paraId="38982A21" w14:textId="77777777" w:rsidR="00F64599" w:rsidRPr="001336C7" w:rsidRDefault="00F64599" w:rsidP="00F64599">
            <w:pPr>
              <w:pStyle w:val="TableText"/>
              <w:jc w:val="center"/>
            </w:pPr>
            <w:r w:rsidRPr="001336C7">
              <w:t>4</w:t>
            </w:r>
          </w:p>
        </w:tc>
        <w:tc>
          <w:tcPr>
            <w:tcW w:w="1616" w:type="dxa"/>
            <w:tcBorders>
              <w:top w:val="nil"/>
              <w:bottom w:val="single" w:sz="4" w:space="0" w:color="C2D9BA"/>
            </w:tcBorders>
            <w:shd w:val="clear" w:color="auto" w:fill="auto"/>
          </w:tcPr>
          <w:p w14:paraId="4094F866" w14:textId="77777777" w:rsidR="00F64599" w:rsidRPr="001336C7" w:rsidRDefault="00F64599" w:rsidP="00F64599">
            <w:pPr>
              <w:pStyle w:val="TableText"/>
            </w:pPr>
            <w:r w:rsidRPr="001336C7">
              <w:t>Ranked as an option for investment</w:t>
            </w:r>
          </w:p>
        </w:tc>
        <w:tc>
          <w:tcPr>
            <w:tcW w:w="1616" w:type="dxa"/>
            <w:tcBorders>
              <w:top w:val="nil"/>
              <w:bottom w:val="single" w:sz="4" w:space="0" w:color="C2D9BA"/>
            </w:tcBorders>
            <w:shd w:val="clear" w:color="auto" w:fill="auto"/>
          </w:tcPr>
          <w:p w14:paraId="2E0A34AD" w14:textId="77777777" w:rsidR="00F64599" w:rsidRPr="001336C7" w:rsidRDefault="0056499C" w:rsidP="00F64599">
            <w:pPr>
              <w:pStyle w:val="TableText"/>
              <w:jc w:val="center"/>
              <w:rPr>
                <w:highlight w:val="yellow"/>
              </w:rPr>
            </w:pPr>
            <w:hyperlink w:anchor="Appendix_7_Table_7point12" w:history="1">
              <w:r w:rsidR="00F64599" w:rsidRPr="00DC397D">
                <w:rPr>
                  <w:rStyle w:val="Hyperlink"/>
                  <w:rFonts w:eastAsia="MS Gothic"/>
                </w:rPr>
                <w:t>7.12</w:t>
              </w:r>
            </w:hyperlink>
          </w:p>
        </w:tc>
      </w:tr>
    </w:tbl>
    <w:p w14:paraId="325E86C0" w14:textId="77777777" w:rsidR="00C338E8" w:rsidRDefault="00C338E8" w:rsidP="00F64599"/>
    <w:p w14:paraId="6F64493E" w14:textId="77777777" w:rsidR="00C338E8" w:rsidRDefault="00B12E4F" w:rsidP="00F64599">
      <w:r>
        <w:t>Most kidney cancers are</w:t>
      </w:r>
      <w:r w:rsidRPr="001336C7">
        <w:t xml:space="preserve"> renal cell cancers. </w:t>
      </w:r>
      <w:r>
        <w:t xml:space="preserve">An average of </w:t>
      </w:r>
      <w:r w:rsidRPr="001336C7">
        <w:t xml:space="preserve">540 people are diagnosed with kidney cancer </w:t>
      </w:r>
      <w:r>
        <w:t xml:space="preserve">each </w:t>
      </w:r>
      <w:r w:rsidRPr="001336C7">
        <w:t xml:space="preserve">year, including 60 Māori. There are 190 deaths </w:t>
      </w:r>
      <w:r>
        <w:t>each</w:t>
      </w:r>
      <w:r w:rsidRPr="001336C7">
        <w:t xml:space="preserve"> year from kidney cancer, including 19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336C7">
        <w:t xml:space="preserve">. The incidence of kidney cancer is 1.4 times higher for Māori compared </w:t>
      </w:r>
      <w:r>
        <w:t>with</w:t>
      </w:r>
      <w:r w:rsidRPr="001336C7">
        <w:t xml:space="preserve"> non-Māori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336C7">
        <w:t xml:space="preserve"> but lower for Pacific peoples compared </w:t>
      </w:r>
      <w:r>
        <w:t>with non-Maori non</w:t>
      </w:r>
      <w:r w:rsidR="00F64599">
        <w:noBreakHyphen/>
      </w:r>
      <w:r>
        <w:t xml:space="preserve">Pacific non-Asian peoples </w:t>
      </w:r>
      <w:r>
        <w:rPr>
          <w:noProof/>
        </w:rPr>
        <w:t xml:space="preserve">(Meredith </w:t>
      </w:r>
      <w:r w:rsidR="00C338E8">
        <w:rPr>
          <w:noProof/>
        </w:rPr>
        <w:t>et al</w:t>
      </w:r>
      <w:r w:rsidR="003B51F4">
        <w:rPr>
          <w:noProof/>
        </w:rPr>
        <w:t xml:space="preserve"> 2</w:t>
      </w:r>
      <w:r>
        <w:rPr>
          <w:noProof/>
        </w:rPr>
        <w:t>012)</w:t>
      </w:r>
      <w:r w:rsidRPr="001336C7">
        <w:t>. A</w:t>
      </w:r>
      <w:r>
        <w:t>bout</w:t>
      </w:r>
      <w:r w:rsidRPr="001336C7">
        <w:t xml:space="preserve"> </w:t>
      </w:r>
      <w:r>
        <w:t>one-</w:t>
      </w:r>
      <w:r w:rsidRPr="001336C7">
        <w:t>quarter of kidney cancers are diagnosed at an advanced stage</w:t>
      </w:r>
      <w:r>
        <w:t>, the closest approximation to Stage</w:t>
      </w:r>
      <w:r w:rsidR="00F64599">
        <w:t> </w:t>
      </w:r>
      <w:r>
        <w:t>IV disease</w:t>
      </w:r>
      <w:r w:rsidRPr="001336C7">
        <w:t xml:space="preserve"> (22</w:t>
      </w:r>
      <w:r w:rsidR="00F64599">
        <w:t> percent</w:t>
      </w:r>
      <w:r w:rsidRPr="001336C7">
        <w:t xml:space="preserve"> total, 25</w:t>
      </w:r>
      <w:r w:rsidR="00F64599">
        <w:t> percent</w:t>
      </w:r>
      <w:r w:rsidRPr="001336C7">
        <w:t xml:space="preserve"> Māori, 22</w:t>
      </w:r>
      <w:r w:rsidR="00F64599">
        <w:t> percent</w:t>
      </w:r>
      <w:r w:rsidRPr="001336C7">
        <w:t xml:space="preserve"> European)</w:t>
      </w:r>
      <w:r>
        <w:t xml:space="preserve">. Around </w:t>
      </w:r>
      <w:r w:rsidRPr="001336C7">
        <w:t>20</w:t>
      </w:r>
      <w:r w:rsidR="00F64599">
        <w:t> percent</w:t>
      </w:r>
      <w:r w:rsidRPr="001336C7">
        <w:t xml:space="preserve"> remain unstaged on the </w:t>
      </w:r>
      <w:r>
        <w:t xml:space="preserve">New Zealand Cancer </w:t>
      </w:r>
      <w:r w:rsidRPr="001336C7">
        <w:t>Registry (19</w:t>
      </w:r>
      <w:r w:rsidR="00F64599">
        <w:t> percent</w:t>
      </w:r>
      <w:r w:rsidRPr="001336C7">
        <w:t xml:space="preserve"> total, 28</w:t>
      </w:r>
      <w:r w:rsidR="00F64599">
        <w:t> percent</w:t>
      </w:r>
      <w:r w:rsidRPr="001336C7">
        <w:t xml:space="preserve"> Māori, 19</w:t>
      </w:r>
      <w:r w:rsidR="00F64599">
        <w:t> percent</w:t>
      </w:r>
      <w:r w:rsidRPr="001336C7">
        <w:t xml:space="preserve"> </w:t>
      </w:r>
      <w:r>
        <w:t>European)</w:t>
      </w:r>
      <w:r w:rsidRPr="001336C7">
        <w:t xml:space="preserve"> </w:t>
      </w:r>
      <w:r>
        <w:rPr>
          <w:noProof/>
        </w:rPr>
        <w:t>(</w:t>
      </w:r>
      <w:r>
        <w:t xml:space="preserve">Gurney, Stanley, Jackson </w:t>
      </w:r>
      <w:r w:rsidR="00C338E8">
        <w:t>et al</w:t>
      </w:r>
      <w:r>
        <w:t xml:space="preserve"> 2020</w:t>
      </w:r>
      <w:r>
        <w:rPr>
          <w:noProof/>
        </w:rPr>
        <w:t xml:space="preserve">). </w:t>
      </w:r>
      <w:r w:rsidRPr="001336C7">
        <w:rPr>
          <w:bCs/>
        </w:rPr>
        <w:t>Around two-thirds of those diagnosed with</w:t>
      </w:r>
      <w:r w:rsidRPr="001336C7">
        <w:t xml:space="preserve"> kidney cancer will survive to </w:t>
      </w:r>
      <w:r>
        <w:t>five</w:t>
      </w:r>
      <w:r w:rsidRPr="001336C7">
        <w:t xml:space="preserve"> years </w:t>
      </w:r>
      <w:r>
        <w:t xml:space="preserve">after diagnosis </w:t>
      </w:r>
      <w:r w:rsidRPr="001336C7">
        <w:t>(62</w:t>
      </w:r>
      <w:r w:rsidR="00F64599">
        <w:t> percent</w:t>
      </w:r>
      <w:r w:rsidRPr="001336C7">
        <w:t xml:space="preserve"> Māori, 68</w:t>
      </w:r>
      <w:r w:rsidR="00F64599">
        <w:t> percent</w:t>
      </w:r>
      <w:r w:rsidRPr="001336C7">
        <w:t xml:space="preserve"> non-Māori)</w:t>
      </w:r>
      <w:r>
        <w:t xml:space="preserve"> </w:t>
      </w:r>
      <w:r>
        <w:rPr>
          <w:noProof/>
        </w:rPr>
        <w:t xml:space="preserve">(Gurney, Stanley, McLeod, </w:t>
      </w:r>
      <w:r w:rsidR="00C338E8">
        <w:rPr>
          <w:noProof/>
        </w:rPr>
        <w:t>et al</w:t>
      </w:r>
      <w:r w:rsidR="003B51F4">
        <w:rPr>
          <w:noProof/>
        </w:rPr>
        <w:t xml:space="preserve"> 2</w:t>
      </w:r>
      <w:r>
        <w:rPr>
          <w:noProof/>
        </w:rPr>
        <w:t>020)</w:t>
      </w:r>
      <w:r w:rsidRPr="001336C7">
        <w:t>.</w:t>
      </w:r>
      <w:r>
        <w:t xml:space="preserve"> </w:t>
      </w:r>
      <w:r w:rsidRPr="001336C7">
        <w:t>From 2007</w:t>
      </w:r>
      <w:r>
        <w:t xml:space="preserve"> to </w:t>
      </w:r>
      <w:r w:rsidRPr="001336C7">
        <w:t>2016 data, Māori patients with kidney cancer are 63</w:t>
      </w:r>
      <w:r w:rsidR="00F64599">
        <w:t> percent</w:t>
      </w:r>
      <w:r w:rsidRPr="001336C7">
        <w:t xml:space="preserve"> more likely to die </w:t>
      </w:r>
      <w:r>
        <w:t xml:space="preserve">from that cancer </w:t>
      </w:r>
      <w:r w:rsidRPr="001336C7">
        <w:t xml:space="preserve">than non-Māori patients with kidney cancer. There is currently a lack of robust stage-specific survival data for kidney cancer in </w:t>
      </w:r>
      <w:r>
        <w:t>Aotearoa</w:t>
      </w:r>
      <w:r w:rsidRPr="001336C7">
        <w:t>.</w:t>
      </w:r>
    </w:p>
    <w:p w14:paraId="755AB306" w14:textId="77777777" w:rsidR="00C338E8" w:rsidRDefault="00C338E8" w:rsidP="00F64599"/>
    <w:p w14:paraId="3392F5C6" w14:textId="2FF9415E" w:rsidR="00C338E8" w:rsidRDefault="00B12E4F" w:rsidP="00F64599">
      <w:pPr>
        <w:keepNext/>
        <w:keepLines/>
      </w:pPr>
      <w:r w:rsidRPr="001336C7">
        <w:t xml:space="preserve">The size of the eligible population </w:t>
      </w:r>
      <w:r w:rsidR="00E16089">
        <w:t>is</w:t>
      </w:r>
      <w:r w:rsidRPr="001336C7">
        <w:t xml:space="preserve"> </w:t>
      </w:r>
      <w:r>
        <w:t xml:space="preserve">likely to be under 95 people per year (see calculations in </w:t>
      </w:r>
      <w:hyperlink w:anchor="Appendix_7" w:history="1">
        <w:r w:rsidRPr="00A10F7C">
          <w:rPr>
            <w:rStyle w:val="Hyperlink"/>
            <w:rFonts w:eastAsia="MS Gothic"/>
          </w:rPr>
          <w:t>Appendix</w:t>
        </w:r>
        <w:r w:rsidR="008B3ECF">
          <w:rPr>
            <w:rStyle w:val="Hyperlink"/>
            <w:rFonts w:eastAsia="MS Gothic"/>
          </w:rPr>
          <w:t> </w:t>
        </w:r>
        <w:r w:rsidRPr="00A10F7C">
          <w:rPr>
            <w:rStyle w:val="Hyperlink"/>
            <w:rFonts w:eastAsia="MS Gothic"/>
          </w:rPr>
          <w:t>7</w:t>
        </w:r>
      </w:hyperlink>
      <w:r>
        <w:t>)</w:t>
      </w:r>
      <w:r w:rsidR="00FD0A3F">
        <w:t xml:space="preserve"> for first-line therapy, and </w:t>
      </w:r>
      <w:r w:rsidR="00E37FAA">
        <w:t xml:space="preserve">for second-line therapy, </w:t>
      </w:r>
      <w:r w:rsidR="00E16089">
        <w:t xml:space="preserve">estimated at </w:t>
      </w:r>
      <w:r w:rsidR="00E37FAA">
        <w:t xml:space="preserve">120 people in the first year and about 60 people per year thereafter. </w:t>
      </w:r>
      <w:r w:rsidRPr="001336C7">
        <w:t>The magnitude of benefit ranges from a</w:t>
      </w:r>
      <w:r>
        <w:t xml:space="preserve">n overall survival gain of 0.9 months </w:t>
      </w:r>
      <w:r w:rsidRPr="001336C7">
        <w:t>(for axitinib as second-line therapy) to 21.5</w:t>
      </w:r>
      <w:r>
        <w:t> </w:t>
      </w:r>
      <w:r w:rsidRPr="001336C7">
        <w:t xml:space="preserve">months (for nivolumab with ipilimumab as first-line therapy). </w:t>
      </w:r>
    </w:p>
    <w:p w14:paraId="27EB8BDE" w14:textId="3A0351C8" w:rsidR="00C338E8" w:rsidRDefault="00C338E8" w:rsidP="00F64599"/>
    <w:p w14:paraId="12617C72" w14:textId="3219BE62" w:rsidR="00C338E8" w:rsidRDefault="00B12E4F" w:rsidP="000A08B7">
      <w:pPr>
        <w:pStyle w:val="Heading4"/>
      </w:pPr>
      <w:bookmarkStart w:id="267" w:name="_Toc100739039"/>
      <w:r>
        <w:lastRenderedPageBreak/>
        <w:t xml:space="preserve">Bladder </w:t>
      </w:r>
      <w:r w:rsidRPr="001336C7">
        <w:t>cancer</w:t>
      </w:r>
      <w:r>
        <w:t xml:space="preserve"> gaps </w:t>
      </w:r>
      <w:bookmarkEnd w:id="267"/>
    </w:p>
    <w:p w14:paraId="40EFEF1D" w14:textId="77777777" w:rsidR="00C338E8" w:rsidRDefault="00B12E4F" w:rsidP="00FA4813">
      <w:pPr>
        <w:keepNext/>
        <w:keepLines/>
      </w:pPr>
      <w:r w:rsidRPr="001336C7">
        <w:t xml:space="preserve">There was one gap </w:t>
      </w:r>
      <w:r>
        <w:t xml:space="preserve">bladder cancer </w:t>
      </w:r>
      <w:r w:rsidRPr="001336C7">
        <w:t xml:space="preserve">that </w:t>
      </w:r>
      <w:r>
        <w:t xml:space="preserve">was defined by ESMO-MCBS </w:t>
      </w:r>
      <w:r w:rsidRPr="001336C7">
        <w:t>as likely to have substantial clinical benefit, represented by one medicine (pembrolizumab) with an ESMO-MCBS score of 4. The gap was in locally advanced or metastatic urothelial cancers, as second-line therapy in the non-curative setting.</w:t>
      </w:r>
    </w:p>
    <w:p w14:paraId="4FB5133C" w14:textId="77777777" w:rsidR="00C338E8" w:rsidRDefault="00C338E8" w:rsidP="00FA4813">
      <w:pPr>
        <w:keepNext/>
        <w:keepLines/>
      </w:pPr>
    </w:p>
    <w:p w14:paraId="70AFCD9E" w14:textId="64261058" w:rsidR="00B12E4F" w:rsidRDefault="00F64599" w:rsidP="00F64599">
      <w:pPr>
        <w:pStyle w:val="Table"/>
      </w:pPr>
      <w:bookmarkStart w:id="268" w:name="_Toc101365602"/>
      <w:r>
        <w:t>Table </w:t>
      </w:r>
      <w:r w:rsidR="0056499C">
        <w:fldChar w:fldCharType="begin"/>
      </w:r>
      <w:r w:rsidR="0056499C">
        <w:instrText xml:space="preserve"> SEQ Table \* ARABIC </w:instrText>
      </w:r>
      <w:r w:rsidR="0056499C">
        <w:fldChar w:fldCharType="separate"/>
      </w:r>
      <w:r w:rsidR="00386819">
        <w:rPr>
          <w:noProof/>
        </w:rPr>
        <w:t>8</w:t>
      </w:r>
      <w:r w:rsidR="0056499C">
        <w:rPr>
          <w:noProof/>
        </w:rPr>
        <w:fldChar w:fldCharType="end"/>
      </w:r>
      <w:r w:rsidR="00B12E4F">
        <w:t>: Bladder cancer gap</w:t>
      </w:r>
      <w:bookmarkEnd w:id="26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304"/>
        <w:gridCol w:w="1616"/>
        <w:gridCol w:w="1616"/>
      </w:tblGrid>
      <w:tr w:rsidR="00F64599" w:rsidRPr="00184030" w14:paraId="1C07E3CC" w14:textId="77777777" w:rsidTr="000861AF">
        <w:trPr>
          <w:cantSplit/>
        </w:trPr>
        <w:tc>
          <w:tcPr>
            <w:tcW w:w="1843" w:type="dxa"/>
            <w:tcBorders>
              <w:top w:val="nil"/>
              <w:bottom w:val="nil"/>
            </w:tcBorders>
            <w:shd w:val="clear" w:color="auto" w:fill="C2D9BA"/>
          </w:tcPr>
          <w:p w14:paraId="23702B06" w14:textId="77777777" w:rsidR="00F64599" w:rsidRPr="00184030" w:rsidRDefault="00F64599" w:rsidP="00F64599">
            <w:pPr>
              <w:pStyle w:val="TableText"/>
              <w:rPr>
                <w:b/>
              </w:rPr>
            </w:pPr>
            <w:r w:rsidRPr="00184030">
              <w:rPr>
                <w:b/>
              </w:rPr>
              <w:t>Indication</w:t>
            </w:r>
          </w:p>
        </w:tc>
        <w:tc>
          <w:tcPr>
            <w:tcW w:w="1701" w:type="dxa"/>
            <w:tcBorders>
              <w:top w:val="nil"/>
              <w:bottom w:val="nil"/>
            </w:tcBorders>
            <w:shd w:val="clear" w:color="auto" w:fill="C2D9BA"/>
          </w:tcPr>
          <w:p w14:paraId="212F4C24" w14:textId="77777777" w:rsidR="00F64599" w:rsidRPr="00184030" w:rsidRDefault="00F64599" w:rsidP="00F64599">
            <w:pPr>
              <w:pStyle w:val="TableText"/>
              <w:rPr>
                <w:b/>
              </w:rPr>
            </w:pPr>
            <w:r w:rsidRPr="00184030">
              <w:rPr>
                <w:b/>
              </w:rPr>
              <w:t>Medicine/regimen</w:t>
            </w:r>
          </w:p>
        </w:tc>
        <w:tc>
          <w:tcPr>
            <w:tcW w:w="1304" w:type="dxa"/>
            <w:tcBorders>
              <w:top w:val="nil"/>
              <w:bottom w:val="nil"/>
            </w:tcBorders>
            <w:shd w:val="clear" w:color="auto" w:fill="C2D9BA"/>
          </w:tcPr>
          <w:p w14:paraId="2E88B514" w14:textId="77777777" w:rsidR="00F64599" w:rsidRPr="00184030" w:rsidRDefault="00F64599" w:rsidP="00F64599">
            <w:pPr>
              <w:pStyle w:val="TableText"/>
              <w:jc w:val="center"/>
              <w:rPr>
                <w:b/>
              </w:rPr>
            </w:pPr>
            <w:r w:rsidRPr="00184030">
              <w:rPr>
                <w:b/>
              </w:rPr>
              <w:t>ESMO-MCBS</w:t>
            </w:r>
          </w:p>
        </w:tc>
        <w:tc>
          <w:tcPr>
            <w:tcW w:w="1616" w:type="dxa"/>
            <w:tcBorders>
              <w:top w:val="nil"/>
              <w:bottom w:val="nil"/>
            </w:tcBorders>
            <w:shd w:val="clear" w:color="auto" w:fill="C2D9BA"/>
          </w:tcPr>
          <w:p w14:paraId="4D979C5A" w14:textId="77777777" w:rsidR="00F64599" w:rsidRPr="00184030" w:rsidRDefault="00F64599" w:rsidP="00F64599">
            <w:pPr>
              <w:pStyle w:val="TableText"/>
              <w:jc w:val="center"/>
              <w:rPr>
                <w:b/>
              </w:rPr>
            </w:pPr>
            <w:r w:rsidRPr="00184030">
              <w:rPr>
                <w:b/>
              </w:rPr>
              <w:t>Pharmac status at time of analysis</w:t>
            </w:r>
          </w:p>
        </w:tc>
        <w:tc>
          <w:tcPr>
            <w:tcW w:w="1616" w:type="dxa"/>
            <w:tcBorders>
              <w:top w:val="nil"/>
              <w:bottom w:val="nil"/>
            </w:tcBorders>
            <w:shd w:val="clear" w:color="auto" w:fill="C2D9BA"/>
          </w:tcPr>
          <w:p w14:paraId="4C560B9A" w14:textId="77777777" w:rsidR="00F64599" w:rsidRPr="00184030" w:rsidRDefault="00F64599" w:rsidP="00F64599">
            <w:pPr>
              <w:pStyle w:val="TableText"/>
              <w:jc w:val="center"/>
              <w:rPr>
                <w:b/>
              </w:rPr>
            </w:pPr>
            <w:r w:rsidRPr="00184030">
              <w:rPr>
                <w:b/>
              </w:rPr>
              <w:t>Appendix table for further detail</w:t>
            </w:r>
          </w:p>
        </w:tc>
      </w:tr>
      <w:tr w:rsidR="00F64599" w14:paraId="5AFBB59E" w14:textId="77777777" w:rsidTr="000861AF">
        <w:trPr>
          <w:cantSplit/>
        </w:trPr>
        <w:tc>
          <w:tcPr>
            <w:tcW w:w="1843" w:type="dxa"/>
            <w:tcBorders>
              <w:top w:val="nil"/>
              <w:bottom w:val="single" w:sz="4" w:space="0" w:color="C2D9BA"/>
            </w:tcBorders>
            <w:shd w:val="clear" w:color="auto" w:fill="auto"/>
          </w:tcPr>
          <w:p w14:paraId="75BABC35" w14:textId="77777777" w:rsidR="00F64599" w:rsidRDefault="00F64599" w:rsidP="00F64599">
            <w:pPr>
              <w:pStyle w:val="TableText"/>
            </w:pPr>
            <w:r>
              <w:t>Urothelial cancer, locally advanced or metastatic, second-line therapy</w:t>
            </w:r>
          </w:p>
        </w:tc>
        <w:tc>
          <w:tcPr>
            <w:tcW w:w="1701" w:type="dxa"/>
            <w:tcBorders>
              <w:top w:val="nil"/>
              <w:bottom w:val="single" w:sz="4" w:space="0" w:color="C2D9BA"/>
            </w:tcBorders>
            <w:shd w:val="clear" w:color="auto" w:fill="auto"/>
          </w:tcPr>
          <w:p w14:paraId="17D338D0" w14:textId="77777777" w:rsidR="00F64599" w:rsidRDefault="00F64599" w:rsidP="00F64599">
            <w:pPr>
              <w:pStyle w:val="TableText"/>
            </w:pPr>
            <w:r>
              <w:t>Pembrolizumab</w:t>
            </w:r>
          </w:p>
        </w:tc>
        <w:tc>
          <w:tcPr>
            <w:tcW w:w="1304" w:type="dxa"/>
            <w:tcBorders>
              <w:top w:val="nil"/>
              <w:bottom w:val="single" w:sz="4" w:space="0" w:color="C2D9BA"/>
            </w:tcBorders>
            <w:shd w:val="clear" w:color="auto" w:fill="auto"/>
          </w:tcPr>
          <w:p w14:paraId="1D374B45" w14:textId="77777777" w:rsidR="00F64599" w:rsidRDefault="00F64599" w:rsidP="00F64599">
            <w:pPr>
              <w:pStyle w:val="TableText"/>
              <w:jc w:val="center"/>
            </w:pPr>
            <w:r>
              <w:t>4</w:t>
            </w:r>
          </w:p>
        </w:tc>
        <w:tc>
          <w:tcPr>
            <w:tcW w:w="1616" w:type="dxa"/>
            <w:tcBorders>
              <w:top w:val="nil"/>
              <w:bottom w:val="single" w:sz="4" w:space="0" w:color="C2D9BA"/>
            </w:tcBorders>
            <w:shd w:val="clear" w:color="auto" w:fill="auto"/>
          </w:tcPr>
          <w:p w14:paraId="6D4F6962" w14:textId="77777777" w:rsidR="00F64599" w:rsidRDefault="00F64599" w:rsidP="00F64599">
            <w:pPr>
              <w:pStyle w:val="TableText"/>
            </w:pPr>
            <w:r>
              <w:t>Ranked as an option for investment</w:t>
            </w:r>
          </w:p>
        </w:tc>
        <w:tc>
          <w:tcPr>
            <w:tcW w:w="1616" w:type="dxa"/>
            <w:tcBorders>
              <w:top w:val="nil"/>
              <w:bottom w:val="single" w:sz="4" w:space="0" w:color="C2D9BA"/>
            </w:tcBorders>
            <w:shd w:val="clear" w:color="auto" w:fill="auto"/>
          </w:tcPr>
          <w:p w14:paraId="1A8AD435" w14:textId="77777777" w:rsidR="00F64599" w:rsidRDefault="0056499C" w:rsidP="00F64599">
            <w:pPr>
              <w:pStyle w:val="TableText"/>
              <w:jc w:val="center"/>
              <w:rPr>
                <w:highlight w:val="yellow"/>
              </w:rPr>
            </w:pPr>
            <w:hyperlink w:anchor="Appendix_7_Table_7point13" w:history="1">
              <w:r w:rsidR="00F64599" w:rsidRPr="0044442A">
                <w:rPr>
                  <w:rStyle w:val="Hyperlink"/>
                  <w:rFonts w:eastAsia="MS Gothic"/>
                </w:rPr>
                <w:t>7.13</w:t>
              </w:r>
            </w:hyperlink>
          </w:p>
        </w:tc>
      </w:tr>
    </w:tbl>
    <w:p w14:paraId="0573495E" w14:textId="77777777" w:rsidR="00F64599" w:rsidRPr="00F64599" w:rsidRDefault="00F64599" w:rsidP="00F64599"/>
    <w:p w14:paraId="32D23BE5" w14:textId="77777777" w:rsidR="00C338E8" w:rsidRDefault="00B12E4F" w:rsidP="00F64599">
      <w:r>
        <w:t>E</w:t>
      </w:r>
      <w:r w:rsidRPr="001336C7">
        <w:t>ach year</w:t>
      </w:r>
      <w:r>
        <w:t>,</w:t>
      </w:r>
      <w:r w:rsidRPr="001336C7">
        <w:t xml:space="preserve"> </w:t>
      </w:r>
      <w:r>
        <w:t>a</w:t>
      </w:r>
      <w:r w:rsidRPr="001336C7">
        <w:t>n average of 380 people are diagnosed with bladder cancer (of which the vast majority are urothelial cancers), including 24 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336C7">
        <w:t>.</w:t>
      </w:r>
      <w:r w:rsidRPr="001336C7">
        <w:rPr>
          <w:bCs/>
        </w:rPr>
        <w:t xml:space="preserve"> On average over the last decade, there have been </w:t>
      </w:r>
      <w:r w:rsidRPr="001336C7">
        <w:t xml:space="preserve">202 deaths </w:t>
      </w:r>
      <w:r>
        <w:t>each</w:t>
      </w:r>
      <w:r w:rsidRPr="001336C7">
        <w:t xml:space="preserve"> year from bladder cancer, including 11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336C7">
        <w:t xml:space="preserve">. The incidence of bladder cancer is somewhat lower for Māori compared </w:t>
      </w:r>
      <w:r>
        <w:t>with</w:t>
      </w:r>
      <w:r w:rsidRPr="001336C7">
        <w:t xml:space="preserve"> non-Māori </w:t>
      </w:r>
      <w:r w:rsidRPr="001336C7">
        <w:rPr>
          <w:noProof/>
        </w:rPr>
        <w:t xml:space="preserve">(Robson </w:t>
      </w:r>
      <w:r w:rsidR="00C338E8">
        <w:rPr>
          <w:noProof/>
        </w:rPr>
        <w:t>et al</w:t>
      </w:r>
      <w:r w:rsidR="003B51F4">
        <w:rPr>
          <w:noProof/>
        </w:rPr>
        <w:t xml:space="preserve"> 2</w:t>
      </w:r>
      <w:r w:rsidRPr="001336C7">
        <w:rPr>
          <w:noProof/>
        </w:rPr>
        <w:t>010)</w:t>
      </w:r>
      <w:r w:rsidRPr="001336C7">
        <w:t xml:space="preserve"> and similarly lower for Pacific peoples compared </w:t>
      </w:r>
      <w:r>
        <w:t xml:space="preserve">with non-Māori non-Pacific non-Asian peoples </w:t>
      </w:r>
      <w:r>
        <w:rPr>
          <w:noProof/>
        </w:rPr>
        <w:t xml:space="preserve">(Meredith </w:t>
      </w:r>
      <w:r w:rsidR="00C338E8">
        <w:rPr>
          <w:noProof/>
        </w:rPr>
        <w:t>et al</w:t>
      </w:r>
      <w:r w:rsidR="003B51F4">
        <w:rPr>
          <w:noProof/>
        </w:rPr>
        <w:t xml:space="preserve"> 2</w:t>
      </w:r>
      <w:r>
        <w:rPr>
          <w:noProof/>
        </w:rPr>
        <w:t>012)</w:t>
      </w:r>
      <w:r w:rsidRPr="001336C7">
        <w:t>.</w:t>
      </w:r>
    </w:p>
    <w:p w14:paraId="46508221" w14:textId="77777777" w:rsidR="00C338E8" w:rsidRDefault="00C338E8" w:rsidP="00F64599"/>
    <w:p w14:paraId="199CFFD6" w14:textId="77777777" w:rsidR="00C338E8" w:rsidRDefault="00B12E4F" w:rsidP="00F64599">
      <w:r w:rsidRPr="001336C7">
        <w:t xml:space="preserve">There is currently a lack of national, robust staging information available for bladder cancer in </w:t>
      </w:r>
      <w:r>
        <w:t>Aotearoa</w:t>
      </w:r>
      <w:r w:rsidRPr="001336C7">
        <w:t>, and the vast majority of bladder cancers remain unstaged on the N</w:t>
      </w:r>
      <w:r>
        <w:t xml:space="preserve">ew </w:t>
      </w:r>
      <w:r w:rsidRPr="001336C7">
        <w:t>Z</w:t>
      </w:r>
      <w:r>
        <w:t>ealand</w:t>
      </w:r>
      <w:r w:rsidRPr="001336C7">
        <w:t xml:space="preserve"> Cancer Registry (70</w:t>
      </w:r>
      <w:r w:rsidR="00F64599">
        <w:t> percent</w:t>
      </w:r>
      <w:r w:rsidRPr="001336C7">
        <w:t xml:space="preserve"> of total cases, 65</w:t>
      </w:r>
      <w:r w:rsidR="00F64599">
        <w:t> percent</w:t>
      </w:r>
      <w:r w:rsidRPr="001336C7">
        <w:t xml:space="preserve"> Māori, 66</w:t>
      </w:r>
      <w:r w:rsidR="00F64599">
        <w:t> percent</w:t>
      </w:r>
      <w:r w:rsidRPr="001336C7">
        <w:t xml:space="preserve"> European). Approximately 12</w:t>
      </w:r>
      <w:r w:rsidR="00F64599">
        <w:t> percent</w:t>
      </w:r>
      <w:r w:rsidRPr="001336C7">
        <w:t xml:space="preserve"> are listed on the N</w:t>
      </w:r>
      <w:r>
        <w:t xml:space="preserve">ew </w:t>
      </w:r>
      <w:r w:rsidRPr="001336C7">
        <w:t>Z</w:t>
      </w:r>
      <w:r>
        <w:t>ealand</w:t>
      </w:r>
      <w:r w:rsidRPr="001336C7">
        <w:t xml:space="preserve"> Cancer Registry as having advanced disease, with the remaining 18</w:t>
      </w:r>
      <w:r w:rsidR="00F64599">
        <w:t> percent</w:t>
      </w:r>
      <w:r w:rsidRPr="001336C7">
        <w:t xml:space="preserve"> listed as having either local (7</w:t>
      </w:r>
      <w:r w:rsidR="00F64599">
        <w:t> percent</w:t>
      </w:r>
      <w:r w:rsidRPr="001336C7">
        <w:t>) or regional (11</w:t>
      </w:r>
      <w:r w:rsidR="00F64599">
        <w:t> percent</w:t>
      </w:r>
      <w:r w:rsidRPr="001336C7">
        <w:t>) disease</w:t>
      </w:r>
      <w:r>
        <w:t xml:space="preserve"> </w:t>
      </w:r>
      <w:r>
        <w:rPr>
          <w:noProof/>
        </w:rPr>
        <w:t xml:space="preserve">(Gurney, Stanley, Jackson, </w:t>
      </w:r>
      <w:r w:rsidR="00C338E8">
        <w:rPr>
          <w:noProof/>
        </w:rPr>
        <w:t>et al</w:t>
      </w:r>
      <w:r w:rsidR="003B51F4">
        <w:rPr>
          <w:noProof/>
        </w:rPr>
        <w:t xml:space="preserve"> 2</w:t>
      </w:r>
      <w:r>
        <w:rPr>
          <w:noProof/>
        </w:rPr>
        <w:t>020)</w:t>
      </w:r>
      <w:r w:rsidRPr="001336C7">
        <w:t xml:space="preserve">. </w:t>
      </w:r>
      <w:r w:rsidRPr="001336C7">
        <w:rPr>
          <w:bCs/>
        </w:rPr>
        <w:t>Around half of those diagnosed with</w:t>
      </w:r>
      <w:r w:rsidRPr="001336C7">
        <w:t xml:space="preserve"> bladder cancer will survive to </w:t>
      </w:r>
      <w:r>
        <w:t>five</w:t>
      </w:r>
      <w:r w:rsidRPr="001336C7">
        <w:t xml:space="preserve"> years </w:t>
      </w:r>
      <w:r>
        <w:t xml:space="preserve">post diagnosis </w:t>
      </w:r>
      <w:r w:rsidRPr="001336C7">
        <w:t>(43</w:t>
      </w:r>
      <w:r w:rsidR="00F64599">
        <w:t> percent</w:t>
      </w:r>
      <w:r w:rsidRPr="001336C7">
        <w:t xml:space="preserve"> Māori, 52</w:t>
      </w:r>
      <w:r w:rsidR="00F64599">
        <w:t> percent</w:t>
      </w:r>
      <w:r w:rsidRPr="001336C7">
        <w:t xml:space="preserve"> non-Māori</w:t>
      </w:r>
      <w:r>
        <w:t xml:space="preserve">) </w:t>
      </w:r>
      <w:r>
        <w:rPr>
          <w:noProof/>
        </w:rPr>
        <w:t xml:space="preserve">(Gurney, Stanley, McLeod, </w:t>
      </w:r>
      <w:r w:rsidR="00C338E8">
        <w:rPr>
          <w:noProof/>
        </w:rPr>
        <w:t>et al</w:t>
      </w:r>
      <w:r w:rsidR="003B51F4">
        <w:rPr>
          <w:noProof/>
        </w:rPr>
        <w:t xml:space="preserve"> 2</w:t>
      </w:r>
      <w:r>
        <w:rPr>
          <w:noProof/>
        </w:rPr>
        <w:t>020)</w:t>
      </w:r>
      <w:r w:rsidRPr="001336C7">
        <w:t xml:space="preserve">. There is currently a lack of robust stage-specific survival data for bladder cancer in </w:t>
      </w:r>
      <w:r>
        <w:t>Aotearoa</w:t>
      </w:r>
      <w:r w:rsidRPr="001336C7">
        <w:t>. From 2007</w:t>
      </w:r>
      <w:r>
        <w:t>–</w:t>
      </w:r>
      <w:r w:rsidRPr="001336C7">
        <w:t>2016 data, Māori patients with bladder cancer are 37</w:t>
      </w:r>
      <w:r w:rsidR="00F64599">
        <w:t> percent</w:t>
      </w:r>
      <w:r w:rsidRPr="001336C7">
        <w:t xml:space="preserve"> more likely to die </w:t>
      </w:r>
      <w:r>
        <w:t xml:space="preserve">from their cancer </w:t>
      </w:r>
      <w:r w:rsidRPr="001336C7">
        <w:t>than non-Māori patients with bladder cancer</w:t>
      </w:r>
      <w:r>
        <w:t xml:space="preserve"> </w:t>
      </w:r>
      <w:r>
        <w:rPr>
          <w:noProof/>
        </w:rPr>
        <w:t xml:space="preserve">(Gurney, Stanley, McLeod, </w:t>
      </w:r>
      <w:r w:rsidR="00C338E8">
        <w:rPr>
          <w:noProof/>
        </w:rPr>
        <w:t>et al</w:t>
      </w:r>
      <w:r w:rsidR="003B51F4">
        <w:rPr>
          <w:noProof/>
        </w:rPr>
        <w:t xml:space="preserve"> 2</w:t>
      </w:r>
      <w:r>
        <w:rPr>
          <w:noProof/>
        </w:rPr>
        <w:t>020)</w:t>
      </w:r>
      <w:r w:rsidRPr="001336C7">
        <w:t>.</w:t>
      </w:r>
    </w:p>
    <w:p w14:paraId="370F7209" w14:textId="77777777" w:rsidR="00C338E8" w:rsidRDefault="00C338E8" w:rsidP="00F64599"/>
    <w:p w14:paraId="66968D12" w14:textId="36CBA31B" w:rsidR="00C338E8" w:rsidRDefault="00B12E4F" w:rsidP="00F64599">
      <w:r w:rsidRPr="001336C7">
        <w:t xml:space="preserve">The size of the eligible population is estimated at 50 people </w:t>
      </w:r>
      <w:r>
        <w:t>each</w:t>
      </w:r>
      <w:r w:rsidRPr="001336C7">
        <w:t xml:space="preserve"> year, and the magnitude of benefit from pembrolizumab for this indication is an estimated overall survival gain of </w:t>
      </w:r>
      <w:r>
        <w:t>2.9 months</w:t>
      </w:r>
      <w:r w:rsidRPr="001336C7">
        <w:t xml:space="preserve">, with fewer serious adverse events compared </w:t>
      </w:r>
      <w:r>
        <w:t>with</w:t>
      </w:r>
      <w:r w:rsidRPr="001336C7">
        <w:t xml:space="preserve"> chemotherapy. </w:t>
      </w:r>
    </w:p>
    <w:p w14:paraId="291B0F42" w14:textId="507E2AD0" w:rsidR="00C338E8" w:rsidRDefault="00B12E4F" w:rsidP="000A08B7">
      <w:pPr>
        <w:pStyle w:val="Heading4"/>
      </w:pPr>
      <w:bookmarkStart w:id="269" w:name="_Toc100739040"/>
      <w:r>
        <w:lastRenderedPageBreak/>
        <w:t>Ovarian</w:t>
      </w:r>
      <w:r w:rsidRPr="001336C7">
        <w:t xml:space="preserve"> cancer</w:t>
      </w:r>
      <w:r>
        <w:t xml:space="preserve"> gaps </w:t>
      </w:r>
      <w:bookmarkEnd w:id="269"/>
    </w:p>
    <w:p w14:paraId="0E2521C2" w14:textId="37928348" w:rsidR="00C338E8" w:rsidRDefault="00B12E4F" w:rsidP="00EB3164">
      <w:pPr>
        <w:keepNext/>
        <w:keepLines/>
      </w:pPr>
      <w:r>
        <w:t xml:space="preserve">There were two gaps in medicines for ovarian cancer that were defined by </w:t>
      </w:r>
      <w:r w:rsidRPr="001336C7">
        <w:t>ESMO-MCBS as likely to have substantial clinical benefit</w:t>
      </w:r>
      <w:r>
        <w:t xml:space="preserve"> (olaparib and bevacizumab)</w:t>
      </w:r>
      <w:r w:rsidRPr="001336C7">
        <w:t xml:space="preserve">. These are summarised in </w:t>
      </w:r>
      <w:r w:rsidR="003A4C1F">
        <w:fldChar w:fldCharType="begin"/>
      </w:r>
      <w:r w:rsidR="003A4C1F">
        <w:instrText xml:space="preserve"> REF _Ref101338109 \h </w:instrText>
      </w:r>
      <w:r w:rsidR="003A4C1F">
        <w:fldChar w:fldCharType="separate"/>
      </w:r>
      <w:r w:rsidR="00386819">
        <w:t>Table </w:t>
      </w:r>
      <w:r w:rsidR="00386819">
        <w:rPr>
          <w:noProof/>
        </w:rPr>
        <w:t>9</w:t>
      </w:r>
      <w:r w:rsidR="003A4C1F">
        <w:fldChar w:fldCharType="end"/>
      </w:r>
      <w:r w:rsidRPr="001336C7">
        <w:t>, with further detail presented</w:t>
      </w:r>
      <w:r>
        <w:t xml:space="preserve"> in </w:t>
      </w:r>
      <w:hyperlink w:anchor="Appendix_7_Table_7point14" w:history="1">
        <w:r w:rsidR="008B3ECF">
          <w:rPr>
            <w:rStyle w:val="Hyperlink"/>
            <w:rFonts w:eastAsia="MS Gothic"/>
          </w:rPr>
          <w:t>Appendix 7, Tables 7.14</w:t>
        </w:r>
      </w:hyperlink>
      <w:hyperlink w:anchor="Appendix_7_Table_7point15" w:history="1">
        <w:r w:rsidR="00F047DF" w:rsidRPr="00F047DF">
          <w:rPr>
            <w:rStyle w:val="Hyperlink"/>
            <w:rFonts w:eastAsia="MS Gothic"/>
          </w:rPr>
          <w:t xml:space="preserve"> and 7.15</w:t>
        </w:r>
      </w:hyperlink>
      <w:r>
        <w:t>.</w:t>
      </w:r>
    </w:p>
    <w:p w14:paraId="51B809F3" w14:textId="02EF41A7" w:rsidR="00B12E4F" w:rsidRDefault="003A4C1F" w:rsidP="0089085B">
      <w:pPr>
        <w:pStyle w:val="Table"/>
        <w:keepLines/>
      </w:pPr>
      <w:bookmarkStart w:id="270" w:name="_Ref101338109"/>
      <w:bookmarkStart w:id="271" w:name="_Toc101365603"/>
      <w:r>
        <w:t>Table </w:t>
      </w:r>
      <w:r w:rsidR="0056499C">
        <w:fldChar w:fldCharType="begin"/>
      </w:r>
      <w:r w:rsidR="0056499C">
        <w:instrText xml:space="preserve"> SEQ Table \* ARABIC </w:instrText>
      </w:r>
      <w:r w:rsidR="0056499C">
        <w:fldChar w:fldCharType="separate"/>
      </w:r>
      <w:r w:rsidR="00386819">
        <w:rPr>
          <w:noProof/>
        </w:rPr>
        <w:t>9</w:t>
      </w:r>
      <w:r w:rsidR="0056499C">
        <w:rPr>
          <w:noProof/>
        </w:rPr>
        <w:fldChar w:fldCharType="end"/>
      </w:r>
      <w:bookmarkEnd w:id="270"/>
      <w:r w:rsidR="00B12E4F" w:rsidRPr="001336C7">
        <w:t xml:space="preserve">: </w:t>
      </w:r>
      <w:r w:rsidR="00B12E4F">
        <w:t>Ovarian</w:t>
      </w:r>
      <w:r w:rsidR="00B12E4F" w:rsidRPr="001336C7">
        <w:t xml:space="preserve"> cancer gaps</w:t>
      </w:r>
      <w:bookmarkEnd w:id="271"/>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268"/>
        <w:gridCol w:w="1276"/>
        <w:gridCol w:w="1304"/>
        <w:gridCol w:w="1616"/>
        <w:gridCol w:w="1616"/>
      </w:tblGrid>
      <w:tr w:rsidR="00F64599" w:rsidRPr="00184030" w14:paraId="5B576280" w14:textId="77777777" w:rsidTr="000861AF">
        <w:trPr>
          <w:cantSplit/>
        </w:trPr>
        <w:tc>
          <w:tcPr>
            <w:tcW w:w="2268" w:type="dxa"/>
            <w:tcBorders>
              <w:top w:val="nil"/>
              <w:bottom w:val="nil"/>
            </w:tcBorders>
            <w:shd w:val="clear" w:color="auto" w:fill="C2D9BA"/>
          </w:tcPr>
          <w:p w14:paraId="1C627EEE" w14:textId="77777777" w:rsidR="00F64599" w:rsidRPr="00184030" w:rsidRDefault="00F64599" w:rsidP="00EB3164">
            <w:pPr>
              <w:pStyle w:val="TableText"/>
              <w:keepNext/>
              <w:keepLines/>
              <w:rPr>
                <w:b/>
              </w:rPr>
            </w:pPr>
            <w:r w:rsidRPr="00184030">
              <w:rPr>
                <w:b/>
              </w:rPr>
              <w:t>Indication</w:t>
            </w:r>
          </w:p>
        </w:tc>
        <w:tc>
          <w:tcPr>
            <w:tcW w:w="1276" w:type="dxa"/>
            <w:tcBorders>
              <w:top w:val="nil"/>
              <w:bottom w:val="nil"/>
            </w:tcBorders>
            <w:shd w:val="clear" w:color="auto" w:fill="C2D9BA"/>
          </w:tcPr>
          <w:p w14:paraId="09AC272A" w14:textId="77777777" w:rsidR="00F64599" w:rsidRPr="00184030" w:rsidRDefault="00F64599" w:rsidP="00EB3164">
            <w:pPr>
              <w:pStyle w:val="TableText"/>
              <w:keepNext/>
              <w:keepLines/>
              <w:rPr>
                <w:b/>
              </w:rPr>
            </w:pPr>
            <w:r w:rsidRPr="00184030">
              <w:rPr>
                <w:b/>
              </w:rPr>
              <w:t>Medicine/</w:t>
            </w:r>
            <w:r w:rsidR="002D2FC8">
              <w:rPr>
                <w:b/>
              </w:rPr>
              <w:br/>
            </w:r>
            <w:r w:rsidRPr="00184030">
              <w:rPr>
                <w:b/>
              </w:rPr>
              <w:t>regimen</w:t>
            </w:r>
          </w:p>
        </w:tc>
        <w:tc>
          <w:tcPr>
            <w:tcW w:w="1304" w:type="dxa"/>
            <w:tcBorders>
              <w:top w:val="nil"/>
              <w:bottom w:val="nil"/>
            </w:tcBorders>
            <w:shd w:val="clear" w:color="auto" w:fill="C2D9BA"/>
          </w:tcPr>
          <w:p w14:paraId="2C671A4D" w14:textId="77777777" w:rsidR="00F64599" w:rsidRPr="00184030" w:rsidRDefault="00F64599" w:rsidP="00EB3164">
            <w:pPr>
              <w:pStyle w:val="TableText"/>
              <w:keepNext/>
              <w:keepLines/>
              <w:jc w:val="center"/>
              <w:rPr>
                <w:b/>
              </w:rPr>
            </w:pPr>
            <w:r w:rsidRPr="00184030">
              <w:rPr>
                <w:b/>
              </w:rPr>
              <w:t>ESMO-MCBS</w:t>
            </w:r>
          </w:p>
        </w:tc>
        <w:tc>
          <w:tcPr>
            <w:tcW w:w="1616" w:type="dxa"/>
            <w:tcBorders>
              <w:top w:val="nil"/>
              <w:bottom w:val="nil"/>
            </w:tcBorders>
            <w:shd w:val="clear" w:color="auto" w:fill="C2D9BA"/>
          </w:tcPr>
          <w:p w14:paraId="0A68BD9D" w14:textId="77777777" w:rsidR="00F64599" w:rsidRPr="00184030" w:rsidRDefault="00F64599" w:rsidP="00EB3164">
            <w:pPr>
              <w:pStyle w:val="TableText"/>
              <w:keepNext/>
              <w:keepLines/>
              <w:jc w:val="center"/>
              <w:rPr>
                <w:b/>
              </w:rPr>
            </w:pPr>
            <w:r w:rsidRPr="00184030">
              <w:rPr>
                <w:b/>
              </w:rPr>
              <w:t>Pharmac status at time of analysis</w:t>
            </w:r>
          </w:p>
        </w:tc>
        <w:tc>
          <w:tcPr>
            <w:tcW w:w="1616" w:type="dxa"/>
            <w:tcBorders>
              <w:top w:val="nil"/>
              <w:bottom w:val="nil"/>
            </w:tcBorders>
            <w:shd w:val="clear" w:color="auto" w:fill="C2D9BA"/>
          </w:tcPr>
          <w:p w14:paraId="6F3EE801" w14:textId="77777777" w:rsidR="00F64599" w:rsidRPr="00184030" w:rsidRDefault="00F64599" w:rsidP="00EB3164">
            <w:pPr>
              <w:pStyle w:val="TableText"/>
              <w:keepNext/>
              <w:keepLines/>
              <w:jc w:val="center"/>
              <w:rPr>
                <w:b/>
              </w:rPr>
            </w:pPr>
            <w:r w:rsidRPr="00184030">
              <w:rPr>
                <w:b/>
              </w:rPr>
              <w:t>Appendix table for further detail</w:t>
            </w:r>
          </w:p>
        </w:tc>
      </w:tr>
      <w:tr w:rsidR="003A4C1F" w14:paraId="4747516D" w14:textId="77777777" w:rsidTr="000861AF">
        <w:trPr>
          <w:cantSplit/>
        </w:trPr>
        <w:tc>
          <w:tcPr>
            <w:tcW w:w="2268" w:type="dxa"/>
            <w:tcBorders>
              <w:top w:val="nil"/>
              <w:bottom w:val="single" w:sz="4" w:space="0" w:color="C2D9BA"/>
            </w:tcBorders>
            <w:shd w:val="clear" w:color="auto" w:fill="auto"/>
          </w:tcPr>
          <w:p w14:paraId="426AB752" w14:textId="77777777" w:rsidR="003A4C1F" w:rsidRPr="001336C7" w:rsidRDefault="003A4C1F" w:rsidP="000861AF">
            <w:pPr>
              <w:pStyle w:val="TableText"/>
            </w:pPr>
            <w:r w:rsidRPr="001336C7">
              <w:t xml:space="preserve">Epithelial ovarian, fallopian tube or primary peritoneal cancer, stage IIIb or IV, BRCA +ve, </w:t>
            </w:r>
            <w:r>
              <w:t>first-line maintenance</w:t>
            </w:r>
          </w:p>
        </w:tc>
        <w:tc>
          <w:tcPr>
            <w:tcW w:w="1276" w:type="dxa"/>
            <w:tcBorders>
              <w:top w:val="nil"/>
              <w:bottom w:val="single" w:sz="4" w:space="0" w:color="C2D9BA"/>
            </w:tcBorders>
            <w:shd w:val="clear" w:color="auto" w:fill="auto"/>
          </w:tcPr>
          <w:p w14:paraId="13079112" w14:textId="77777777" w:rsidR="003A4C1F" w:rsidRPr="001336C7" w:rsidRDefault="003A4C1F" w:rsidP="000861AF">
            <w:pPr>
              <w:pStyle w:val="TableText"/>
            </w:pPr>
            <w:r w:rsidRPr="001336C7">
              <w:t>Olaparib</w:t>
            </w:r>
          </w:p>
        </w:tc>
        <w:tc>
          <w:tcPr>
            <w:tcW w:w="1304" w:type="dxa"/>
            <w:tcBorders>
              <w:top w:val="nil"/>
              <w:bottom w:val="single" w:sz="4" w:space="0" w:color="C2D9BA"/>
            </w:tcBorders>
            <w:shd w:val="clear" w:color="auto" w:fill="auto"/>
          </w:tcPr>
          <w:p w14:paraId="24550F92" w14:textId="77777777" w:rsidR="003A4C1F" w:rsidRPr="001336C7" w:rsidRDefault="003A4C1F" w:rsidP="003A4C1F">
            <w:pPr>
              <w:pStyle w:val="TableText"/>
              <w:jc w:val="center"/>
            </w:pPr>
            <w:r w:rsidRPr="001336C7">
              <w:t>4</w:t>
            </w:r>
          </w:p>
        </w:tc>
        <w:tc>
          <w:tcPr>
            <w:tcW w:w="1616" w:type="dxa"/>
            <w:tcBorders>
              <w:top w:val="nil"/>
              <w:bottom w:val="single" w:sz="4" w:space="0" w:color="C2D9BA"/>
            </w:tcBorders>
            <w:shd w:val="clear" w:color="auto" w:fill="auto"/>
          </w:tcPr>
          <w:p w14:paraId="6E431812" w14:textId="77777777" w:rsidR="003A4C1F" w:rsidRPr="001336C7" w:rsidRDefault="003A4C1F" w:rsidP="000861AF">
            <w:pPr>
              <w:pStyle w:val="TableText"/>
            </w:pPr>
            <w:r>
              <w:t>Ranked as an option for investment</w:t>
            </w:r>
            <w:r w:rsidRPr="003A4C1F">
              <w:rPr>
                <w:rStyle w:val="FootnoteReference"/>
                <w:rFonts w:eastAsia="MS Gothic"/>
              </w:rPr>
              <w:footnoteReference w:id="20"/>
            </w:r>
          </w:p>
        </w:tc>
        <w:tc>
          <w:tcPr>
            <w:tcW w:w="1616" w:type="dxa"/>
            <w:tcBorders>
              <w:top w:val="nil"/>
              <w:bottom w:val="single" w:sz="4" w:space="0" w:color="C2D9BA"/>
            </w:tcBorders>
            <w:shd w:val="clear" w:color="auto" w:fill="auto"/>
          </w:tcPr>
          <w:p w14:paraId="1EFF680C" w14:textId="77777777" w:rsidR="003A4C1F" w:rsidRPr="001336C7" w:rsidRDefault="0056499C" w:rsidP="003A4C1F">
            <w:pPr>
              <w:pStyle w:val="TableText"/>
              <w:jc w:val="center"/>
            </w:pPr>
            <w:hyperlink w:anchor="Appendix_7_Table_7point14" w:history="1">
              <w:r w:rsidR="003A4C1F" w:rsidRPr="00336324">
                <w:rPr>
                  <w:rStyle w:val="Hyperlink"/>
                  <w:rFonts w:eastAsia="MS Gothic"/>
                </w:rPr>
                <w:t>7.14</w:t>
              </w:r>
            </w:hyperlink>
          </w:p>
        </w:tc>
      </w:tr>
      <w:tr w:rsidR="003A4C1F" w14:paraId="70B4FFE9" w14:textId="77777777" w:rsidTr="000861AF">
        <w:trPr>
          <w:cantSplit/>
        </w:trPr>
        <w:tc>
          <w:tcPr>
            <w:tcW w:w="2268" w:type="dxa"/>
            <w:tcBorders>
              <w:top w:val="nil"/>
              <w:bottom w:val="single" w:sz="4" w:space="0" w:color="C2D9BA"/>
            </w:tcBorders>
            <w:shd w:val="clear" w:color="auto" w:fill="auto"/>
          </w:tcPr>
          <w:p w14:paraId="160B9DDD" w14:textId="77777777" w:rsidR="003A4C1F" w:rsidRPr="001336C7" w:rsidRDefault="003A4C1F" w:rsidP="000861AF">
            <w:pPr>
              <w:pStyle w:val="TableText"/>
              <w:rPr>
                <w:b/>
                <w:bCs/>
              </w:rPr>
            </w:pPr>
            <w:r w:rsidRPr="001336C7">
              <w:t>Epithelial ovarian, fallopian tube or primary peritoneal cancer, metastatic, recurrent platinum-resistant</w:t>
            </w:r>
          </w:p>
        </w:tc>
        <w:tc>
          <w:tcPr>
            <w:tcW w:w="1276" w:type="dxa"/>
            <w:tcBorders>
              <w:top w:val="nil"/>
              <w:bottom w:val="single" w:sz="4" w:space="0" w:color="C2D9BA"/>
            </w:tcBorders>
            <w:shd w:val="clear" w:color="auto" w:fill="auto"/>
          </w:tcPr>
          <w:p w14:paraId="56B3E3E7" w14:textId="77777777" w:rsidR="003A4C1F" w:rsidRPr="001336C7" w:rsidRDefault="003A4C1F" w:rsidP="000861AF">
            <w:pPr>
              <w:pStyle w:val="TableText"/>
            </w:pPr>
            <w:r w:rsidRPr="001336C7">
              <w:t>Bevacizumab</w:t>
            </w:r>
          </w:p>
        </w:tc>
        <w:tc>
          <w:tcPr>
            <w:tcW w:w="1304" w:type="dxa"/>
            <w:tcBorders>
              <w:top w:val="nil"/>
              <w:bottom w:val="single" w:sz="4" w:space="0" w:color="C2D9BA"/>
            </w:tcBorders>
            <w:shd w:val="clear" w:color="auto" w:fill="auto"/>
          </w:tcPr>
          <w:p w14:paraId="4E3AECBC" w14:textId="77777777" w:rsidR="003A4C1F" w:rsidRPr="001336C7" w:rsidRDefault="003A4C1F" w:rsidP="003A4C1F">
            <w:pPr>
              <w:pStyle w:val="TableText"/>
              <w:jc w:val="center"/>
            </w:pPr>
            <w:r w:rsidRPr="001336C7">
              <w:t>4</w:t>
            </w:r>
          </w:p>
        </w:tc>
        <w:tc>
          <w:tcPr>
            <w:tcW w:w="1616" w:type="dxa"/>
            <w:tcBorders>
              <w:top w:val="nil"/>
              <w:bottom w:val="single" w:sz="4" w:space="0" w:color="C2D9BA"/>
            </w:tcBorders>
            <w:shd w:val="clear" w:color="auto" w:fill="auto"/>
          </w:tcPr>
          <w:p w14:paraId="4598BDA4" w14:textId="77777777" w:rsidR="003A4C1F" w:rsidRPr="001336C7" w:rsidRDefault="003A4C1F" w:rsidP="000861AF">
            <w:pPr>
              <w:pStyle w:val="TableText"/>
            </w:pPr>
            <w:r>
              <w:t>Under consultation for decline</w:t>
            </w:r>
            <w:r w:rsidRPr="003A4C1F">
              <w:rPr>
                <w:rStyle w:val="FootnoteReference"/>
                <w:rFonts w:eastAsia="MS Gothic"/>
              </w:rPr>
              <w:footnoteReference w:id="21"/>
            </w:r>
          </w:p>
        </w:tc>
        <w:tc>
          <w:tcPr>
            <w:tcW w:w="1616" w:type="dxa"/>
            <w:tcBorders>
              <w:top w:val="nil"/>
              <w:bottom w:val="single" w:sz="4" w:space="0" w:color="C2D9BA"/>
            </w:tcBorders>
            <w:shd w:val="clear" w:color="auto" w:fill="auto"/>
          </w:tcPr>
          <w:p w14:paraId="0FB01226" w14:textId="77777777" w:rsidR="003A4C1F" w:rsidRPr="001336C7" w:rsidRDefault="0056499C" w:rsidP="003A4C1F">
            <w:pPr>
              <w:pStyle w:val="TableText"/>
              <w:jc w:val="center"/>
            </w:pPr>
            <w:hyperlink w:anchor="Appendix_7_Table_7point15" w:history="1">
              <w:r w:rsidR="003A4C1F" w:rsidRPr="00336324">
                <w:rPr>
                  <w:rStyle w:val="Hyperlink"/>
                  <w:rFonts w:eastAsia="MS Gothic"/>
                </w:rPr>
                <w:t>7.15</w:t>
              </w:r>
            </w:hyperlink>
          </w:p>
        </w:tc>
      </w:tr>
    </w:tbl>
    <w:p w14:paraId="6ACA921E" w14:textId="77777777" w:rsidR="00C338E8" w:rsidRDefault="00C338E8" w:rsidP="003A4C1F"/>
    <w:p w14:paraId="78546821" w14:textId="77777777" w:rsidR="00C338E8" w:rsidRPr="003A4C1F" w:rsidRDefault="00B12E4F" w:rsidP="003A4C1F">
      <w:r w:rsidRPr="001336C7">
        <w:t xml:space="preserve">Both gaps were for late-stage ovarian cancer in the non-curative setting, and one (olaparib) was for a particular mutation called BRCA. Pharmac </w:t>
      </w:r>
      <w:r>
        <w:t>has recently</w:t>
      </w:r>
      <w:r w:rsidRPr="001336C7">
        <w:t xml:space="preserve"> </w:t>
      </w:r>
      <w:r>
        <w:t xml:space="preserve">consulted on a </w:t>
      </w:r>
      <w:r w:rsidRPr="001336C7">
        <w:t>proposal to decline bevacizumab and</w:t>
      </w:r>
      <w:r>
        <w:t>,</w:t>
      </w:r>
      <w:r w:rsidRPr="001336C7">
        <w:t xml:space="preserve"> </w:t>
      </w:r>
      <w:r>
        <w:t>based on feedback received, will now seek further clinical advice</w:t>
      </w:r>
      <w:r w:rsidRPr="003A4C1F">
        <w:t xml:space="preserve">. </w:t>
      </w:r>
      <w:r w:rsidRPr="0089085B">
        <w:rPr>
          <w:b/>
          <w:bCs/>
        </w:rPr>
        <w:t>Subsequent to the completion of this analysis, Pharmac has approved olaparib for funding in this treatment setting, and therefore this gap will now be filled – at least in part – for those with germline BRCA mutations</w:t>
      </w:r>
      <w:r w:rsidRPr="0089085B" w:rsidDel="00987A9D">
        <w:rPr>
          <w:b/>
          <w:bCs/>
        </w:rPr>
        <w:t xml:space="preserve"> </w:t>
      </w:r>
      <w:r w:rsidRPr="0089085B">
        <w:rPr>
          <w:b/>
          <w:bCs/>
        </w:rPr>
        <w:t>(Pharmac 2022b).</w:t>
      </w:r>
    </w:p>
    <w:p w14:paraId="592BB518" w14:textId="77777777" w:rsidR="00C338E8" w:rsidRDefault="00C338E8" w:rsidP="003A4C1F"/>
    <w:p w14:paraId="7CCF4457" w14:textId="77777777" w:rsidR="00C338E8" w:rsidRPr="002D2FC8" w:rsidRDefault="00B12E4F" w:rsidP="003A4C1F">
      <w:r>
        <w:t>An average of 280 people are diagnosed with ovarian cancer each year</w:t>
      </w:r>
      <w:r w:rsidRPr="001336C7">
        <w:t>, including 32</w:t>
      </w:r>
      <w:r w:rsidR="003A4C1F">
        <w:t> </w:t>
      </w:r>
      <w:r w:rsidRPr="001336C7">
        <w:t xml:space="preserve">Māori, and </w:t>
      </w:r>
      <w:r>
        <w:t xml:space="preserve">there are </w:t>
      </w:r>
      <w:r w:rsidRPr="001336C7">
        <w:t xml:space="preserve">about 194 deaths </w:t>
      </w:r>
      <w:r>
        <w:t>each</w:t>
      </w:r>
      <w:r w:rsidRPr="001336C7">
        <w:t xml:space="preserve"> year</w:t>
      </w:r>
      <w:r>
        <w:t>,</w:t>
      </w:r>
      <w:r w:rsidRPr="001336C7">
        <w:t xml:space="preserve"> including 15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336C7">
        <w:t xml:space="preserve">. The incidence of ovarian cancer is somewhat higher for Māori compared </w:t>
      </w:r>
      <w:r>
        <w:t>with</w:t>
      </w:r>
      <w:r w:rsidRPr="001336C7">
        <w:t xml:space="preserve"> non-Māori </w:t>
      </w:r>
      <w:r w:rsidRPr="001336C7">
        <w:rPr>
          <w:noProof/>
        </w:rPr>
        <w:t xml:space="preserve">(Robson </w:t>
      </w:r>
      <w:r w:rsidR="00C338E8">
        <w:rPr>
          <w:noProof/>
        </w:rPr>
        <w:t>et al</w:t>
      </w:r>
      <w:r w:rsidR="003B51F4">
        <w:rPr>
          <w:noProof/>
        </w:rPr>
        <w:t xml:space="preserve"> 2</w:t>
      </w:r>
      <w:r w:rsidRPr="001336C7">
        <w:rPr>
          <w:noProof/>
        </w:rPr>
        <w:t>010)</w:t>
      </w:r>
      <w:r w:rsidRPr="001336C7">
        <w:t xml:space="preserve">, and </w:t>
      </w:r>
      <w:r>
        <w:t xml:space="preserve">it is </w:t>
      </w:r>
      <w:r w:rsidRPr="001336C7">
        <w:t xml:space="preserve">also higher among Pacific peoples compared </w:t>
      </w:r>
      <w:r>
        <w:t xml:space="preserve">with non-Māori non-Pacific non-Asian peoples </w:t>
      </w:r>
      <w:r>
        <w:rPr>
          <w:noProof/>
        </w:rPr>
        <w:t xml:space="preserve">(Meredith </w:t>
      </w:r>
      <w:r w:rsidR="00C338E8">
        <w:rPr>
          <w:noProof/>
        </w:rPr>
        <w:t>et al</w:t>
      </w:r>
      <w:r w:rsidR="003B51F4">
        <w:rPr>
          <w:noProof/>
        </w:rPr>
        <w:t xml:space="preserve"> 2</w:t>
      </w:r>
      <w:r>
        <w:rPr>
          <w:noProof/>
        </w:rPr>
        <w:t>012)</w:t>
      </w:r>
      <w:r w:rsidRPr="001336C7">
        <w:t xml:space="preserve">. </w:t>
      </w:r>
      <w:r w:rsidRPr="002D7E08">
        <w:t>International studies have shown that about 10-20</w:t>
      </w:r>
      <w:r w:rsidR="00F64599">
        <w:t> percent</w:t>
      </w:r>
      <w:r w:rsidRPr="002D7E08">
        <w:t xml:space="preserve"> of epithelial ovarian cancer patients are germline BRCA positive</w:t>
      </w:r>
      <w:r w:rsidRPr="002D2FC8">
        <w:t xml:space="preserve"> (Alsop </w:t>
      </w:r>
      <w:r w:rsidR="00C338E8" w:rsidRPr="002D2FC8">
        <w:t>et al</w:t>
      </w:r>
      <w:r w:rsidRPr="002D2FC8">
        <w:t xml:space="preserve"> 2012</w:t>
      </w:r>
      <w:r w:rsidR="002D2FC8">
        <w:t>,</w:t>
      </w:r>
      <w:r w:rsidRPr="002D2FC8">
        <w:t xml:space="preserve"> Zhang </w:t>
      </w:r>
      <w:r w:rsidR="00C338E8" w:rsidRPr="002D2FC8">
        <w:t>et al</w:t>
      </w:r>
      <w:r w:rsidRPr="002D2FC8">
        <w:t xml:space="preserve"> 2011).</w:t>
      </w:r>
    </w:p>
    <w:p w14:paraId="367DA9A7" w14:textId="77777777" w:rsidR="00C338E8" w:rsidRDefault="00C338E8" w:rsidP="002D2FC8"/>
    <w:p w14:paraId="0DE242D0" w14:textId="77777777" w:rsidR="00C338E8" w:rsidRDefault="00B12E4F" w:rsidP="002D2FC8">
      <w:r w:rsidRPr="001336C7">
        <w:t>Nearly two-thirds of ovarian cancers are diagnosed at an advanced stage (60</w:t>
      </w:r>
      <w:r w:rsidR="00F64599">
        <w:t> percent</w:t>
      </w:r>
      <w:r w:rsidRPr="001336C7">
        <w:t xml:space="preserve"> of total cases, 58</w:t>
      </w:r>
      <w:r w:rsidR="00F64599">
        <w:t> percent</w:t>
      </w:r>
      <w:r w:rsidRPr="001336C7">
        <w:t xml:space="preserve"> Māori, 63</w:t>
      </w:r>
      <w:r w:rsidR="00F64599">
        <w:t> percent</w:t>
      </w:r>
      <w:r w:rsidRPr="001336C7">
        <w:t xml:space="preserve"> European). </w:t>
      </w:r>
      <w:r w:rsidRPr="001336C7">
        <w:rPr>
          <w:bCs/>
        </w:rPr>
        <w:t>Around 40</w:t>
      </w:r>
      <w:r w:rsidR="00F64599">
        <w:rPr>
          <w:bCs/>
        </w:rPr>
        <w:t> percent</w:t>
      </w:r>
      <w:r w:rsidRPr="001336C7">
        <w:rPr>
          <w:bCs/>
        </w:rPr>
        <w:t xml:space="preserve"> of those diagnosed with</w:t>
      </w:r>
      <w:r w:rsidRPr="001336C7">
        <w:t xml:space="preserve"> ovarian cancer will survive </w:t>
      </w:r>
      <w:r>
        <w:t>five</w:t>
      </w:r>
      <w:r w:rsidRPr="001336C7">
        <w:t xml:space="preserve"> years </w:t>
      </w:r>
      <w:r>
        <w:t xml:space="preserve">after diagnosis </w:t>
      </w:r>
      <w:r w:rsidRPr="001336C7">
        <w:t>(43</w:t>
      </w:r>
      <w:r w:rsidR="00F64599">
        <w:t> percent</w:t>
      </w:r>
      <w:r w:rsidRPr="001336C7">
        <w:t xml:space="preserve"> Māori, 39</w:t>
      </w:r>
      <w:r w:rsidR="00F64599">
        <w:t> percent</w:t>
      </w:r>
      <w:r w:rsidRPr="001336C7">
        <w:t xml:space="preserve"> non-Māori</w:t>
      </w:r>
      <w:r>
        <w:t xml:space="preserve">) </w:t>
      </w:r>
      <w:r>
        <w:rPr>
          <w:noProof/>
        </w:rPr>
        <w:t xml:space="preserve">(Gurney, Stanley, McLeod, </w:t>
      </w:r>
      <w:r w:rsidR="00C338E8">
        <w:rPr>
          <w:noProof/>
        </w:rPr>
        <w:t>et al</w:t>
      </w:r>
      <w:r w:rsidR="003B51F4">
        <w:rPr>
          <w:noProof/>
        </w:rPr>
        <w:t xml:space="preserve"> 2</w:t>
      </w:r>
      <w:r>
        <w:rPr>
          <w:noProof/>
        </w:rPr>
        <w:t>020)</w:t>
      </w:r>
      <w:r w:rsidRPr="001336C7">
        <w:t xml:space="preserve">. There is currently a lack of robust stage-specific survival data for ovarian cancer in </w:t>
      </w:r>
      <w:r>
        <w:t>Aotearoa</w:t>
      </w:r>
      <w:r w:rsidRPr="001336C7">
        <w:t xml:space="preserve">, although </w:t>
      </w:r>
      <w:r>
        <w:t>one</w:t>
      </w:r>
      <w:r w:rsidRPr="001336C7">
        <w:t xml:space="preserve"> study found that around 20</w:t>
      </w:r>
      <w:r w:rsidR="00F64599">
        <w:t> percent</w:t>
      </w:r>
      <w:r w:rsidRPr="001336C7">
        <w:t xml:space="preserve"> of patients with advanced disease survived to five years </w:t>
      </w:r>
      <w:r w:rsidRPr="001336C7">
        <w:rPr>
          <w:noProof/>
        </w:rPr>
        <w:t xml:space="preserve">(Yeoh </w:t>
      </w:r>
      <w:r w:rsidR="00C338E8">
        <w:rPr>
          <w:noProof/>
        </w:rPr>
        <w:t>et al</w:t>
      </w:r>
      <w:r w:rsidR="003B51F4">
        <w:rPr>
          <w:noProof/>
        </w:rPr>
        <w:t xml:space="preserve"> 2</w:t>
      </w:r>
      <w:r w:rsidRPr="001336C7">
        <w:rPr>
          <w:noProof/>
        </w:rPr>
        <w:t>019)</w:t>
      </w:r>
      <w:r w:rsidRPr="001336C7">
        <w:t>. From 2007</w:t>
      </w:r>
      <w:r>
        <w:t>–</w:t>
      </w:r>
      <w:r w:rsidRPr="001336C7">
        <w:t>2016 data, Māori patients with ovarian cancer are 62</w:t>
      </w:r>
      <w:r w:rsidR="00F64599">
        <w:t> percent</w:t>
      </w:r>
      <w:r w:rsidRPr="001336C7">
        <w:t xml:space="preserve"> more likely to die than non-Māori patients with ovarian cancer</w:t>
      </w:r>
      <w:r>
        <w:t xml:space="preserve"> </w:t>
      </w:r>
      <w:r>
        <w:rPr>
          <w:noProof/>
        </w:rPr>
        <w:t xml:space="preserve">(Gurney, Stanley, McLeod, </w:t>
      </w:r>
      <w:r w:rsidR="00C338E8">
        <w:rPr>
          <w:noProof/>
        </w:rPr>
        <w:t>et al</w:t>
      </w:r>
      <w:r w:rsidR="003B51F4">
        <w:rPr>
          <w:noProof/>
        </w:rPr>
        <w:t xml:space="preserve"> 2</w:t>
      </w:r>
      <w:r>
        <w:rPr>
          <w:noProof/>
        </w:rPr>
        <w:t>020)</w:t>
      </w:r>
      <w:r w:rsidRPr="001336C7">
        <w:t>.</w:t>
      </w:r>
    </w:p>
    <w:p w14:paraId="2DE535E2" w14:textId="77777777" w:rsidR="00C338E8" w:rsidRDefault="00B12E4F" w:rsidP="003F099E">
      <w:pPr>
        <w:keepNext/>
        <w:keepLines/>
      </w:pPr>
      <w:r w:rsidRPr="001336C7">
        <w:lastRenderedPageBreak/>
        <w:t xml:space="preserve">The size of the eligible population </w:t>
      </w:r>
      <w:r>
        <w:t>was unable to be estimated</w:t>
      </w:r>
      <w:r w:rsidRPr="001336C7">
        <w:t xml:space="preserve"> for bevacizumab, although </w:t>
      </w:r>
      <w:r>
        <w:t xml:space="preserve">it is </w:t>
      </w:r>
      <w:r w:rsidRPr="001336C7">
        <w:t xml:space="preserve">likely to be small considering </w:t>
      </w:r>
      <w:r>
        <w:t>this is</w:t>
      </w:r>
      <w:r w:rsidRPr="001336C7">
        <w:t xml:space="preserve"> a very specific subset of patients. </w:t>
      </w:r>
      <w:r>
        <w:t>The</w:t>
      </w:r>
      <w:r w:rsidRPr="001336C7">
        <w:t xml:space="preserve"> eligible population for </w:t>
      </w:r>
      <w:r>
        <w:t>olaparib</w:t>
      </w:r>
      <w:r w:rsidRPr="001336C7">
        <w:t xml:space="preserve"> is approximately 20 people in the first year and then increasing over time. The magnitude of benefit ranges from a progression</w:t>
      </w:r>
      <w:r>
        <w:t>-</w:t>
      </w:r>
      <w:r w:rsidRPr="001336C7">
        <w:t xml:space="preserve">free survival gain of </w:t>
      </w:r>
      <w:r>
        <w:t>3.3</w:t>
      </w:r>
      <w:r w:rsidRPr="001336C7">
        <w:t xml:space="preserve"> months </w:t>
      </w:r>
      <w:r>
        <w:t xml:space="preserve">for </w:t>
      </w:r>
      <w:r w:rsidRPr="001336C7">
        <w:t xml:space="preserve">bevacizumab to </w:t>
      </w:r>
      <w:r>
        <w:t xml:space="preserve">over </w:t>
      </w:r>
      <w:r w:rsidRPr="001336C7">
        <w:t xml:space="preserve">30 months </w:t>
      </w:r>
      <w:r>
        <w:t xml:space="preserve">for </w:t>
      </w:r>
      <w:r w:rsidRPr="001336C7">
        <w:t>olaparib.</w:t>
      </w:r>
    </w:p>
    <w:p w14:paraId="4D50DFD7" w14:textId="77777777" w:rsidR="00C338E8" w:rsidRDefault="00C338E8" w:rsidP="002D2FC8"/>
    <w:p w14:paraId="32A8128C" w14:textId="110A7170" w:rsidR="00C338E8" w:rsidRDefault="00B12E4F" w:rsidP="000A08B7">
      <w:pPr>
        <w:pStyle w:val="Heading4"/>
      </w:pPr>
      <w:bookmarkStart w:id="272" w:name="_Toc100739041"/>
      <w:r w:rsidRPr="001336C7">
        <w:t>Head and neck cancer</w:t>
      </w:r>
      <w:bookmarkEnd w:id="272"/>
      <w:r w:rsidR="00431844">
        <w:t xml:space="preserve"> gap</w:t>
      </w:r>
    </w:p>
    <w:p w14:paraId="74DC5DB9" w14:textId="1EF6C450" w:rsidR="00C338E8" w:rsidRDefault="00B12E4F" w:rsidP="002D2FC8">
      <w:r w:rsidRPr="001336C7">
        <w:t xml:space="preserve">There was one gap in head and neck cancer </w:t>
      </w:r>
      <w:r>
        <w:t xml:space="preserve">medicine funding </w:t>
      </w:r>
      <w:r w:rsidRPr="001336C7">
        <w:t xml:space="preserve">that </w:t>
      </w:r>
      <w:r>
        <w:t xml:space="preserve">was defined by ESMO-MCBS </w:t>
      </w:r>
      <w:r w:rsidRPr="001336C7">
        <w:t xml:space="preserve">as likely to have substantial clinical benefit, represented by one medicine (nivolumab), with an ESMO-MCBS score of 5. The gap was in locally recurrent or metastatic head and neck squamous cell cancer as second-line therapy in the non-curative setting. </w:t>
      </w:r>
    </w:p>
    <w:p w14:paraId="45046C61" w14:textId="77777777" w:rsidR="00C338E8" w:rsidRDefault="00C338E8" w:rsidP="002D2FC8"/>
    <w:p w14:paraId="55BEADE9" w14:textId="38BA27D1" w:rsidR="00B12E4F" w:rsidRDefault="002D2FC8" w:rsidP="002D2FC8">
      <w:pPr>
        <w:pStyle w:val="Table"/>
      </w:pPr>
      <w:bookmarkStart w:id="273" w:name="_Toc101365604"/>
      <w:r>
        <w:t>Table </w:t>
      </w:r>
      <w:r w:rsidR="0056499C">
        <w:fldChar w:fldCharType="begin"/>
      </w:r>
      <w:r w:rsidR="0056499C">
        <w:instrText xml:space="preserve"> SEQ Table \* ARABIC </w:instrText>
      </w:r>
      <w:r w:rsidR="0056499C">
        <w:fldChar w:fldCharType="separate"/>
      </w:r>
      <w:r w:rsidR="00386819">
        <w:rPr>
          <w:noProof/>
        </w:rPr>
        <w:t>10</w:t>
      </w:r>
      <w:r w:rsidR="0056499C">
        <w:rPr>
          <w:noProof/>
        </w:rPr>
        <w:fldChar w:fldCharType="end"/>
      </w:r>
      <w:r w:rsidR="00B12E4F" w:rsidRPr="00C00B25">
        <w:t xml:space="preserve">: </w:t>
      </w:r>
      <w:r w:rsidR="00B12E4F">
        <w:t>H</w:t>
      </w:r>
      <w:r w:rsidR="00B12E4F" w:rsidRPr="00C00B25">
        <w:t>ead</w:t>
      </w:r>
      <w:r w:rsidR="00B12E4F">
        <w:t xml:space="preserve"> and neck</w:t>
      </w:r>
      <w:r w:rsidR="00B12E4F" w:rsidRPr="001336C7">
        <w:t xml:space="preserve"> cancer gap</w:t>
      </w:r>
      <w:bookmarkEnd w:id="273"/>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304"/>
        <w:gridCol w:w="1616"/>
        <w:gridCol w:w="1616"/>
      </w:tblGrid>
      <w:tr w:rsidR="00F64599" w:rsidRPr="00184030" w14:paraId="34216FC8" w14:textId="77777777" w:rsidTr="000861AF">
        <w:trPr>
          <w:cantSplit/>
        </w:trPr>
        <w:tc>
          <w:tcPr>
            <w:tcW w:w="1843" w:type="dxa"/>
            <w:tcBorders>
              <w:top w:val="nil"/>
              <w:bottom w:val="nil"/>
            </w:tcBorders>
            <w:shd w:val="clear" w:color="auto" w:fill="C2D9BA"/>
          </w:tcPr>
          <w:p w14:paraId="0F22BA56" w14:textId="77777777" w:rsidR="00F64599" w:rsidRPr="00184030" w:rsidRDefault="00F64599" w:rsidP="00F64599">
            <w:pPr>
              <w:pStyle w:val="TableText"/>
              <w:rPr>
                <w:b/>
              </w:rPr>
            </w:pPr>
            <w:r w:rsidRPr="00184030">
              <w:rPr>
                <w:b/>
              </w:rPr>
              <w:t>Indication</w:t>
            </w:r>
          </w:p>
        </w:tc>
        <w:tc>
          <w:tcPr>
            <w:tcW w:w="1701" w:type="dxa"/>
            <w:tcBorders>
              <w:top w:val="nil"/>
              <w:bottom w:val="nil"/>
            </w:tcBorders>
            <w:shd w:val="clear" w:color="auto" w:fill="C2D9BA"/>
          </w:tcPr>
          <w:p w14:paraId="42531DEE" w14:textId="77777777" w:rsidR="00F64599" w:rsidRPr="00184030" w:rsidRDefault="00F64599" w:rsidP="006F1A1B">
            <w:pPr>
              <w:pStyle w:val="TableText"/>
              <w:rPr>
                <w:b/>
              </w:rPr>
            </w:pPr>
            <w:r w:rsidRPr="00184030">
              <w:rPr>
                <w:b/>
              </w:rPr>
              <w:t>Medicine/regimen</w:t>
            </w:r>
          </w:p>
        </w:tc>
        <w:tc>
          <w:tcPr>
            <w:tcW w:w="1304" w:type="dxa"/>
            <w:tcBorders>
              <w:top w:val="nil"/>
              <w:bottom w:val="nil"/>
            </w:tcBorders>
            <w:shd w:val="clear" w:color="auto" w:fill="C2D9BA"/>
          </w:tcPr>
          <w:p w14:paraId="09AFFF24" w14:textId="77777777" w:rsidR="00F64599" w:rsidRPr="00184030" w:rsidRDefault="00F64599" w:rsidP="00F64599">
            <w:pPr>
              <w:pStyle w:val="TableText"/>
              <w:jc w:val="center"/>
              <w:rPr>
                <w:b/>
              </w:rPr>
            </w:pPr>
            <w:r w:rsidRPr="00184030">
              <w:rPr>
                <w:b/>
              </w:rPr>
              <w:t>ESMO-MCBS</w:t>
            </w:r>
          </w:p>
        </w:tc>
        <w:tc>
          <w:tcPr>
            <w:tcW w:w="1616" w:type="dxa"/>
            <w:tcBorders>
              <w:top w:val="nil"/>
              <w:bottom w:val="nil"/>
            </w:tcBorders>
            <w:shd w:val="clear" w:color="auto" w:fill="C2D9BA"/>
          </w:tcPr>
          <w:p w14:paraId="3FDBCD16" w14:textId="77777777" w:rsidR="00F64599" w:rsidRPr="00184030" w:rsidRDefault="00F64599" w:rsidP="00F64599">
            <w:pPr>
              <w:pStyle w:val="TableText"/>
              <w:jc w:val="center"/>
              <w:rPr>
                <w:b/>
              </w:rPr>
            </w:pPr>
            <w:r w:rsidRPr="00184030">
              <w:rPr>
                <w:b/>
              </w:rPr>
              <w:t>Pharmac status at time of analysis</w:t>
            </w:r>
          </w:p>
        </w:tc>
        <w:tc>
          <w:tcPr>
            <w:tcW w:w="1616" w:type="dxa"/>
            <w:tcBorders>
              <w:top w:val="nil"/>
              <w:bottom w:val="nil"/>
            </w:tcBorders>
            <w:shd w:val="clear" w:color="auto" w:fill="C2D9BA"/>
          </w:tcPr>
          <w:p w14:paraId="6E57A9FE" w14:textId="77777777" w:rsidR="00F64599" w:rsidRPr="00184030" w:rsidRDefault="00F64599" w:rsidP="00F64599">
            <w:pPr>
              <w:pStyle w:val="TableText"/>
              <w:jc w:val="center"/>
              <w:rPr>
                <w:b/>
              </w:rPr>
            </w:pPr>
            <w:r w:rsidRPr="00184030">
              <w:rPr>
                <w:b/>
              </w:rPr>
              <w:t>Appendix table for further detail</w:t>
            </w:r>
          </w:p>
        </w:tc>
      </w:tr>
      <w:tr w:rsidR="002D2FC8" w14:paraId="2F9DB4A2" w14:textId="77777777" w:rsidTr="000861AF">
        <w:trPr>
          <w:cantSplit/>
        </w:trPr>
        <w:tc>
          <w:tcPr>
            <w:tcW w:w="1843" w:type="dxa"/>
            <w:tcBorders>
              <w:top w:val="nil"/>
              <w:bottom w:val="single" w:sz="4" w:space="0" w:color="C2D9BA"/>
            </w:tcBorders>
            <w:shd w:val="clear" w:color="auto" w:fill="auto"/>
          </w:tcPr>
          <w:p w14:paraId="01CA24E6" w14:textId="77777777" w:rsidR="002D2FC8" w:rsidRPr="001336C7" w:rsidRDefault="002D2FC8" w:rsidP="006F1A1B">
            <w:pPr>
              <w:pStyle w:val="TableText"/>
            </w:pPr>
            <w:r w:rsidRPr="001043A2">
              <w:t>Head and neck squamous</w:t>
            </w:r>
            <w:r w:rsidR="006F1A1B">
              <w:t xml:space="preserve"> </w:t>
            </w:r>
            <w:r w:rsidRPr="001043A2">
              <w:t xml:space="preserve">cell cancer (HNSCC), locally recurrent or metastatic, </w:t>
            </w:r>
            <w:r>
              <w:t>second-line therapy</w:t>
            </w:r>
          </w:p>
        </w:tc>
        <w:tc>
          <w:tcPr>
            <w:tcW w:w="1701" w:type="dxa"/>
            <w:tcBorders>
              <w:top w:val="nil"/>
              <w:bottom w:val="single" w:sz="4" w:space="0" w:color="C2D9BA"/>
            </w:tcBorders>
            <w:shd w:val="clear" w:color="auto" w:fill="auto"/>
          </w:tcPr>
          <w:p w14:paraId="42F64BD8" w14:textId="77777777" w:rsidR="002D2FC8" w:rsidRPr="001336C7" w:rsidRDefault="002D2FC8" w:rsidP="000861AF">
            <w:pPr>
              <w:pStyle w:val="TableText"/>
            </w:pPr>
            <w:r>
              <w:t>Nivolumab</w:t>
            </w:r>
          </w:p>
        </w:tc>
        <w:tc>
          <w:tcPr>
            <w:tcW w:w="1304" w:type="dxa"/>
            <w:tcBorders>
              <w:top w:val="nil"/>
              <w:bottom w:val="single" w:sz="4" w:space="0" w:color="C2D9BA"/>
            </w:tcBorders>
            <w:shd w:val="clear" w:color="auto" w:fill="auto"/>
          </w:tcPr>
          <w:p w14:paraId="7DC87176" w14:textId="77777777" w:rsidR="002D2FC8" w:rsidRPr="001336C7" w:rsidRDefault="002D2FC8" w:rsidP="002D2FC8">
            <w:pPr>
              <w:pStyle w:val="TableText"/>
              <w:jc w:val="center"/>
            </w:pPr>
            <w:r>
              <w:t>5</w:t>
            </w:r>
          </w:p>
        </w:tc>
        <w:tc>
          <w:tcPr>
            <w:tcW w:w="1616" w:type="dxa"/>
            <w:tcBorders>
              <w:top w:val="nil"/>
              <w:bottom w:val="single" w:sz="4" w:space="0" w:color="C2D9BA"/>
            </w:tcBorders>
            <w:shd w:val="clear" w:color="auto" w:fill="auto"/>
          </w:tcPr>
          <w:p w14:paraId="0DB5C477" w14:textId="77777777" w:rsidR="002D2FC8" w:rsidRPr="001336C7" w:rsidRDefault="002D2FC8" w:rsidP="000861AF">
            <w:pPr>
              <w:pStyle w:val="TableText"/>
            </w:pPr>
            <w:r>
              <w:t>No application received</w:t>
            </w:r>
          </w:p>
        </w:tc>
        <w:tc>
          <w:tcPr>
            <w:tcW w:w="1616" w:type="dxa"/>
            <w:tcBorders>
              <w:top w:val="nil"/>
              <w:bottom w:val="single" w:sz="4" w:space="0" w:color="C2D9BA"/>
            </w:tcBorders>
            <w:shd w:val="clear" w:color="auto" w:fill="auto"/>
          </w:tcPr>
          <w:p w14:paraId="113EC1CE" w14:textId="77777777" w:rsidR="002D2FC8" w:rsidRPr="001336C7" w:rsidRDefault="0056499C" w:rsidP="002D2FC8">
            <w:pPr>
              <w:pStyle w:val="TableText"/>
              <w:jc w:val="center"/>
            </w:pPr>
            <w:hyperlink w:anchor="Appendix_7_Table_7point16" w:history="1">
              <w:r w:rsidR="002D2FC8" w:rsidRPr="003A60AC">
                <w:rPr>
                  <w:rStyle w:val="Hyperlink"/>
                  <w:rFonts w:eastAsia="MS Gothic"/>
                </w:rPr>
                <w:t>7.16</w:t>
              </w:r>
            </w:hyperlink>
          </w:p>
        </w:tc>
      </w:tr>
    </w:tbl>
    <w:p w14:paraId="5027788D" w14:textId="77777777" w:rsidR="00F64599" w:rsidRPr="00F64599" w:rsidRDefault="00F64599" w:rsidP="002D2FC8"/>
    <w:p w14:paraId="1548A0ED" w14:textId="77777777" w:rsidR="00C338E8" w:rsidRDefault="00B12E4F" w:rsidP="006F1A1B">
      <w:r w:rsidRPr="001336C7">
        <w:t xml:space="preserve">An average of 550 people are diagnosed with head and neck cancer </w:t>
      </w:r>
      <w:r>
        <w:t>each</w:t>
      </w:r>
      <w:r w:rsidRPr="001336C7">
        <w:t xml:space="preserve"> year, including 55</w:t>
      </w:r>
      <w:r w:rsidR="006F1A1B">
        <w:t> </w:t>
      </w:r>
      <w:r w:rsidRPr="001336C7">
        <w:t>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336C7">
        <w:t>, and there are about 170 deaths</w:t>
      </w:r>
      <w:r>
        <w:t xml:space="preserve"> from this cancer</w:t>
      </w:r>
      <w:r w:rsidRPr="001336C7">
        <w:t xml:space="preserve"> </w:t>
      </w:r>
      <w:r>
        <w:t>each</w:t>
      </w:r>
      <w:r w:rsidRPr="001336C7">
        <w:t xml:space="preserve"> year, including 17 Māori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336C7">
        <w:t xml:space="preserve">. The incidence of head and neck cancer is similar for Māori and non-Māori but appears to be higher among Pacific peoples compared </w:t>
      </w:r>
      <w:r>
        <w:t>with</w:t>
      </w:r>
      <w:r w:rsidRPr="001336C7">
        <w:t xml:space="preserve"> </w:t>
      </w:r>
      <w:r>
        <w:t xml:space="preserve">non-Māori non-Pacific non-Asian peoples </w:t>
      </w:r>
      <w:r>
        <w:rPr>
          <w:noProof/>
        </w:rPr>
        <w:t>(</w:t>
      </w:r>
      <w:r w:rsidR="00F64599">
        <w:rPr>
          <w:noProof/>
        </w:rPr>
        <w:t>Te Aho</w:t>
      </w:r>
      <w:r>
        <w:rPr>
          <w:noProof/>
        </w:rPr>
        <w:t xml:space="preserve"> o </w:t>
      </w:r>
      <w:r w:rsidR="00B537E2">
        <w:rPr>
          <w:noProof/>
        </w:rPr>
        <w:t>Te Kahu</w:t>
      </w:r>
      <w:r>
        <w:rPr>
          <w:noProof/>
        </w:rPr>
        <w:t xml:space="preserve"> 2021a)</w:t>
      </w:r>
      <w:r w:rsidRPr="001336C7">
        <w:t>.</w:t>
      </w:r>
    </w:p>
    <w:p w14:paraId="1E526690" w14:textId="77777777" w:rsidR="00C338E8" w:rsidRDefault="00C338E8" w:rsidP="006F1A1B"/>
    <w:p w14:paraId="5A355A35" w14:textId="77777777" w:rsidR="00C338E8" w:rsidRDefault="00B12E4F" w:rsidP="006F1A1B">
      <w:r w:rsidRPr="001336C7">
        <w:t xml:space="preserve">The majority of head and neck cancers are diagnosed at either the local or regional stage. While the </w:t>
      </w:r>
      <w:r>
        <w:t xml:space="preserve">New Zealand </w:t>
      </w:r>
      <w:r w:rsidRPr="001336C7">
        <w:t>Cancer Registry records less than 10</w:t>
      </w:r>
      <w:r w:rsidR="00F64599">
        <w:t> percent</w:t>
      </w:r>
      <w:r w:rsidRPr="001336C7">
        <w:t xml:space="preserve"> of head and neck cancer patients as being diagnosed with advanced disease (7</w:t>
      </w:r>
      <w:r w:rsidR="00F64599">
        <w:t> percent</w:t>
      </w:r>
      <w:r w:rsidRPr="001336C7">
        <w:t xml:space="preserve"> total, 9</w:t>
      </w:r>
      <w:r w:rsidR="00F64599">
        <w:t> percent</w:t>
      </w:r>
      <w:r w:rsidRPr="001336C7">
        <w:t xml:space="preserve"> Māori, 6</w:t>
      </w:r>
      <w:r w:rsidR="00F64599">
        <w:t> percent</w:t>
      </w:r>
      <w:r w:rsidRPr="001336C7">
        <w:t xml:space="preserve"> European), more than </w:t>
      </w:r>
      <w:r>
        <w:t>one-</w:t>
      </w:r>
      <w:r w:rsidRPr="001336C7">
        <w:t xml:space="preserve">third of diagnoses remain unstaged on the </w:t>
      </w:r>
      <w:r>
        <w:t>r</w:t>
      </w:r>
      <w:r w:rsidRPr="001336C7">
        <w:t>egistry (37</w:t>
      </w:r>
      <w:r w:rsidR="00F64599">
        <w:t> percent</w:t>
      </w:r>
      <w:r w:rsidRPr="001336C7">
        <w:t xml:space="preserve"> total, 42</w:t>
      </w:r>
      <w:r w:rsidR="00F64599">
        <w:t> percent</w:t>
      </w:r>
      <w:r w:rsidRPr="001336C7">
        <w:t xml:space="preserve"> Māori, 36</w:t>
      </w:r>
      <w:r w:rsidR="00F64599">
        <w:t> percent</w:t>
      </w:r>
      <w:r w:rsidRPr="001336C7">
        <w:t xml:space="preserve"> European)</w:t>
      </w:r>
      <w:r>
        <w:t xml:space="preserve"> </w:t>
      </w:r>
      <w:r>
        <w:rPr>
          <w:noProof/>
        </w:rPr>
        <w:t xml:space="preserve">(Gurney, Stanley, Jackson, </w:t>
      </w:r>
      <w:r w:rsidR="00C338E8">
        <w:rPr>
          <w:noProof/>
        </w:rPr>
        <w:t>et al</w:t>
      </w:r>
      <w:r w:rsidR="003B51F4">
        <w:rPr>
          <w:noProof/>
        </w:rPr>
        <w:t xml:space="preserve"> 2</w:t>
      </w:r>
      <w:r>
        <w:rPr>
          <w:noProof/>
        </w:rPr>
        <w:t>020)</w:t>
      </w:r>
      <w:r w:rsidRPr="001336C7">
        <w:t xml:space="preserve">. </w:t>
      </w:r>
      <w:r w:rsidRPr="001336C7">
        <w:rPr>
          <w:bCs/>
        </w:rPr>
        <w:t>Around two-thirds of those diagnosed with</w:t>
      </w:r>
      <w:r w:rsidRPr="001336C7">
        <w:t xml:space="preserve"> head and neck cancer will survive </w:t>
      </w:r>
      <w:r>
        <w:t>to five</w:t>
      </w:r>
      <w:r w:rsidRPr="001336C7">
        <w:t xml:space="preserve"> years </w:t>
      </w:r>
      <w:r>
        <w:t xml:space="preserve">after diagnosis </w:t>
      </w:r>
      <w:r w:rsidRPr="001336C7">
        <w:t>(64</w:t>
      </w:r>
      <w:r w:rsidR="00F64599">
        <w:t> percent</w:t>
      </w:r>
      <w:r w:rsidRPr="001336C7">
        <w:t xml:space="preserve"> Māori, 64</w:t>
      </w:r>
      <w:r w:rsidR="00F64599">
        <w:t> percent</w:t>
      </w:r>
      <w:r w:rsidRPr="001336C7">
        <w:t xml:space="preserve"> non-Māori) </w:t>
      </w:r>
      <w:r w:rsidRPr="001336C7">
        <w:rPr>
          <w:noProof/>
        </w:rPr>
        <w:t xml:space="preserve">(Soeberg </w:t>
      </w:r>
      <w:r w:rsidR="00C338E8">
        <w:rPr>
          <w:noProof/>
        </w:rPr>
        <w:t>et al</w:t>
      </w:r>
      <w:r w:rsidR="003B51F4">
        <w:rPr>
          <w:noProof/>
        </w:rPr>
        <w:t xml:space="preserve"> 2</w:t>
      </w:r>
      <w:r w:rsidRPr="001336C7">
        <w:rPr>
          <w:noProof/>
        </w:rPr>
        <w:t>012)</w:t>
      </w:r>
      <w:r w:rsidRPr="001336C7">
        <w:t xml:space="preserve">. There is currently a lack of robust stage-specific survival data for head and neck cancer in </w:t>
      </w:r>
      <w:r>
        <w:t>Aotearoa</w:t>
      </w:r>
      <w:r w:rsidRPr="001336C7">
        <w:t>. Based on estimates from 2001</w:t>
      </w:r>
      <w:r>
        <w:t>–</w:t>
      </w:r>
      <w:r w:rsidRPr="001336C7">
        <w:t>2004, Māori head and neck cancer patients had 37</w:t>
      </w:r>
      <w:r w:rsidR="00F64599">
        <w:t> percent</w:t>
      </w:r>
      <w:r w:rsidRPr="001336C7">
        <w:t xml:space="preserve"> greater excess mortality than non-Māori patients </w:t>
      </w:r>
      <w:r w:rsidRPr="001336C7">
        <w:rPr>
          <w:noProof/>
        </w:rPr>
        <w:t xml:space="preserve">(Soeberg </w:t>
      </w:r>
      <w:r w:rsidR="00C338E8">
        <w:rPr>
          <w:noProof/>
        </w:rPr>
        <w:t>et al</w:t>
      </w:r>
      <w:r w:rsidR="003B51F4">
        <w:rPr>
          <w:noProof/>
        </w:rPr>
        <w:t xml:space="preserve"> 2</w:t>
      </w:r>
      <w:r w:rsidRPr="001336C7">
        <w:rPr>
          <w:noProof/>
        </w:rPr>
        <w:t>012)</w:t>
      </w:r>
      <w:r w:rsidRPr="001336C7">
        <w:t>.</w:t>
      </w:r>
    </w:p>
    <w:p w14:paraId="4BD2906D" w14:textId="77777777" w:rsidR="00C338E8" w:rsidRDefault="00C338E8" w:rsidP="006F1A1B"/>
    <w:p w14:paraId="67FB7206" w14:textId="77777777" w:rsidR="00C338E8" w:rsidRDefault="00B12E4F" w:rsidP="006F1A1B">
      <w:r w:rsidRPr="001336C7">
        <w:t xml:space="preserve">The size of the eligible population </w:t>
      </w:r>
      <w:r>
        <w:t>was unable to be estimated</w:t>
      </w:r>
      <w:r w:rsidRPr="001336C7">
        <w:t>, and the magnitude of benefit is an overall survival gain of 2.4 months.</w:t>
      </w:r>
    </w:p>
    <w:p w14:paraId="34523482" w14:textId="77777777" w:rsidR="00C338E8" w:rsidRDefault="00C338E8" w:rsidP="006F1A1B"/>
    <w:p w14:paraId="50B54162" w14:textId="002E2D13" w:rsidR="00C338E8" w:rsidRDefault="00B12E4F" w:rsidP="000A08B7">
      <w:pPr>
        <w:pStyle w:val="Heading4"/>
      </w:pPr>
      <w:bookmarkStart w:id="274" w:name="_Toc100739042"/>
      <w:r>
        <w:lastRenderedPageBreak/>
        <w:t>Melanoma s</w:t>
      </w:r>
      <w:r w:rsidRPr="001336C7">
        <w:t>kin cancer</w:t>
      </w:r>
      <w:r>
        <w:t xml:space="preserve"> gaps </w:t>
      </w:r>
      <w:bookmarkEnd w:id="274"/>
    </w:p>
    <w:p w14:paraId="549A247E" w14:textId="77777777" w:rsidR="00C338E8" w:rsidRPr="006F1A1B" w:rsidRDefault="00B12E4F" w:rsidP="009136D8">
      <w:pPr>
        <w:keepNext/>
        <w:keepLines/>
      </w:pPr>
      <w:r w:rsidRPr="001336C7">
        <w:t xml:space="preserve">There were four gaps in medicines </w:t>
      </w:r>
      <w:r>
        <w:t xml:space="preserve">funding </w:t>
      </w:r>
      <w:r w:rsidRPr="001336C7">
        <w:t xml:space="preserve">for skin cancer that </w:t>
      </w:r>
      <w:r>
        <w:t>were defined by ESMO</w:t>
      </w:r>
      <w:r w:rsidR="006F1A1B">
        <w:noBreakHyphen/>
      </w:r>
      <w:r>
        <w:t xml:space="preserve">MCBS as likely </w:t>
      </w:r>
      <w:r w:rsidRPr="001336C7">
        <w:t xml:space="preserve">to have substantial clinical benefit. Two gaps were in the curative setting and two in the non-curative setting. All the gaps </w:t>
      </w:r>
      <w:r>
        <w:t>were in</w:t>
      </w:r>
      <w:r w:rsidRPr="001336C7">
        <w:t xml:space="preserve"> stage III or IV melanoma, and additionally two of the gaps were for a particular tumour mutation called BRAF. There were nine medicines represented by these gaps: </w:t>
      </w:r>
      <w:r w:rsidRPr="006F1A1B">
        <w:t>some medicines were used in combination, and in some instances, there were multiple medicines that could address the same gap.</w:t>
      </w:r>
    </w:p>
    <w:p w14:paraId="3876D216" w14:textId="77777777" w:rsidR="00C338E8" w:rsidRDefault="00C338E8" w:rsidP="009136D8">
      <w:pPr>
        <w:keepNext/>
        <w:keepLines/>
      </w:pPr>
    </w:p>
    <w:p w14:paraId="41666771" w14:textId="53DCDDC7" w:rsidR="00B12E4F" w:rsidRDefault="006F1A1B" w:rsidP="006F1A1B">
      <w:pPr>
        <w:pStyle w:val="Table"/>
      </w:pPr>
      <w:bookmarkStart w:id="275" w:name="_Toc101365605"/>
      <w:r>
        <w:t>Table </w:t>
      </w:r>
      <w:r w:rsidR="0056499C">
        <w:fldChar w:fldCharType="begin"/>
      </w:r>
      <w:r w:rsidR="0056499C">
        <w:instrText xml:space="preserve"> SEQ Table \* ARABIC </w:instrText>
      </w:r>
      <w:r w:rsidR="0056499C">
        <w:fldChar w:fldCharType="separate"/>
      </w:r>
      <w:r w:rsidR="00386819">
        <w:rPr>
          <w:noProof/>
        </w:rPr>
        <w:t>11</w:t>
      </w:r>
      <w:r w:rsidR="0056499C">
        <w:rPr>
          <w:noProof/>
        </w:rPr>
        <w:fldChar w:fldCharType="end"/>
      </w:r>
      <w:r w:rsidR="00B12E4F" w:rsidRPr="001336C7">
        <w:t xml:space="preserve">: </w:t>
      </w:r>
      <w:r w:rsidR="00B12E4F">
        <w:t>S</w:t>
      </w:r>
      <w:r w:rsidR="00B12E4F" w:rsidRPr="001336C7">
        <w:t>kin cancer gaps</w:t>
      </w:r>
      <w:bookmarkEnd w:id="275"/>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1701"/>
        <w:gridCol w:w="1304"/>
        <w:gridCol w:w="1616"/>
        <w:gridCol w:w="1616"/>
      </w:tblGrid>
      <w:tr w:rsidR="00F64599" w:rsidRPr="00184030" w14:paraId="4645F2BF" w14:textId="77777777" w:rsidTr="000861AF">
        <w:trPr>
          <w:cantSplit/>
        </w:trPr>
        <w:tc>
          <w:tcPr>
            <w:tcW w:w="1843" w:type="dxa"/>
            <w:tcBorders>
              <w:top w:val="nil"/>
              <w:bottom w:val="nil"/>
            </w:tcBorders>
            <w:shd w:val="clear" w:color="auto" w:fill="C2D9BA"/>
          </w:tcPr>
          <w:p w14:paraId="109B1E8A" w14:textId="77777777" w:rsidR="00F64599" w:rsidRPr="00184030" w:rsidRDefault="00F64599" w:rsidP="00F64599">
            <w:pPr>
              <w:pStyle w:val="TableText"/>
              <w:rPr>
                <w:b/>
              </w:rPr>
            </w:pPr>
            <w:r w:rsidRPr="00184030">
              <w:rPr>
                <w:b/>
              </w:rPr>
              <w:t>Indication</w:t>
            </w:r>
          </w:p>
        </w:tc>
        <w:tc>
          <w:tcPr>
            <w:tcW w:w="1701" w:type="dxa"/>
            <w:tcBorders>
              <w:top w:val="nil"/>
              <w:bottom w:val="nil"/>
            </w:tcBorders>
            <w:shd w:val="clear" w:color="auto" w:fill="C2D9BA"/>
          </w:tcPr>
          <w:p w14:paraId="29EF485C" w14:textId="77777777" w:rsidR="00F64599" w:rsidRPr="00184030" w:rsidRDefault="00F64599" w:rsidP="006F1A1B">
            <w:pPr>
              <w:pStyle w:val="TableText"/>
              <w:rPr>
                <w:b/>
              </w:rPr>
            </w:pPr>
            <w:r w:rsidRPr="00184030">
              <w:rPr>
                <w:b/>
              </w:rPr>
              <w:t>Medicine/regimen</w:t>
            </w:r>
          </w:p>
        </w:tc>
        <w:tc>
          <w:tcPr>
            <w:tcW w:w="1304" w:type="dxa"/>
            <w:tcBorders>
              <w:top w:val="nil"/>
              <w:bottom w:val="nil"/>
            </w:tcBorders>
            <w:shd w:val="clear" w:color="auto" w:fill="C2D9BA"/>
          </w:tcPr>
          <w:p w14:paraId="5BB7BC0D" w14:textId="77777777" w:rsidR="00F64599" w:rsidRPr="00184030" w:rsidRDefault="00F64599" w:rsidP="00F64599">
            <w:pPr>
              <w:pStyle w:val="TableText"/>
              <w:jc w:val="center"/>
              <w:rPr>
                <w:b/>
              </w:rPr>
            </w:pPr>
            <w:r w:rsidRPr="00184030">
              <w:rPr>
                <w:b/>
              </w:rPr>
              <w:t>ESMO-MCBS</w:t>
            </w:r>
          </w:p>
        </w:tc>
        <w:tc>
          <w:tcPr>
            <w:tcW w:w="1616" w:type="dxa"/>
            <w:tcBorders>
              <w:top w:val="nil"/>
              <w:bottom w:val="nil"/>
            </w:tcBorders>
            <w:shd w:val="clear" w:color="auto" w:fill="C2D9BA"/>
          </w:tcPr>
          <w:p w14:paraId="32B61544" w14:textId="77777777" w:rsidR="00F64599" w:rsidRPr="00184030" w:rsidRDefault="00F64599" w:rsidP="00F64599">
            <w:pPr>
              <w:pStyle w:val="TableText"/>
              <w:jc w:val="center"/>
              <w:rPr>
                <w:b/>
              </w:rPr>
            </w:pPr>
            <w:r w:rsidRPr="00184030">
              <w:rPr>
                <w:b/>
              </w:rPr>
              <w:t>Pharmac status at time of analysis</w:t>
            </w:r>
          </w:p>
        </w:tc>
        <w:tc>
          <w:tcPr>
            <w:tcW w:w="1616" w:type="dxa"/>
            <w:tcBorders>
              <w:top w:val="nil"/>
              <w:bottom w:val="nil"/>
            </w:tcBorders>
            <w:shd w:val="clear" w:color="auto" w:fill="C2D9BA"/>
          </w:tcPr>
          <w:p w14:paraId="0E5AA3AE" w14:textId="77777777" w:rsidR="00F64599" w:rsidRPr="00184030" w:rsidRDefault="00F64599" w:rsidP="00F64599">
            <w:pPr>
              <w:pStyle w:val="TableText"/>
              <w:jc w:val="center"/>
              <w:rPr>
                <w:b/>
              </w:rPr>
            </w:pPr>
            <w:r w:rsidRPr="00184030">
              <w:rPr>
                <w:b/>
              </w:rPr>
              <w:t>Appendix table for further detail</w:t>
            </w:r>
          </w:p>
        </w:tc>
      </w:tr>
      <w:tr w:rsidR="006F1A1B" w14:paraId="581ED736" w14:textId="77777777" w:rsidTr="000861AF">
        <w:trPr>
          <w:cantSplit/>
        </w:trPr>
        <w:tc>
          <w:tcPr>
            <w:tcW w:w="1843" w:type="dxa"/>
            <w:vMerge w:val="restart"/>
            <w:tcBorders>
              <w:top w:val="nil"/>
            </w:tcBorders>
            <w:shd w:val="clear" w:color="auto" w:fill="auto"/>
          </w:tcPr>
          <w:p w14:paraId="047E6D7F" w14:textId="77777777" w:rsidR="006F1A1B" w:rsidRPr="001336C7" w:rsidRDefault="006F1A1B" w:rsidP="000861AF">
            <w:pPr>
              <w:pStyle w:val="TableText"/>
            </w:pPr>
            <w:r w:rsidRPr="001336C7">
              <w:t>Melanoma, stage III (or IV), adjuvant to surgery</w:t>
            </w:r>
            <w:r>
              <w:t xml:space="preserve"> – curative intent</w:t>
            </w:r>
          </w:p>
        </w:tc>
        <w:tc>
          <w:tcPr>
            <w:tcW w:w="1701" w:type="dxa"/>
            <w:tcBorders>
              <w:top w:val="nil"/>
              <w:bottom w:val="nil"/>
            </w:tcBorders>
            <w:shd w:val="clear" w:color="auto" w:fill="auto"/>
          </w:tcPr>
          <w:p w14:paraId="013B4807" w14:textId="77777777" w:rsidR="006F1A1B" w:rsidRDefault="006F1A1B" w:rsidP="000861AF">
            <w:pPr>
              <w:pStyle w:val="TableText"/>
            </w:pPr>
            <w:r w:rsidRPr="001336C7">
              <w:t>Nivolumab</w:t>
            </w:r>
          </w:p>
          <w:p w14:paraId="5A46F26F" w14:textId="77777777" w:rsidR="006F1A1B" w:rsidRPr="001336C7" w:rsidRDefault="006F1A1B" w:rsidP="006F1A1B">
            <w:pPr>
              <w:pStyle w:val="TableText"/>
            </w:pPr>
            <w:r w:rsidRPr="001336C7">
              <w:t>OR</w:t>
            </w:r>
          </w:p>
        </w:tc>
        <w:tc>
          <w:tcPr>
            <w:tcW w:w="1304" w:type="dxa"/>
            <w:vMerge w:val="restart"/>
            <w:tcBorders>
              <w:top w:val="nil"/>
            </w:tcBorders>
            <w:shd w:val="clear" w:color="auto" w:fill="auto"/>
          </w:tcPr>
          <w:p w14:paraId="6ECF6783" w14:textId="77777777" w:rsidR="006F1A1B" w:rsidRPr="001336C7" w:rsidRDefault="006F1A1B" w:rsidP="006F1A1B">
            <w:pPr>
              <w:pStyle w:val="TableText"/>
              <w:jc w:val="center"/>
            </w:pPr>
            <w:r w:rsidRPr="001336C7">
              <w:t>A</w:t>
            </w:r>
          </w:p>
        </w:tc>
        <w:tc>
          <w:tcPr>
            <w:tcW w:w="1616" w:type="dxa"/>
            <w:tcBorders>
              <w:top w:val="nil"/>
              <w:bottom w:val="nil"/>
            </w:tcBorders>
            <w:shd w:val="clear" w:color="auto" w:fill="auto"/>
          </w:tcPr>
          <w:p w14:paraId="25C2F411" w14:textId="77777777" w:rsidR="006F1A1B" w:rsidRPr="001336C7" w:rsidRDefault="006F1A1B" w:rsidP="006F1A1B">
            <w:pPr>
              <w:pStyle w:val="TableText"/>
            </w:pPr>
            <w:r w:rsidRPr="001336C7">
              <w:t>No application received</w:t>
            </w:r>
          </w:p>
        </w:tc>
        <w:tc>
          <w:tcPr>
            <w:tcW w:w="1616" w:type="dxa"/>
            <w:tcBorders>
              <w:top w:val="nil"/>
              <w:bottom w:val="nil"/>
            </w:tcBorders>
            <w:shd w:val="clear" w:color="auto" w:fill="auto"/>
          </w:tcPr>
          <w:p w14:paraId="431A042C" w14:textId="77777777" w:rsidR="006F1A1B" w:rsidRPr="001336C7" w:rsidRDefault="0056499C" w:rsidP="006F1A1B">
            <w:pPr>
              <w:pStyle w:val="TableText"/>
              <w:jc w:val="center"/>
              <w:rPr>
                <w:highlight w:val="yellow"/>
              </w:rPr>
            </w:pPr>
            <w:hyperlink w:anchor="Appendix_7_Table_7point17" w:history="1">
              <w:r w:rsidR="006F1A1B" w:rsidRPr="00FD3C47">
                <w:rPr>
                  <w:rStyle w:val="Hyperlink"/>
                  <w:rFonts w:eastAsia="MS Gothic"/>
                </w:rPr>
                <w:t>7.17</w:t>
              </w:r>
            </w:hyperlink>
          </w:p>
        </w:tc>
      </w:tr>
      <w:tr w:rsidR="006F1A1B" w14:paraId="19AA0403" w14:textId="77777777" w:rsidTr="000861AF">
        <w:trPr>
          <w:cantSplit/>
        </w:trPr>
        <w:tc>
          <w:tcPr>
            <w:tcW w:w="1843" w:type="dxa"/>
            <w:vMerge/>
            <w:tcBorders>
              <w:bottom w:val="single" w:sz="4" w:space="0" w:color="C2D9BA"/>
            </w:tcBorders>
            <w:shd w:val="clear" w:color="auto" w:fill="auto"/>
          </w:tcPr>
          <w:p w14:paraId="32331A8B" w14:textId="77777777" w:rsidR="006F1A1B" w:rsidRPr="001336C7" w:rsidRDefault="006F1A1B" w:rsidP="000861AF">
            <w:pPr>
              <w:pStyle w:val="TableText"/>
            </w:pPr>
          </w:p>
        </w:tc>
        <w:tc>
          <w:tcPr>
            <w:tcW w:w="1701" w:type="dxa"/>
            <w:tcBorders>
              <w:top w:val="nil"/>
              <w:bottom w:val="single" w:sz="4" w:space="0" w:color="C2D9BA"/>
            </w:tcBorders>
            <w:shd w:val="clear" w:color="auto" w:fill="auto"/>
          </w:tcPr>
          <w:p w14:paraId="6D8E1DDC" w14:textId="77777777" w:rsidR="006F1A1B" w:rsidRPr="001336C7" w:rsidRDefault="006F1A1B" w:rsidP="006F1A1B">
            <w:pPr>
              <w:pStyle w:val="TableText"/>
            </w:pPr>
            <w:r w:rsidRPr="001336C7">
              <w:t>Pembrolizumab</w:t>
            </w:r>
          </w:p>
        </w:tc>
        <w:tc>
          <w:tcPr>
            <w:tcW w:w="1304" w:type="dxa"/>
            <w:vMerge/>
            <w:tcBorders>
              <w:bottom w:val="single" w:sz="4" w:space="0" w:color="C2D9BA"/>
            </w:tcBorders>
            <w:shd w:val="clear" w:color="auto" w:fill="auto"/>
          </w:tcPr>
          <w:p w14:paraId="001C7930" w14:textId="77777777" w:rsidR="006F1A1B" w:rsidRPr="001336C7" w:rsidRDefault="006F1A1B" w:rsidP="006F1A1B">
            <w:pPr>
              <w:pStyle w:val="TableText"/>
              <w:jc w:val="center"/>
            </w:pPr>
          </w:p>
        </w:tc>
        <w:tc>
          <w:tcPr>
            <w:tcW w:w="1616" w:type="dxa"/>
            <w:tcBorders>
              <w:top w:val="nil"/>
              <w:bottom w:val="single" w:sz="4" w:space="0" w:color="C2D9BA"/>
            </w:tcBorders>
            <w:shd w:val="clear" w:color="auto" w:fill="auto"/>
          </w:tcPr>
          <w:p w14:paraId="5F61C814" w14:textId="77777777" w:rsidR="006F1A1B" w:rsidRPr="001336C7" w:rsidRDefault="006F1A1B" w:rsidP="006F1A1B">
            <w:pPr>
              <w:pStyle w:val="TableText"/>
            </w:pPr>
            <w:r>
              <w:t>Application deferred (not yet ranked)</w:t>
            </w:r>
            <w:r w:rsidRPr="006F1A1B">
              <w:rPr>
                <w:rStyle w:val="FootnoteReference"/>
                <w:rFonts w:eastAsia="MS Gothic"/>
              </w:rPr>
              <w:footnoteReference w:id="22"/>
            </w:r>
          </w:p>
        </w:tc>
        <w:tc>
          <w:tcPr>
            <w:tcW w:w="1616" w:type="dxa"/>
            <w:tcBorders>
              <w:top w:val="nil"/>
              <w:bottom w:val="single" w:sz="4" w:space="0" w:color="C2D9BA"/>
            </w:tcBorders>
            <w:shd w:val="clear" w:color="auto" w:fill="auto"/>
          </w:tcPr>
          <w:p w14:paraId="45459676" w14:textId="77777777" w:rsidR="006F1A1B" w:rsidRDefault="006F1A1B" w:rsidP="006F1A1B">
            <w:pPr>
              <w:pStyle w:val="TableText"/>
              <w:jc w:val="center"/>
            </w:pPr>
          </w:p>
        </w:tc>
      </w:tr>
      <w:tr w:rsidR="006F1A1B" w14:paraId="3BFEBA5D" w14:textId="77777777" w:rsidTr="000861AF">
        <w:trPr>
          <w:cantSplit/>
        </w:trPr>
        <w:tc>
          <w:tcPr>
            <w:tcW w:w="1843" w:type="dxa"/>
            <w:tcBorders>
              <w:top w:val="nil"/>
              <w:bottom w:val="single" w:sz="4" w:space="0" w:color="C2D9BA"/>
            </w:tcBorders>
            <w:shd w:val="clear" w:color="auto" w:fill="auto"/>
          </w:tcPr>
          <w:p w14:paraId="2A68A415" w14:textId="77777777" w:rsidR="006F1A1B" w:rsidRPr="001336C7" w:rsidRDefault="006F1A1B" w:rsidP="000861AF">
            <w:pPr>
              <w:pStyle w:val="TableText"/>
            </w:pPr>
            <w:r w:rsidRPr="001336C7">
              <w:t>Melanoma, stage III, BRAF +ve adjuvant to surgery</w:t>
            </w:r>
            <w:r>
              <w:t xml:space="preserve"> – curative intent</w:t>
            </w:r>
          </w:p>
        </w:tc>
        <w:tc>
          <w:tcPr>
            <w:tcW w:w="1701" w:type="dxa"/>
            <w:tcBorders>
              <w:top w:val="nil"/>
              <w:bottom w:val="single" w:sz="4" w:space="0" w:color="C2D9BA"/>
            </w:tcBorders>
            <w:shd w:val="clear" w:color="auto" w:fill="auto"/>
          </w:tcPr>
          <w:p w14:paraId="0B6B8DED" w14:textId="77777777" w:rsidR="006F1A1B" w:rsidRPr="001336C7" w:rsidRDefault="006F1A1B" w:rsidP="000861AF">
            <w:pPr>
              <w:pStyle w:val="TableText"/>
            </w:pPr>
            <w:r w:rsidRPr="001336C7">
              <w:t>Dabrafenib with trametinib</w:t>
            </w:r>
          </w:p>
        </w:tc>
        <w:tc>
          <w:tcPr>
            <w:tcW w:w="1304" w:type="dxa"/>
            <w:tcBorders>
              <w:top w:val="nil"/>
              <w:bottom w:val="single" w:sz="4" w:space="0" w:color="C2D9BA"/>
            </w:tcBorders>
            <w:shd w:val="clear" w:color="auto" w:fill="auto"/>
          </w:tcPr>
          <w:p w14:paraId="38307DD6" w14:textId="77777777" w:rsidR="006F1A1B" w:rsidRPr="001336C7" w:rsidRDefault="006F1A1B" w:rsidP="006F1A1B">
            <w:pPr>
              <w:pStyle w:val="TableText"/>
              <w:jc w:val="center"/>
            </w:pPr>
            <w:r w:rsidRPr="001336C7">
              <w:t>A</w:t>
            </w:r>
          </w:p>
        </w:tc>
        <w:tc>
          <w:tcPr>
            <w:tcW w:w="1616" w:type="dxa"/>
            <w:tcBorders>
              <w:top w:val="nil"/>
              <w:bottom w:val="single" w:sz="4" w:space="0" w:color="C2D9BA"/>
            </w:tcBorders>
            <w:shd w:val="clear" w:color="auto" w:fill="auto"/>
          </w:tcPr>
          <w:p w14:paraId="3758522F" w14:textId="77777777" w:rsidR="006F1A1B" w:rsidRPr="001336C7" w:rsidRDefault="006F1A1B" w:rsidP="000861AF">
            <w:pPr>
              <w:pStyle w:val="TableText"/>
            </w:pPr>
            <w:r w:rsidRPr="001336C7">
              <w:t>No funding application received</w:t>
            </w:r>
          </w:p>
        </w:tc>
        <w:tc>
          <w:tcPr>
            <w:tcW w:w="1616" w:type="dxa"/>
            <w:tcBorders>
              <w:top w:val="nil"/>
              <w:bottom w:val="single" w:sz="4" w:space="0" w:color="C2D9BA"/>
            </w:tcBorders>
            <w:shd w:val="clear" w:color="auto" w:fill="auto"/>
          </w:tcPr>
          <w:p w14:paraId="5255ADF0" w14:textId="77777777" w:rsidR="006F1A1B" w:rsidRPr="001336C7" w:rsidRDefault="0056499C" w:rsidP="006F1A1B">
            <w:pPr>
              <w:pStyle w:val="TableText"/>
              <w:jc w:val="center"/>
              <w:rPr>
                <w:highlight w:val="yellow"/>
              </w:rPr>
            </w:pPr>
            <w:hyperlink w:anchor="Appendix_7_Table_7point18" w:history="1">
              <w:r w:rsidR="006F1A1B" w:rsidRPr="00FD3C47">
                <w:rPr>
                  <w:rStyle w:val="Hyperlink"/>
                  <w:rFonts w:eastAsia="MS Gothic"/>
                </w:rPr>
                <w:t>7.18</w:t>
              </w:r>
            </w:hyperlink>
          </w:p>
        </w:tc>
      </w:tr>
      <w:tr w:rsidR="006F1A1B" w14:paraId="2B25F49A" w14:textId="77777777" w:rsidTr="000861AF">
        <w:trPr>
          <w:cantSplit/>
        </w:trPr>
        <w:tc>
          <w:tcPr>
            <w:tcW w:w="1843" w:type="dxa"/>
            <w:tcBorders>
              <w:top w:val="nil"/>
              <w:bottom w:val="single" w:sz="4" w:space="0" w:color="C2D9BA"/>
            </w:tcBorders>
            <w:shd w:val="clear" w:color="auto" w:fill="auto"/>
          </w:tcPr>
          <w:p w14:paraId="36404406" w14:textId="77777777" w:rsidR="006F1A1B" w:rsidRPr="001336C7" w:rsidRDefault="006F1A1B" w:rsidP="000861AF">
            <w:pPr>
              <w:pStyle w:val="TableText"/>
            </w:pPr>
            <w:r w:rsidRPr="001336C7">
              <w:t>Melanoma, stage III or IV, unresectable, 1st line (induction)</w:t>
            </w:r>
            <w:r>
              <w:t xml:space="preserve"> – non-curative intent</w:t>
            </w:r>
          </w:p>
        </w:tc>
        <w:tc>
          <w:tcPr>
            <w:tcW w:w="1701" w:type="dxa"/>
            <w:tcBorders>
              <w:top w:val="nil"/>
              <w:bottom w:val="single" w:sz="4" w:space="0" w:color="C2D9BA"/>
            </w:tcBorders>
            <w:shd w:val="clear" w:color="auto" w:fill="auto"/>
          </w:tcPr>
          <w:p w14:paraId="5A7E6388" w14:textId="77777777" w:rsidR="006F1A1B" w:rsidRPr="001336C7" w:rsidRDefault="006F1A1B" w:rsidP="000861AF">
            <w:pPr>
              <w:pStyle w:val="TableText"/>
            </w:pPr>
            <w:r w:rsidRPr="001336C7">
              <w:t>Nivolumab with ipilimumab</w:t>
            </w:r>
          </w:p>
        </w:tc>
        <w:tc>
          <w:tcPr>
            <w:tcW w:w="1304" w:type="dxa"/>
            <w:tcBorders>
              <w:top w:val="nil"/>
              <w:bottom w:val="single" w:sz="4" w:space="0" w:color="C2D9BA"/>
            </w:tcBorders>
            <w:shd w:val="clear" w:color="auto" w:fill="auto"/>
          </w:tcPr>
          <w:p w14:paraId="3DBD51F1" w14:textId="77777777" w:rsidR="006F1A1B" w:rsidRPr="001336C7" w:rsidRDefault="006F1A1B" w:rsidP="006F1A1B">
            <w:pPr>
              <w:pStyle w:val="TableText"/>
              <w:jc w:val="center"/>
            </w:pPr>
            <w:r w:rsidRPr="001336C7">
              <w:t>Not available</w:t>
            </w:r>
          </w:p>
        </w:tc>
        <w:tc>
          <w:tcPr>
            <w:tcW w:w="1616" w:type="dxa"/>
            <w:tcBorders>
              <w:top w:val="nil"/>
              <w:bottom w:val="single" w:sz="4" w:space="0" w:color="C2D9BA"/>
            </w:tcBorders>
            <w:shd w:val="clear" w:color="auto" w:fill="auto"/>
          </w:tcPr>
          <w:p w14:paraId="22FD55DB" w14:textId="77777777" w:rsidR="006F1A1B" w:rsidRPr="001336C7" w:rsidRDefault="006F1A1B" w:rsidP="000861AF">
            <w:pPr>
              <w:pStyle w:val="TableText"/>
            </w:pPr>
            <w:r w:rsidRPr="001336C7">
              <w:t>Ranked as an option for decline</w:t>
            </w:r>
          </w:p>
        </w:tc>
        <w:tc>
          <w:tcPr>
            <w:tcW w:w="1616" w:type="dxa"/>
            <w:tcBorders>
              <w:top w:val="nil"/>
              <w:bottom w:val="single" w:sz="4" w:space="0" w:color="C2D9BA"/>
            </w:tcBorders>
            <w:shd w:val="clear" w:color="auto" w:fill="auto"/>
          </w:tcPr>
          <w:p w14:paraId="6BD37B16" w14:textId="77777777" w:rsidR="006F1A1B" w:rsidRPr="001336C7" w:rsidRDefault="0056499C" w:rsidP="006F1A1B">
            <w:pPr>
              <w:pStyle w:val="TableText"/>
              <w:jc w:val="center"/>
            </w:pPr>
            <w:hyperlink w:anchor="Appendix_7_Table_7point19" w:history="1">
              <w:r w:rsidR="006F1A1B" w:rsidRPr="00FD3C47">
                <w:rPr>
                  <w:rStyle w:val="Hyperlink"/>
                  <w:rFonts w:eastAsia="MS Gothic"/>
                </w:rPr>
                <w:t>7.19</w:t>
              </w:r>
            </w:hyperlink>
          </w:p>
        </w:tc>
      </w:tr>
      <w:tr w:rsidR="006F1A1B" w14:paraId="6543856D" w14:textId="77777777" w:rsidTr="000861AF">
        <w:trPr>
          <w:cantSplit/>
        </w:trPr>
        <w:tc>
          <w:tcPr>
            <w:tcW w:w="1843" w:type="dxa"/>
            <w:vMerge w:val="restart"/>
            <w:tcBorders>
              <w:top w:val="nil"/>
            </w:tcBorders>
            <w:shd w:val="clear" w:color="auto" w:fill="auto"/>
          </w:tcPr>
          <w:p w14:paraId="6A258A4A" w14:textId="77777777" w:rsidR="006F1A1B" w:rsidRPr="001336C7" w:rsidRDefault="006F1A1B" w:rsidP="000861AF">
            <w:pPr>
              <w:pStyle w:val="TableText"/>
            </w:pPr>
            <w:r w:rsidRPr="001336C7">
              <w:t>Melanoma, stage III or IV, BRAF +ve, unresectable, 1st line</w:t>
            </w:r>
            <w:r>
              <w:t xml:space="preserve"> – non-curative intent</w:t>
            </w:r>
          </w:p>
        </w:tc>
        <w:tc>
          <w:tcPr>
            <w:tcW w:w="1701" w:type="dxa"/>
            <w:tcBorders>
              <w:top w:val="nil"/>
              <w:bottom w:val="nil"/>
            </w:tcBorders>
            <w:shd w:val="clear" w:color="auto" w:fill="auto"/>
          </w:tcPr>
          <w:p w14:paraId="3D372AA0" w14:textId="77777777" w:rsidR="006F1A1B" w:rsidRPr="001336C7" w:rsidRDefault="006F1A1B" w:rsidP="006F1A1B">
            <w:pPr>
              <w:pStyle w:val="TableText"/>
            </w:pPr>
            <w:r w:rsidRPr="001336C7">
              <w:t>Encorafenib with binimetinib</w:t>
            </w:r>
          </w:p>
          <w:p w14:paraId="086B0BA1" w14:textId="77777777" w:rsidR="006F1A1B" w:rsidRPr="001336C7" w:rsidRDefault="006F1A1B" w:rsidP="000861AF">
            <w:pPr>
              <w:pStyle w:val="TableText"/>
            </w:pPr>
            <w:r>
              <w:t>OR</w:t>
            </w:r>
          </w:p>
        </w:tc>
        <w:tc>
          <w:tcPr>
            <w:tcW w:w="1304" w:type="dxa"/>
            <w:tcBorders>
              <w:top w:val="nil"/>
              <w:bottom w:val="nil"/>
            </w:tcBorders>
            <w:shd w:val="clear" w:color="auto" w:fill="auto"/>
          </w:tcPr>
          <w:p w14:paraId="0DA9C841" w14:textId="77777777" w:rsidR="006F1A1B" w:rsidRPr="001336C7" w:rsidRDefault="006F1A1B" w:rsidP="006F1A1B">
            <w:pPr>
              <w:pStyle w:val="TableText"/>
              <w:jc w:val="center"/>
            </w:pPr>
            <w:r w:rsidRPr="001336C7">
              <w:t>4</w:t>
            </w:r>
          </w:p>
        </w:tc>
        <w:tc>
          <w:tcPr>
            <w:tcW w:w="1616" w:type="dxa"/>
            <w:vMerge w:val="restart"/>
            <w:tcBorders>
              <w:top w:val="nil"/>
            </w:tcBorders>
            <w:shd w:val="clear" w:color="auto" w:fill="auto"/>
          </w:tcPr>
          <w:p w14:paraId="457411E5" w14:textId="77777777" w:rsidR="006F1A1B" w:rsidRPr="001336C7" w:rsidRDefault="006F1A1B" w:rsidP="000861AF">
            <w:pPr>
              <w:pStyle w:val="TableText"/>
            </w:pPr>
            <w:r>
              <w:t>No application received</w:t>
            </w:r>
          </w:p>
        </w:tc>
        <w:tc>
          <w:tcPr>
            <w:tcW w:w="1616" w:type="dxa"/>
            <w:vMerge w:val="restart"/>
            <w:tcBorders>
              <w:top w:val="nil"/>
            </w:tcBorders>
            <w:shd w:val="clear" w:color="auto" w:fill="auto"/>
          </w:tcPr>
          <w:p w14:paraId="10DF6572" w14:textId="77777777" w:rsidR="006F1A1B" w:rsidRPr="001336C7" w:rsidRDefault="0056499C" w:rsidP="006F1A1B">
            <w:pPr>
              <w:pStyle w:val="TableText"/>
              <w:jc w:val="center"/>
              <w:rPr>
                <w:highlight w:val="yellow"/>
              </w:rPr>
            </w:pPr>
            <w:hyperlink w:anchor="Appendix_7_Table_7point20" w:history="1">
              <w:r w:rsidR="006F1A1B" w:rsidRPr="00FD3C47">
                <w:rPr>
                  <w:rStyle w:val="Hyperlink"/>
                  <w:rFonts w:eastAsia="MS Gothic"/>
                </w:rPr>
                <w:t>7.20</w:t>
              </w:r>
            </w:hyperlink>
          </w:p>
        </w:tc>
      </w:tr>
      <w:tr w:rsidR="006F1A1B" w14:paraId="18848F58" w14:textId="77777777" w:rsidTr="000861AF">
        <w:trPr>
          <w:cantSplit/>
        </w:trPr>
        <w:tc>
          <w:tcPr>
            <w:tcW w:w="1843" w:type="dxa"/>
            <w:vMerge/>
            <w:shd w:val="clear" w:color="auto" w:fill="auto"/>
          </w:tcPr>
          <w:p w14:paraId="6A629D95" w14:textId="77777777" w:rsidR="006F1A1B" w:rsidRPr="001336C7" w:rsidRDefault="006F1A1B" w:rsidP="000861AF">
            <w:pPr>
              <w:pStyle w:val="TableText"/>
            </w:pPr>
          </w:p>
        </w:tc>
        <w:tc>
          <w:tcPr>
            <w:tcW w:w="1701" w:type="dxa"/>
            <w:tcBorders>
              <w:top w:val="nil"/>
              <w:bottom w:val="nil"/>
            </w:tcBorders>
            <w:shd w:val="clear" w:color="auto" w:fill="auto"/>
          </w:tcPr>
          <w:p w14:paraId="6444480D" w14:textId="77777777" w:rsidR="006F1A1B" w:rsidRDefault="006F1A1B" w:rsidP="006F1A1B">
            <w:pPr>
              <w:pStyle w:val="TableText"/>
            </w:pPr>
            <w:r w:rsidRPr="001336C7">
              <w:t>Vemurafenib with cobimetinib</w:t>
            </w:r>
          </w:p>
          <w:p w14:paraId="2A8CFC48" w14:textId="77777777" w:rsidR="006F1A1B" w:rsidRPr="001336C7" w:rsidRDefault="006F1A1B" w:rsidP="006F1A1B">
            <w:pPr>
              <w:pStyle w:val="TableText"/>
            </w:pPr>
            <w:r w:rsidRPr="001336C7">
              <w:t>OR</w:t>
            </w:r>
          </w:p>
        </w:tc>
        <w:tc>
          <w:tcPr>
            <w:tcW w:w="1304" w:type="dxa"/>
            <w:tcBorders>
              <w:top w:val="nil"/>
              <w:bottom w:val="nil"/>
            </w:tcBorders>
            <w:shd w:val="clear" w:color="auto" w:fill="auto"/>
          </w:tcPr>
          <w:p w14:paraId="7DB71CA9" w14:textId="77777777" w:rsidR="006F1A1B" w:rsidRPr="001336C7" w:rsidRDefault="006F1A1B" w:rsidP="006F1A1B">
            <w:pPr>
              <w:pStyle w:val="TableText"/>
              <w:jc w:val="center"/>
            </w:pPr>
            <w:r w:rsidRPr="001336C7">
              <w:t>4</w:t>
            </w:r>
          </w:p>
        </w:tc>
        <w:tc>
          <w:tcPr>
            <w:tcW w:w="1616" w:type="dxa"/>
            <w:vMerge/>
            <w:shd w:val="clear" w:color="auto" w:fill="auto"/>
          </w:tcPr>
          <w:p w14:paraId="74D37CAC" w14:textId="77777777" w:rsidR="006F1A1B" w:rsidRDefault="006F1A1B" w:rsidP="000861AF">
            <w:pPr>
              <w:pStyle w:val="TableText"/>
            </w:pPr>
          </w:p>
        </w:tc>
        <w:tc>
          <w:tcPr>
            <w:tcW w:w="1616" w:type="dxa"/>
            <w:vMerge/>
            <w:shd w:val="clear" w:color="auto" w:fill="auto"/>
          </w:tcPr>
          <w:p w14:paraId="7062C74C" w14:textId="77777777" w:rsidR="006F1A1B" w:rsidRDefault="006F1A1B" w:rsidP="000861AF">
            <w:pPr>
              <w:pStyle w:val="TableText"/>
            </w:pPr>
          </w:p>
        </w:tc>
      </w:tr>
      <w:tr w:rsidR="006F1A1B" w14:paraId="4B3C1CAB" w14:textId="77777777" w:rsidTr="000861AF">
        <w:trPr>
          <w:cantSplit/>
        </w:trPr>
        <w:tc>
          <w:tcPr>
            <w:tcW w:w="1843" w:type="dxa"/>
            <w:vMerge/>
            <w:tcBorders>
              <w:bottom w:val="single" w:sz="4" w:space="0" w:color="C2D9BA"/>
            </w:tcBorders>
            <w:shd w:val="clear" w:color="auto" w:fill="auto"/>
          </w:tcPr>
          <w:p w14:paraId="307BE9A1" w14:textId="77777777" w:rsidR="006F1A1B" w:rsidRPr="001336C7" w:rsidRDefault="006F1A1B" w:rsidP="000861AF">
            <w:pPr>
              <w:pStyle w:val="TableText"/>
            </w:pPr>
          </w:p>
        </w:tc>
        <w:tc>
          <w:tcPr>
            <w:tcW w:w="1701" w:type="dxa"/>
            <w:tcBorders>
              <w:top w:val="nil"/>
              <w:bottom w:val="single" w:sz="4" w:space="0" w:color="C2D9BA"/>
            </w:tcBorders>
            <w:shd w:val="clear" w:color="auto" w:fill="auto"/>
          </w:tcPr>
          <w:p w14:paraId="1CBE83FB" w14:textId="77777777" w:rsidR="006F1A1B" w:rsidRPr="001336C7" w:rsidRDefault="006F1A1B" w:rsidP="006F1A1B">
            <w:pPr>
              <w:pStyle w:val="TableText"/>
            </w:pPr>
            <w:r w:rsidRPr="001336C7">
              <w:t>Dabrafenib with trametinib</w:t>
            </w:r>
          </w:p>
        </w:tc>
        <w:tc>
          <w:tcPr>
            <w:tcW w:w="1304" w:type="dxa"/>
            <w:tcBorders>
              <w:top w:val="nil"/>
              <w:bottom w:val="single" w:sz="4" w:space="0" w:color="C2D9BA"/>
            </w:tcBorders>
            <w:shd w:val="clear" w:color="auto" w:fill="auto"/>
          </w:tcPr>
          <w:p w14:paraId="53D9FA64" w14:textId="77777777" w:rsidR="006F1A1B" w:rsidRPr="001336C7" w:rsidRDefault="006F1A1B" w:rsidP="006F1A1B">
            <w:pPr>
              <w:pStyle w:val="TableText"/>
              <w:jc w:val="center"/>
            </w:pPr>
            <w:r w:rsidRPr="001336C7">
              <w:t>5</w:t>
            </w:r>
          </w:p>
        </w:tc>
        <w:tc>
          <w:tcPr>
            <w:tcW w:w="1616" w:type="dxa"/>
            <w:vMerge/>
            <w:tcBorders>
              <w:bottom w:val="single" w:sz="4" w:space="0" w:color="C2D9BA"/>
            </w:tcBorders>
            <w:shd w:val="clear" w:color="auto" w:fill="auto"/>
          </w:tcPr>
          <w:p w14:paraId="6C67AFBC" w14:textId="77777777" w:rsidR="006F1A1B" w:rsidRDefault="006F1A1B" w:rsidP="000861AF">
            <w:pPr>
              <w:pStyle w:val="TableText"/>
            </w:pPr>
          </w:p>
        </w:tc>
        <w:tc>
          <w:tcPr>
            <w:tcW w:w="1616" w:type="dxa"/>
            <w:vMerge/>
            <w:tcBorders>
              <w:bottom w:val="single" w:sz="4" w:space="0" w:color="C2D9BA"/>
            </w:tcBorders>
            <w:shd w:val="clear" w:color="auto" w:fill="auto"/>
          </w:tcPr>
          <w:p w14:paraId="60CD9E3B" w14:textId="77777777" w:rsidR="006F1A1B" w:rsidRDefault="006F1A1B" w:rsidP="000861AF">
            <w:pPr>
              <w:pStyle w:val="TableText"/>
            </w:pPr>
          </w:p>
        </w:tc>
      </w:tr>
    </w:tbl>
    <w:p w14:paraId="5C24A0CA" w14:textId="77777777" w:rsidR="00C338E8" w:rsidRDefault="00C338E8" w:rsidP="006F1A1B"/>
    <w:p w14:paraId="043948F7" w14:textId="77777777" w:rsidR="00C338E8" w:rsidRDefault="00B12E4F" w:rsidP="00B537E2">
      <w:pPr>
        <w:keepNext/>
        <w:keepLines/>
      </w:pPr>
      <w:r w:rsidRPr="001336C7">
        <w:lastRenderedPageBreak/>
        <w:t xml:space="preserve">Melanoma skin cancers are the fourth most common cancers diagnosed in </w:t>
      </w:r>
      <w:r>
        <w:t>Aotearoa</w:t>
      </w:r>
      <w:r w:rsidRPr="001336C7">
        <w:t xml:space="preserve">, with an average of 2,400 people diagnosed </w:t>
      </w:r>
      <w:r>
        <w:t>each</w:t>
      </w:r>
      <w:r w:rsidRPr="001336C7">
        <w:t xml:space="preserve"> year, including 46 Māori </w:t>
      </w:r>
      <w:r>
        <w:rPr>
          <w:noProof/>
        </w:rPr>
        <w:t>(</w:t>
      </w:r>
      <w:r w:rsidR="00F64599">
        <w:rPr>
          <w:noProof/>
        </w:rPr>
        <w:t>Te Aho</w:t>
      </w:r>
      <w:r>
        <w:rPr>
          <w:noProof/>
        </w:rPr>
        <w:t xml:space="preserve"> o </w:t>
      </w:r>
      <w:r w:rsidR="00B537E2">
        <w:rPr>
          <w:noProof/>
        </w:rPr>
        <w:t>Te Kahu</w:t>
      </w:r>
      <w:r>
        <w:rPr>
          <w:noProof/>
        </w:rPr>
        <w:t xml:space="preserve"> 2021a)</w:t>
      </w:r>
      <w:r w:rsidRPr="001336C7">
        <w:t xml:space="preserve">. The incidence of melanoma is over five times higher for non-Māori (primarily Europeans) compared </w:t>
      </w:r>
      <w:r>
        <w:t>with</w:t>
      </w:r>
      <w:r w:rsidRPr="001336C7">
        <w:t xml:space="preserve"> Māori. Similarly, the incidence of melanoma is considerably lower among Pacific peoples </w:t>
      </w:r>
      <w:r>
        <w:rPr>
          <w:noProof/>
        </w:rPr>
        <w:t xml:space="preserve">(Meredith </w:t>
      </w:r>
      <w:r w:rsidR="00C338E8">
        <w:rPr>
          <w:noProof/>
        </w:rPr>
        <w:t>et al</w:t>
      </w:r>
      <w:r w:rsidR="003B51F4">
        <w:rPr>
          <w:noProof/>
        </w:rPr>
        <w:t xml:space="preserve"> 2</w:t>
      </w:r>
      <w:r>
        <w:rPr>
          <w:noProof/>
        </w:rPr>
        <w:t>012)</w:t>
      </w:r>
      <w:r w:rsidRPr="001336C7">
        <w:t xml:space="preserve">. The vast majority of melanomas are diagnosed at a local stage. The gaps in the analysis apply to stage III and IV melanoma, and it is estimated that about </w:t>
      </w:r>
      <w:r>
        <w:t>9</w:t>
      </w:r>
      <w:r w:rsidR="00F64599">
        <w:t> percent</w:t>
      </w:r>
      <w:r w:rsidRPr="001336C7">
        <w:t xml:space="preserve"> of all melanomas (about 216</w:t>
      </w:r>
      <w:r w:rsidR="00B537E2">
        <w:t> </w:t>
      </w:r>
      <w:r w:rsidRPr="001336C7">
        <w:t>people) are diagnosed at these stages</w:t>
      </w:r>
      <w:r>
        <w:t xml:space="preserve"> </w:t>
      </w:r>
      <w:r>
        <w:rPr>
          <w:noProof/>
        </w:rPr>
        <w:t xml:space="preserve">(Gurney, Stanley, Jackson, </w:t>
      </w:r>
      <w:r w:rsidR="00C338E8">
        <w:rPr>
          <w:noProof/>
        </w:rPr>
        <w:t>et al</w:t>
      </w:r>
      <w:r w:rsidR="003B51F4">
        <w:rPr>
          <w:noProof/>
        </w:rPr>
        <w:t xml:space="preserve"> 2</w:t>
      </w:r>
      <w:r>
        <w:rPr>
          <w:noProof/>
        </w:rPr>
        <w:t>020)</w:t>
      </w:r>
      <w:r w:rsidRPr="001336C7">
        <w:t xml:space="preserve">. </w:t>
      </w:r>
      <w:r>
        <w:t>Melanomas harbour BRAF mutations in 40</w:t>
      </w:r>
      <w:r w:rsidR="00B537E2">
        <w:t>–</w:t>
      </w:r>
      <w:r>
        <w:t>50</w:t>
      </w:r>
      <w:r w:rsidR="00F64599">
        <w:t> percent</w:t>
      </w:r>
      <w:r>
        <w:t xml:space="preserve"> of cases </w:t>
      </w:r>
      <w:r>
        <w:rPr>
          <w:noProof/>
        </w:rPr>
        <w:t xml:space="preserve">(Greaves </w:t>
      </w:r>
      <w:r w:rsidR="00C338E8">
        <w:rPr>
          <w:noProof/>
        </w:rPr>
        <w:t>et al</w:t>
      </w:r>
      <w:r w:rsidR="003B51F4">
        <w:rPr>
          <w:noProof/>
        </w:rPr>
        <w:t xml:space="preserve"> 2</w:t>
      </w:r>
      <w:r>
        <w:rPr>
          <w:noProof/>
        </w:rPr>
        <w:t xml:space="preserve">013; Wolfe </w:t>
      </w:r>
      <w:r w:rsidR="00C338E8">
        <w:rPr>
          <w:noProof/>
        </w:rPr>
        <w:t>et al</w:t>
      </w:r>
      <w:r w:rsidR="003B51F4">
        <w:rPr>
          <w:noProof/>
        </w:rPr>
        <w:t xml:space="preserve"> 2</w:t>
      </w:r>
      <w:r>
        <w:rPr>
          <w:noProof/>
        </w:rPr>
        <w:t>021)</w:t>
      </w:r>
      <w:r>
        <w:t>, although a small N</w:t>
      </w:r>
      <w:r w:rsidR="00B537E2">
        <w:t xml:space="preserve">ew </w:t>
      </w:r>
      <w:r>
        <w:t>Z</w:t>
      </w:r>
      <w:r w:rsidR="00B537E2">
        <w:t>ealand</w:t>
      </w:r>
      <w:r>
        <w:t xml:space="preserve"> study found a lower prevalence of 33</w:t>
      </w:r>
      <w:r w:rsidR="00F64599">
        <w:t> percent</w:t>
      </w:r>
      <w:r>
        <w:t xml:space="preserve"> </w:t>
      </w:r>
      <w:r>
        <w:rPr>
          <w:noProof/>
        </w:rPr>
        <w:t xml:space="preserve">(Jones </w:t>
      </w:r>
      <w:r w:rsidR="00C338E8">
        <w:rPr>
          <w:noProof/>
        </w:rPr>
        <w:t>et al</w:t>
      </w:r>
      <w:r w:rsidR="003B51F4">
        <w:rPr>
          <w:noProof/>
        </w:rPr>
        <w:t xml:space="preserve"> 2</w:t>
      </w:r>
      <w:r>
        <w:rPr>
          <w:noProof/>
        </w:rPr>
        <w:t>016)</w:t>
      </w:r>
      <w:r>
        <w:t xml:space="preserve">. </w:t>
      </w:r>
      <w:r w:rsidRPr="001336C7">
        <w:rPr>
          <w:bCs/>
        </w:rPr>
        <w:t>More than 80</w:t>
      </w:r>
      <w:r w:rsidR="00F64599">
        <w:rPr>
          <w:bCs/>
        </w:rPr>
        <w:t> percent</w:t>
      </w:r>
      <w:r w:rsidRPr="001336C7">
        <w:rPr>
          <w:bCs/>
        </w:rPr>
        <w:t xml:space="preserve"> of those diagnosed with melanoma </w:t>
      </w:r>
      <w:r w:rsidRPr="001336C7">
        <w:t xml:space="preserve">will survive </w:t>
      </w:r>
      <w:r>
        <w:t>five</w:t>
      </w:r>
      <w:r w:rsidRPr="001336C7">
        <w:t xml:space="preserve"> years</w:t>
      </w:r>
      <w:r>
        <w:t xml:space="preserve"> after diagnosis</w:t>
      </w:r>
      <w:r w:rsidRPr="001336C7">
        <w:t xml:space="preserve"> (80</w:t>
      </w:r>
      <w:r w:rsidR="00F64599">
        <w:t> percent</w:t>
      </w:r>
      <w:r w:rsidRPr="001336C7">
        <w:t xml:space="preserve"> Māori, 89</w:t>
      </w:r>
      <w:r w:rsidR="00F64599">
        <w:t> percent</w:t>
      </w:r>
      <w:r w:rsidRPr="001336C7">
        <w:t xml:space="preserve"> non-Māori</w:t>
      </w:r>
      <w:r>
        <w:t xml:space="preserve">) </w:t>
      </w:r>
      <w:r>
        <w:rPr>
          <w:noProof/>
        </w:rPr>
        <w:t xml:space="preserve">(Gurney, Stanley, McLeod, </w:t>
      </w:r>
      <w:r w:rsidR="00C338E8">
        <w:rPr>
          <w:noProof/>
        </w:rPr>
        <w:t>et al</w:t>
      </w:r>
      <w:r w:rsidR="003B51F4">
        <w:rPr>
          <w:noProof/>
        </w:rPr>
        <w:t xml:space="preserve"> 2</w:t>
      </w:r>
      <w:r>
        <w:rPr>
          <w:noProof/>
        </w:rPr>
        <w:t>020)</w:t>
      </w:r>
      <w:r w:rsidRPr="001336C7">
        <w:t>. From 2007</w:t>
      </w:r>
      <w:r>
        <w:t>–</w:t>
      </w:r>
      <w:r w:rsidRPr="001336C7">
        <w:t>2016 data, Māori patients with melanoma are 2.5 times more likely to die</w:t>
      </w:r>
      <w:r>
        <w:t xml:space="preserve"> from their cancer</w:t>
      </w:r>
      <w:r w:rsidRPr="001336C7">
        <w:t xml:space="preserve"> than non-Māori patients – however, this disparity must be considered alongside the relative rarity of Māori death from melanoma</w:t>
      </w:r>
      <w:r>
        <w:t xml:space="preserve"> </w:t>
      </w:r>
      <w:r>
        <w:rPr>
          <w:noProof/>
        </w:rPr>
        <w:t xml:space="preserve">(Gurney, Stanley, McLeod, </w:t>
      </w:r>
      <w:r w:rsidR="00C338E8">
        <w:rPr>
          <w:noProof/>
        </w:rPr>
        <w:t>et al</w:t>
      </w:r>
      <w:r w:rsidR="003B51F4">
        <w:rPr>
          <w:noProof/>
        </w:rPr>
        <w:t xml:space="preserve"> 2</w:t>
      </w:r>
      <w:r>
        <w:rPr>
          <w:noProof/>
        </w:rPr>
        <w:t>020)</w:t>
      </w:r>
      <w:r w:rsidRPr="001336C7">
        <w:t xml:space="preserve">. There is currently a lack of robust stage-specific survival data for melanoma in </w:t>
      </w:r>
      <w:r>
        <w:t>Aotearoa</w:t>
      </w:r>
      <w:r w:rsidRPr="001336C7">
        <w:t>.</w:t>
      </w:r>
    </w:p>
    <w:p w14:paraId="24B0EE92" w14:textId="77777777" w:rsidR="00C338E8" w:rsidRDefault="00C338E8" w:rsidP="00B537E2"/>
    <w:p w14:paraId="32BD0B6A" w14:textId="77777777" w:rsidR="00C338E8" w:rsidRDefault="00B12E4F" w:rsidP="00B537E2">
      <w:r w:rsidRPr="001336C7">
        <w:t xml:space="preserve">The size of the population that would benefit if these </w:t>
      </w:r>
      <w:r>
        <w:t xml:space="preserve">funding </w:t>
      </w:r>
      <w:r w:rsidRPr="001336C7">
        <w:t xml:space="preserve">gaps were </w:t>
      </w:r>
      <w:r>
        <w:t>removed</w:t>
      </w:r>
      <w:r w:rsidRPr="001336C7">
        <w:t xml:space="preserve"> </w:t>
      </w:r>
      <w:r>
        <w:t>was unable to be estimated.</w:t>
      </w:r>
      <w:r w:rsidR="00D34911">
        <w:t xml:space="preserve"> </w:t>
      </w:r>
      <w:r w:rsidRPr="001336C7">
        <w:t xml:space="preserve">The magnitude of benefit from gaps in the curative setting range from a relapse-free survival gain at </w:t>
      </w:r>
      <w:r>
        <w:t>one</w:t>
      </w:r>
      <w:r w:rsidRPr="001336C7">
        <w:t xml:space="preserve"> year of 9.7</w:t>
      </w:r>
      <w:r w:rsidR="00F64599">
        <w:t> percent</w:t>
      </w:r>
      <w:r w:rsidRPr="001336C7">
        <w:t xml:space="preserve"> to a relapse-free survival gain at </w:t>
      </w:r>
      <w:r>
        <w:t>three</w:t>
      </w:r>
      <w:r w:rsidRPr="001336C7">
        <w:t xml:space="preserve"> years of 19</w:t>
      </w:r>
      <w:r w:rsidR="00F64599">
        <w:t> percent</w:t>
      </w:r>
      <w:r>
        <w:t>.</w:t>
      </w:r>
      <w:r w:rsidRPr="001336C7">
        <w:t xml:space="preserve"> In the non-curative </w:t>
      </w:r>
      <w:r w:rsidRPr="00DE199D">
        <w:t>setting, the magnitude of benefit ranged from a median overall survival gain of 4.9 months to 18.4 months.</w:t>
      </w:r>
    </w:p>
    <w:p w14:paraId="196BBA13" w14:textId="77777777" w:rsidR="00C338E8" w:rsidRDefault="00C338E8" w:rsidP="00B537E2"/>
    <w:p w14:paraId="54CE3934" w14:textId="77777777" w:rsidR="00C338E8" w:rsidRPr="00D661F6" w:rsidRDefault="00B12E4F" w:rsidP="001236A0">
      <w:pPr>
        <w:pStyle w:val="Heading2"/>
        <w:rPr>
          <w:rFonts w:eastAsiaTheme="majorEastAsia"/>
        </w:rPr>
      </w:pPr>
      <w:bookmarkStart w:id="276" w:name="_Toc99443173"/>
      <w:bookmarkStart w:id="277" w:name="_Toc99443587"/>
      <w:bookmarkStart w:id="278" w:name="_Toc99443742"/>
      <w:bookmarkStart w:id="279" w:name="_Toc99451927"/>
      <w:bookmarkStart w:id="280" w:name="_Toc99456200"/>
      <w:bookmarkStart w:id="281" w:name="_Toc100739043"/>
      <w:bookmarkStart w:id="282" w:name="_Toc101618158"/>
      <w:r w:rsidRPr="00D661F6">
        <w:rPr>
          <w:rFonts w:eastAsiaTheme="majorEastAsia"/>
        </w:rPr>
        <w:t>Comparison with Ontario, Canada</w:t>
      </w:r>
      <w:bookmarkEnd w:id="276"/>
      <w:bookmarkEnd w:id="277"/>
      <w:bookmarkEnd w:id="278"/>
      <w:bookmarkEnd w:id="279"/>
      <w:bookmarkEnd w:id="280"/>
      <w:bookmarkEnd w:id="281"/>
      <w:bookmarkEnd w:id="282"/>
    </w:p>
    <w:p w14:paraId="0675529E" w14:textId="77777777" w:rsidR="00F34187" w:rsidRDefault="00B12E4F" w:rsidP="00B537E2">
      <w:r w:rsidRPr="001336C7">
        <w:t>Of the 20</w:t>
      </w:r>
      <w:r>
        <w:t xml:space="preserve"> solid tumour</w:t>
      </w:r>
      <w:r w:rsidRPr="001336C7">
        <w:t xml:space="preserve"> gaps associated with substantial clinical benefit in the curative and non-curative setting, 12 were universally funded in Ontario (one in a later line of treatment than </w:t>
      </w:r>
      <w:r>
        <w:t xml:space="preserve">is </w:t>
      </w:r>
      <w:r w:rsidRPr="001336C7">
        <w:t xml:space="preserve">funded in Australia), seven were funded but only for people meeting certain demographic eligibility criteria (for example, being aged 65 years or older), and one was not funded. Further detail is provided in </w:t>
      </w:r>
      <w:hyperlink w:anchor="Appendix_6_Table_6point1" w:history="1">
        <w:r w:rsidRPr="000E7AB0">
          <w:rPr>
            <w:rStyle w:val="Hyperlink"/>
            <w:rFonts w:eastAsia="MS Gothic"/>
          </w:rPr>
          <w:t xml:space="preserve">Appendix 6, </w:t>
        </w:r>
        <w:r w:rsidR="00F34187">
          <w:rPr>
            <w:rStyle w:val="Hyperlink"/>
            <w:rFonts w:eastAsia="MS Gothic"/>
          </w:rPr>
          <w:t>T</w:t>
        </w:r>
        <w:r w:rsidRPr="000E7AB0">
          <w:rPr>
            <w:rStyle w:val="Hyperlink"/>
            <w:rFonts w:eastAsia="MS Gothic"/>
          </w:rPr>
          <w:t>able 6.1</w:t>
        </w:r>
      </w:hyperlink>
      <w:r w:rsidRPr="00C00B25">
        <w:t>.</w:t>
      </w:r>
    </w:p>
    <w:p w14:paraId="389AC416" w14:textId="30DCBF06" w:rsidR="00C338E8" w:rsidRPr="00931A93" w:rsidRDefault="00B12E4F" w:rsidP="00F34187">
      <w:pPr>
        <w:pStyle w:val="Heading1"/>
        <w:rPr>
          <w:rFonts w:ascii="Montserrat" w:hAnsi="Montserrat"/>
        </w:rPr>
      </w:pPr>
      <w:bookmarkStart w:id="283" w:name="_Toc100739044"/>
      <w:bookmarkStart w:id="284" w:name="_Toc101618159"/>
      <w:r w:rsidRPr="00931A93">
        <w:rPr>
          <w:rFonts w:ascii="Montserrat" w:hAnsi="Montserrat"/>
        </w:rPr>
        <w:lastRenderedPageBreak/>
        <w:t>HE KŌRERO</w:t>
      </w:r>
      <w:r w:rsidR="00843F3C">
        <w:rPr>
          <w:rFonts w:ascii="Montserrat" w:hAnsi="Montserrat"/>
        </w:rPr>
        <w:br/>
      </w:r>
      <w:r w:rsidRPr="00931A93">
        <w:rPr>
          <w:rFonts w:ascii="Montserrat" w:hAnsi="Montserrat"/>
          <w:color w:val="0AB58F"/>
        </w:rPr>
        <w:t>DISCUSSION</w:t>
      </w:r>
      <w:bookmarkEnd w:id="283"/>
      <w:bookmarkEnd w:id="284"/>
    </w:p>
    <w:p w14:paraId="246150FE" w14:textId="77777777" w:rsidR="00C338E8" w:rsidRDefault="00B12E4F" w:rsidP="00B83E44">
      <w:r w:rsidRPr="00CE346D">
        <w:t>Cancer medicines are an integral part of cancer care. A diagnosis of cancer can be life</w:t>
      </w:r>
      <w:r>
        <w:t xml:space="preserve"> </w:t>
      </w:r>
      <w:r w:rsidRPr="00CE346D">
        <w:t>changing and challenging, and people with cancer and their whānau understandably place significant hope in cancer medicines. There are strong expectations from the health sector and the public about the availability of cancer medicines. The purpose of this analysis was to better understand this complex and challenging aspect of cancer care in Aotearoa.</w:t>
      </w:r>
    </w:p>
    <w:p w14:paraId="200C8704" w14:textId="77777777" w:rsidR="00C338E8" w:rsidRDefault="00B12E4F" w:rsidP="00B83E44">
      <w:pPr>
        <w:pStyle w:val="Heading2"/>
      </w:pPr>
      <w:bookmarkStart w:id="285" w:name="_Toc99443589"/>
      <w:bookmarkStart w:id="286" w:name="_Toc99443744"/>
      <w:bookmarkStart w:id="287" w:name="_Toc99451929"/>
      <w:bookmarkStart w:id="288" w:name="_Toc99456202"/>
      <w:bookmarkStart w:id="289" w:name="_Toc100738343"/>
      <w:bookmarkStart w:id="290" w:name="_Toc100739045"/>
      <w:bookmarkStart w:id="291" w:name="_Toc101618160"/>
      <w:r w:rsidRPr="00CE346D">
        <w:t>Summary of main findings</w:t>
      </w:r>
      <w:bookmarkEnd w:id="285"/>
      <w:bookmarkEnd w:id="286"/>
      <w:bookmarkEnd w:id="287"/>
      <w:bookmarkEnd w:id="288"/>
      <w:bookmarkEnd w:id="289"/>
      <w:bookmarkEnd w:id="290"/>
      <w:bookmarkEnd w:id="291"/>
    </w:p>
    <w:p w14:paraId="1BA46CD6" w14:textId="09D4A1AB" w:rsidR="00C338E8" w:rsidRDefault="00B12E4F" w:rsidP="00B83E44">
      <w:r w:rsidRPr="00CE346D">
        <w:t xml:space="preserve">This analysis quantitatively showed that there are fewer cancer medicines funded in Aotearoa compared </w:t>
      </w:r>
      <w:r>
        <w:t>with</w:t>
      </w:r>
      <w:r w:rsidRPr="00CE346D">
        <w:t xml:space="preserve"> Australia</w:t>
      </w:r>
      <w:r w:rsidR="00435604">
        <w:t xml:space="preserve"> – both for solid tumours and for blood cancers - </w:t>
      </w:r>
      <w:r w:rsidRPr="00CE346D">
        <w:t xml:space="preserve">in keeping with other studies that compared Aotearoa </w:t>
      </w:r>
      <w:r>
        <w:t>with</w:t>
      </w:r>
      <w:r w:rsidRPr="00CE346D">
        <w:t xml:space="preserve"> a range of high-income countries </w:t>
      </w:r>
      <w:r w:rsidRPr="00CE346D">
        <w:rPr>
          <w:noProof/>
        </w:rPr>
        <w:t xml:space="preserve">(Babar </w:t>
      </w:r>
      <w:r w:rsidR="00C338E8">
        <w:rPr>
          <w:noProof/>
        </w:rPr>
        <w:t>et al</w:t>
      </w:r>
      <w:r w:rsidR="003B51F4">
        <w:rPr>
          <w:noProof/>
        </w:rPr>
        <w:t xml:space="preserve"> 2</w:t>
      </w:r>
      <w:r w:rsidRPr="00CE346D">
        <w:rPr>
          <w:noProof/>
        </w:rPr>
        <w:t xml:space="preserve">019; Cheema </w:t>
      </w:r>
      <w:r w:rsidR="00C338E8">
        <w:rPr>
          <w:noProof/>
        </w:rPr>
        <w:t>et al</w:t>
      </w:r>
      <w:r w:rsidR="003B51F4">
        <w:rPr>
          <w:noProof/>
        </w:rPr>
        <w:t xml:space="preserve"> 2</w:t>
      </w:r>
      <w:r w:rsidRPr="00CE346D">
        <w:rPr>
          <w:noProof/>
        </w:rPr>
        <w:t xml:space="preserve">012; Evans </w:t>
      </w:r>
      <w:r w:rsidR="00C338E8">
        <w:rPr>
          <w:noProof/>
        </w:rPr>
        <w:t>et al</w:t>
      </w:r>
      <w:r w:rsidR="003B51F4">
        <w:rPr>
          <w:noProof/>
        </w:rPr>
        <w:t xml:space="preserve"> 2</w:t>
      </w:r>
      <w:r w:rsidRPr="00CE346D">
        <w:rPr>
          <w:noProof/>
        </w:rPr>
        <w:t xml:space="preserve">016; Lichtenberg 2021; Wonder </w:t>
      </w:r>
      <w:r>
        <w:rPr>
          <w:noProof/>
        </w:rPr>
        <w:t>and</w:t>
      </w:r>
      <w:r w:rsidRPr="00CE346D">
        <w:rPr>
          <w:noProof/>
        </w:rPr>
        <w:t xml:space="preserve"> Fisher 2016; Wonder </w:t>
      </w:r>
      <w:r>
        <w:rPr>
          <w:noProof/>
        </w:rPr>
        <w:t>and</w:t>
      </w:r>
      <w:r w:rsidRPr="00CE346D">
        <w:rPr>
          <w:noProof/>
        </w:rPr>
        <w:t xml:space="preserve"> Milne 2011)</w:t>
      </w:r>
      <w:r w:rsidRPr="00CE346D">
        <w:t>. However, this analysis aimed to go beyond numerical tallies of cancer medicines to consider</w:t>
      </w:r>
      <w:r>
        <w:t xml:space="preserve"> the magnitude of</w:t>
      </w:r>
      <w:r w:rsidRPr="00CE346D">
        <w:t xml:space="preserve"> (potentially foregone) clinical benefit associated with gaps in cancer medicines</w:t>
      </w:r>
      <w:r>
        <w:t xml:space="preserve"> funding</w:t>
      </w:r>
      <w:r w:rsidRPr="00CE346D">
        <w:t>.</w:t>
      </w:r>
    </w:p>
    <w:p w14:paraId="0DF0130E" w14:textId="77777777" w:rsidR="00C338E8" w:rsidRDefault="00C338E8" w:rsidP="00B83E44"/>
    <w:p w14:paraId="4E17B43C" w14:textId="46FE08B9" w:rsidR="00C338E8" w:rsidRDefault="00B12E4F" w:rsidP="00B83E44">
      <w:r w:rsidRPr="00CE346D">
        <w:t xml:space="preserve">In terms of the comparison </w:t>
      </w:r>
      <w:r>
        <w:t>with</w:t>
      </w:r>
      <w:r w:rsidRPr="00CE346D">
        <w:t xml:space="preserve"> the WHO</w:t>
      </w:r>
      <w:r>
        <w:t xml:space="preserve"> Essential Medicines List, </w:t>
      </w:r>
      <w:r w:rsidRPr="00CE346D">
        <w:t>no substantive gaps were revealed</w:t>
      </w:r>
      <w:r>
        <w:t xml:space="preserve">. This is </w:t>
      </w:r>
      <w:r w:rsidRPr="00CE346D">
        <w:t xml:space="preserve">as would be expected for a high-income country. We can be confident that, at a minimum, the cancer medicines deemed by the WHO to be essential for all countries are available to the people of Aotearoa. In terms of the comparison </w:t>
      </w:r>
      <w:r>
        <w:t>with</w:t>
      </w:r>
      <w:r w:rsidRPr="00CE346D">
        <w:t xml:space="preserve"> Australia, </w:t>
      </w:r>
      <w:r>
        <w:t xml:space="preserve">20 </w:t>
      </w:r>
      <w:r w:rsidRPr="00CE346D">
        <w:t xml:space="preserve">medicine-indication gaps across </w:t>
      </w:r>
      <w:r>
        <w:t>nine</w:t>
      </w:r>
      <w:r w:rsidRPr="00CE346D">
        <w:t xml:space="preserve"> </w:t>
      </w:r>
      <w:r>
        <w:t xml:space="preserve">solid tumour </w:t>
      </w:r>
      <w:r w:rsidRPr="00CE346D">
        <w:t>cancer types (lung, breast, bowel, liver, kidney, bladder, ovarian, melanoma,</w:t>
      </w:r>
      <w:r>
        <w:t xml:space="preserve"> and</w:t>
      </w:r>
      <w:r w:rsidRPr="00CE346D">
        <w:t xml:space="preserve"> head and neck) were identified that are likely to be significant, based on ESMO-MCBS scores indicating substantial clinical benefit.</w:t>
      </w:r>
      <w:r>
        <w:t xml:space="preserve"> There are likely to be other significant gaps for blood cancers.</w:t>
      </w:r>
      <w:r w:rsidRPr="00D34911">
        <w:t xml:space="preserve"> Of the 20 gaps</w:t>
      </w:r>
      <w:r w:rsidR="002A7A01">
        <w:t xml:space="preserve"> identified for solid tumours</w:t>
      </w:r>
      <w:r w:rsidRPr="00D34911">
        <w:t>, the vast majority were in the non-curative setting, meaning that the medicines would not be used with the aim of curing the cancer but rather used with the intent of prolonging life and/or improving the quality of a person</w:t>
      </w:r>
      <w:r w:rsidR="00D34911" w:rsidRPr="00D34911">
        <w:t>’</w:t>
      </w:r>
      <w:r w:rsidRPr="00D34911">
        <w:t>s remaining life. For several cancers, there were multiple gaps: five gaps in lung cancer, four in melanoma, three in kidney cancer and two in ovarian cancer. In some cases, funding a gap in an earlier line of treatment would make a gap in a later line redundant. The majority of the gaps identified in the comparison with Australia were also funded in Ontario, Canada – at least to some extent. This indicates that Australia is not an outlier when it comes to cancer medicines availability.</w:t>
      </w:r>
    </w:p>
    <w:p w14:paraId="7E6A4BD1" w14:textId="77777777" w:rsidR="00C338E8" w:rsidRDefault="00C338E8" w:rsidP="00B83E44"/>
    <w:p w14:paraId="4EEB91F4" w14:textId="5A1F109F" w:rsidR="00C338E8" w:rsidRDefault="00B12E4F" w:rsidP="00B83E44">
      <w:r w:rsidRPr="00D34911">
        <w:t xml:space="preserve">The unfunded medicines represented by the gaps were all targeted cancer therapies, as distinct from traditional chemotherapy. For two of the 20 gaps, medicines to fill them have now been approved by Pharmac for funding </w:t>
      </w:r>
      <w:r w:rsidRPr="00D34911">
        <w:rPr>
          <w:noProof/>
        </w:rPr>
        <w:t>(Pharmac, 2022b)</w:t>
      </w:r>
      <w:r w:rsidRPr="00D34911">
        <w:t>. At time of publication, six of the 20 identified gaps had relevant medicines to fill the gaps ranked on Pharmac</w:t>
      </w:r>
      <w:r w:rsidR="00D34911" w:rsidRPr="00D34911">
        <w:t>’</w:t>
      </w:r>
      <w:r w:rsidRPr="00D34911">
        <w:t>s Options for Investment list. For six gaps, the relevant medicines are in the process of being assessed for funding; for two gaps, medicines have either been declined or recommended for decline; and Pharmac has not received funding applications for the remaining four gaps.</w:t>
      </w:r>
    </w:p>
    <w:p w14:paraId="609A2952" w14:textId="77777777" w:rsidR="00C338E8" w:rsidRDefault="00B12E4F" w:rsidP="00B83E44">
      <w:pPr>
        <w:keepNext/>
        <w:keepLines/>
      </w:pPr>
      <w:r w:rsidRPr="00D34911">
        <w:lastRenderedPageBreak/>
        <w:t xml:space="preserve">The magnitude of clinical benefit was able to be defined in terms of median overall survival gain for 14 of the 20 gaps (ranging from about one month to almost 22 months) and described in terms of median disease-free survival or progression-free survival gains for the remaining six gaps (ranging from 1.5 months to over 30 months). Overall survival is universally recognised as the </w:t>
      </w:r>
      <w:r w:rsidR="00D34911" w:rsidRPr="00D34911">
        <w:t>‘</w:t>
      </w:r>
      <w:r w:rsidRPr="00D34911">
        <w:t>gold standard</w:t>
      </w:r>
      <w:r w:rsidR="00D34911" w:rsidRPr="00D34911">
        <w:t>’</w:t>
      </w:r>
      <w:r w:rsidRPr="00D34911">
        <w:t xml:space="preserve"> primary end point to assess the outcome of any drug or intervention in oncology clinical trials, providing evidence that a given treatment extends the life of a patient. Quality of life, when assessed with validated scales, is also a clinically meaningful measure of benefit. Disease-free survival is used in trials conducted in the curative setting and refers to the time from when curative treatment has finished to cancer recurrence or death from any cause. Progression-free survival is a similar concept but is used in the non-curative setting – it refers to the time from randomisation or treatment initiation to the point where there is disease progression or death. Although progression-free survival is now the most commonly used primary end point in oncology clinical trials, there are concerns about its use as a surrogate for overall survival or quality of life and whether it represents clinically meaningful benefit for patients </w:t>
      </w:r>
      <w:r w:rsidRPr="00D34911">
        <w:rPr>
          <w:noProof/>
        </w:rPr>
        <w:t>(Booth and Eisenhauer 2012</w:t>
      </w:r>
      <w:r w:rsidR="00B83E44">
        <w:rPr>
          <w:noProof/>
        </w:rPr>
        <w:t>,</w:t>
      </w:r>
      <w:r w:rsidRPr="00D34911">
        <w:rPr>
          <w:noProof/>
        </w:rPr>
        <w:t xml:space="preserve"> Gyawali </w:t>
      </w:r>
      <w:r w:rsidR="00C338E8">
        <w:rPr>
          <w:noProof/>
        </w:rPr>
        <w:t>et al</w:t>
      </w:r>
      <w:r w:rsidR="003B51F4">
        <w:rPr>
          <w:noProof/>
        </w:rPr>
        <w:t xml:space="preserve"> 2</w:t>
      </w:r>
      <w:r w:rsidRPr="00D34911">
        <w:rPr>
          <w:noProof/>
        </w:rPr>
        <w:t>022</w:t>
      </w:r>
      <w:r w:rsidR="00B83E44">
        <w:rPr>
          <w:noProof/>
        </w:rPr>
        <w:t>,</w:t>
      </w:r>
      <w:r w:rsidRPr="00D34911">
        <w:rPr>
          <w:noProof/>
        </w:rPr>
        <w:t xml:space="preserve"> Haslam </w:t>
      </w:r>
      <w:r w:rsidR="00C338E8">
        <w:rPr>
          <w:noProof/>
        </w:rPr>
        <w:t>et al</w:t>
      </w:r>
      <w:r w:rsidR="003B51F4">
        <w:rPr>
          <w:noProof/>
        </w:rPr>
        <w:t xml:space="preserve"> 2</w:t>
      </w:r>
      <w:r w:rsidRPr="00D34911">
        <w:rPr>
          <w:noProof/>
        </w:rPr>
        <w:t>019</w:t>
      </w:r>
      <w:r w:rsidR="00B83E44">
        <w:rPr>
          <w:noProof/>
        </w:rPr>
        <w:t>,</w:t>
      </w:r>
      <w:r w:rsidRPr="00D34911">
        <w:rPr>
          <w:noProof/>
        </w:rPr>
        <w:t xml:space="preserve"> Hwang and Gyawali 2019)</w:t>
      </w:r>
      <w:r w:rsidRPr="00D34911">
        <w:t>.</w:t>
      </w:r>
    </w:p>
    <w:p w14:paraId="15301F42" w14:textId="77777777" w:rsidR="00C338E8" w:rsidRDefault="00C338E8" w:rsidP="00B83E44"/>
    <w:p w14:paraId="722BF31A" w14:textId="77777777" w:rsidR="00C338E8" w:rsidRPr="00B83E44" w:rsidRDefault="00B12E4F" w:rsidP="00B83E44">
      <w:r w:rsidRPr="00D34911">
        <w:t>It should be noted that, although there are fewer cancer medicines funded in Aotearoa compared with Australia, once medicines are listed in Pharmac</w:t>
      </w:r>
      <w:r w:rsidR="00D34911" w:rsidRPr="00D34911">
        <w:t>’</w:t>
      </w:r>
      <w:r w:rsidRPr="00D34911">
        <w:t xml:space="preserve">s Pharmaceutical Schedule, there is </w:t>
      </w:r>
      <w:r w:rsidRPr="00B83E44">
        <w:t>greater universal availability of those medicines. There are no inter</w:t>
      </w:r>
      <w:r w:rsidR="00B83E44">
        <w:noBreakHyphen/>
      </w:r>
      <w:r w:rsidRPr="00B83E44">
        <w:t>jurisdiction differences or differences by public cancer treatment settings, and out-of-pocket costs are also significantly lower in Aotearoa.</w:t>
      </w:r>
    </w:p>
    <w:p w14:paraId="5394CC0E" w14:textId="77777777" w:rsidR="00C338E8" w:rsidRDefault="00B12E4F" w:rsidP="00B83E44">
      <w:pPr>
        <w:pStyle w:val="Heading2"/>
      </w:pPr>
      <w:bookmarkStart w:id="292" w:name="_Toc99443590"/>
      <w:bookmarkStart w:id="293" w:name="_Toc99443745"/>
      <w:bookmarkStart w:id="294" w:name="_Toc99451930"/>
      <w:bookmarkStart w:id="295" w:name="_Toc99456203"/>
      <w:bookmarkStart w:id="296" w:name="_Toc100738344"/>
      <w:bookmarkStart w:id="297" w:name="_Toc100739046"/>
      <w:bookmarkStart w:id="298" w:name="_Toc101618161"/>
      <w:r w:rsidRPr="00003F5B">
        <w:t>Context matters for gaps in cancer medicine funding</w:t>
      </w:r>
      <w:bookmarkEnd w:id="292"/>
      <w:bookmarkEnd w:id="293"/>
      <w:bookmarkEnd w:id="294"/>
      <w:bookmarkEnd w:id="295"/>
      <w:bookmarkEnd w:id="296"/>
      <w:bookmarkEnd w:id="297"/>
      <w:bookmarkEnd w:id="298"/>
    </w:p>
    <w:p w14:paraId="0E651273" w14:textId="77777777" w:rsidR="00C338E8" w:rsidRDefault="00B12E4F" w:rsidP="00B83E44">
      <w:r w:rsidRPr="00CE346D">
        <w:t xml:space="preserve">It is </w:t>
      </w:r>
      <w:r>
        <w:t>essential</w:t>
      </w:r>
      <w:r w:rsidRPr="00CE346D">
        <w:t xml:space="preserve"> to consider these identified gaps within their wider context. Each gap sits within a cancer type or subtype that has its own distinct pattern of incidence, stage distribution, survival and mortality</w:t>
      </w:r>
      <w:r w:rsidR="00D34911">
        <w:t xml:space="preserve"> – </w:t>
      </w:r>
      <w:r w:rsidRPr="00CE346D">
        <w:t xml:space="preserve">as well as existing inequities in each of these areas. </w:t>
      </w:r>
      <w:r>
        <w:t xml:space="preserve">For example, five of the 20 gaps are for lung cancer, which is distinctive for its high incidence, high mortality, poor survival and disproportionate impact on Māori and Pacific peoples. </w:t>
      </w:r>
      <w:r w:rsidRPr="00CE346D">
        <w:t xml:space="preserve">Also relevant is what treatment options currently exist for patients. In some instances, the medicines would fill an identified gap </w:t>
      </w:r>
      <w:r>
        <w:t>where no funded active treatment option currently exists. I</w:t>
      </w:r>
      <w:r w:rsidRPr="00CE346D">
        <w:t>n other</w:t>
      </w:r>
      <w:r>
        <w:t xml:space="preserve"> instances,</w:t>
      </w:r>
      <w:r w:rsidRPr="00CE346D">
        <w:t xml:space="preserve"> they are a superior substitute for an existing funded treatment and in </w:t>
      </w:r>
      <w:r>
        <w:t xml:space="preserve">still </w:t>
      </w:r>
      <w:r w:rsidRPr="00CE346D">
        <w:t>other</w:t>
      </w:r>
      <w:r>
        <w:t xml:space="preserve">s, </w:t>
      </w:r>
      <w:r w:rsidRPr="00CE346D">
        <w:t>they are add</w:t>
      </w:r>
      <w:r>
        <w:t>ed to e</w:t>
      </w:r>
      <w:r w:rsidRPr="00CE346D">
        <w:t xml:space="preserve">xisting therapy or provide an additional line of therapy. These contextual factors are outlined by tumour type in the previous section, and in greater detail in </w:t>
      </w:r>
      <w:hyperlink w:anchor="Appendix_7" w:history="1">
        <w:r w:rsidRPr="00FA435C">
          <w:rPr>
            <w:rStyle w:val="Hyperlink"/>
            <w:rFonts w:eastAsia="MS Gothic"/>
          </w:rPr>
          <w:t>Appendix 7</w:t>
        </w:r>
      </w:hyperlink>
      <w:r w:rsidRPr="00CE346D">
        <w:t>.</w:t>
      </w:r>
    </w:p>
    <w:p w14:paraId="568185B1" w14:textId="77777777" w:rsidR="00C338E8" w:rsidRDefault="00C338E8" w:rsidP="00B83E44"/>
    <w:p w14:paraId="41F2AED1" w14:textId="77777777" w:rsidR="00C338E8" w:rsidRDefault="00B12E4F" w:rsidP="00B83E44">
      <w:pPr>
        <w:pStyle w:val="Heading2"/>
      </w:pPr>
      <w:bookmarkStart w:id="299" w:name="_Toc99443591"/>
      <w:bookmarkStart w:id="300" w:name="_Toc99443746"/>
      <w:bookmarkStart w:id="301" w:name="_Toc99451931"/>
      <w:bookmarkStart w:id="302" w:name="_Toc99456204"/>
      <w:bookmarkStart w:id="303" w:name="_Toc100738345"/>
      <w:bookmarkStart w:id="304" w:name="_Toc100739047"/>
      <w:bookmarkStart w:id="305" w:name="_Toc101618162"/>
      <w:r>
        <w:lastRenderedPageBreak/>
        <w:t>Te Tiriti o Waitangi responsibilities and cancer medicines</w:t>
      </w:r>
      <w:bookmarkEnd w:id="299"/>
      <w:bookmarkEnd w:id="300"/>
      <w:bookmarkEnd w:id="301"/>
      <w:bookmarkEnd w:id="302"/>
      <w:bookmarkEnd w:id="303"/>
      <w:bookmarkEnd w:id="304"/>
      <w:bookmarkEnd w:id="305"/>
    </w:p>
    <w:p w14:paraId="162967C3" w14:textId="77777777" w:rsidR="00C338E8" w:rsidRDefault="00B12E4F" w:rsidP="00B83E44">
      <w:pPr>
        <w:keepNext/>
        <w:keepLines/>
      </w:pPr>
      <w:r>
        <w:t xml:space="preserve">The principles of Te Tiriti provide guidance on the role of medicines in cancer. Cancer is an area of health where inequities between Māori and non-Māori are prominent. The </w:t>
      </w:r>
      <w:r w:rsidRPr="00B21CBB">
        <w:rPr>
          <w:i/>
          <w:iCs/>
        </w:rPr>
        <w:t>Hauora</w:t>
      </w:r>
      <w:r>
        <w:t xml:space="preserve"> report </w:t>
      </w:r>
      <w:r>
        <w:rPr>
          <w:noProof/>
        </w:rPr>
        <w:t>(Waitangi Tribunal 2019)</w:t>
      </w:r>
      <w:r>
        <w:t xml:space="preserve"> proposes the following five principles to drive future health care delivery</w:t>
      </w:r>
      <w:r w:rsidR="00B83E44">
        <w:t>:</w:t>
      </w:r>
    </w:p>
    <w:p w14:paraId="4D7E6387" w14:textId="77777777" w:rsidR="00C338E8" w:rsidRDefault="00B12E4F" w:rsidP="00B83E44">
      <w:pPr>
        <w:pStyle w:val="Bullet"/>
      </w:pPr>
      <w:r>
        <w:t>Tino rangatiratanga – the rights of Māori to exercise self-determination in the design, delivery and monitoring of health care for Māori</w:t>
      </w:r>
    </w:p>
    <w:p w14:paraId="04BD1B05" w14:textId="77777777" w:rsidR="00C338E8" w:rsidRDefault="00B12E4F" w:rsidP="00B83E44">
      <w:pPr>
        <w:pStyle w:val="Bullet"/>
      </w:pPr>
      <w:r>
        <w:t>Equity – the right to equitable access to health care and outcomes</w:t>
      </w:r>
    </w:p>
    <w:p w14:paraId="65C254A6" w14:textId="77777777" w:rsidR="00C338E8" w:rsidRDefault="00B12E4F" w:rsidP="00B83E44">
      <w:pPr>
        <w:pStyle w:val="Bullet"/>
      </w:pPr>
      <w:r>
        <w:t>Active protection – including that government takes all reasonable actions to ensure Māori achieve equity and informs Māori of the impact of these actions</w:t>
      </w:r>
    </w:p>
    <w:p w14:paraId="6B36493B" w14:textId="77777777" w:rsidR="00C338E8" w:rsidRDefault="00B12E4F" w:rsidP="00B83E44">
      <w:pPr>
        <w:pStyle w:val="Bullet"/>
      </w:pPr>
      <w:r>
        <w:t>Options – ensuring appropriate resourcing is allocated to ensure Māori can access both high-quality and appropriate mainstream health services and kaupapa Māori services</w:t>
      </w:r>
    </w:p>
    <w:p w14:paraId="1CA44FFA" w14:textId="77777777" w:rsidR="00C338E8" w:rsidRDefault="00B12E4F" w:rsidP="00B83E44">
      <w:pPr>
        <w:pStyle w:val="Bullet"/>
      </w:pPr>
      <w:r>
        <w:t>Partnership – ensuring effective partnership with Māori in the design, delivery and monitoring of health care services.</w:t>
      </w:r>
    </w:p>
    <w:p w14:paraId="669CE0E4" w14:textId="77777777" w:rsidR="00C338E8" w:rsidRDefault="00C338E8" w:rsidP="00B83E44"/>
    <w:p w14:paraId="2B6C7813" w14:textId="77777777" w:rsidR="00C338E8" w:rsidRDefault="00B12E4F" w:rsidP="00B83E44">
      <w:r>
        <w:t xml:space="preserve">This work recognises that Māori are a legitimate and critical part of decision-making </w:t>
      </w:r>
      <w:r>
        <w:rPr>
          <w:noProof/>
        </w:rPr>
        <w:t>(Ministry of Health 2014)</w:t>
      </w:r>
      <w:r>
        <w:t>, and acknowledges Māori interests in decision-making about cancer medicines availability, including how cancer medicines are made accessible to Māori.</w:t>
      </w:r>
    </w:p>
    <w:p w14:paraId="7B47444B" w14:textId="77777777" w:rsidR="00C338E8" w:rsidRDefault="00C338E8" w:rsidP="00B83E44"/>
    <w:p w14:paraId="7813F7D0" w14:textId="77777777" w:rsidR="00C338E8" w:rsidRDefault="00B12E4F" w:rsidP="00B83E44">
      <w:r>
        <w:t xml:space="preserve">In health, the principle of </w:t>
      </w:r>
      <w:r w:rsidRPr="00C56DB2">
        <w:t>equity</w:t>
      </w:r>
      <w:r>
        <w:t xml:space="preserve"> refers to the absence of systematic differences in health that are not only avoidable but also unfair and unjust </w:t>
      </w:r>
      <w:r>
        <w:rPr>
          <w:noProof/>
        </w:rPr>
        <w:t>(Ministry of Health 2019b)</w:t>
      </w:r>
      <w:r>
        <w:t>. Māori are 20</w:t>
      </w:r>
      <w:r w:rsidR="00F64599">
        <w:t> percent</w:t>
      </w:r>
      <w:r>
        <w:t xml:space="preserve"> more likely to develop cancer than non-Māori and twice as likely to die from cancer, with poorer survival for nearly all the most common cancers </w:t>
      </w:r>
      <w:r>
        <w:rPr>
          <w:noProof/>
        </w:rPr>
        <w:t xml:space="preserve">(Gurney, Stanley, McLeod, </w:t>
      </w:r>
      <w:r w:rsidR="00C338E8">
        <w:rPr>
          <w:noProof/>
        </w:rPr>
        <w:t>et al</w:t>
      </w:r>
      <w:r w:rsidR="003B51F4">
        <w:rPr>
          <w:noProof/>
        </w:rPr>
        <w:t xml:space="preserve"> 2</w:t>
      </w:r>
      <w:r>
        <w:rPr>
          <w:noProof/>
        </w:rPr>
        <w:t>020)</w:t>
      </w:r>
      <w:r>
        <w:t xml:space="preserve">. These inequities are even more stark for specific cancers, such as lung cancer. They also occur along every step of the cancer continuum; for example, Māori have higher exposure to cancer risk factors, poorer access to and through the health system, and consequently poorer outcomes </w:t>
      </w:r>
      <w:r>
        <w:rPr>
          <w:noProof/>
        </w:rPr>
        <w:t>(Gurney, Stanley, McLeod</w:t>
      </w:r>
      <w:r w:rsidR="00B83E44">
        <w:rPr>
          <w:noProof/>
        </w:rPr>
        <w:t>,</w:t>
      </w:r>
      <w:r>
        <w:rPr>
          <w:noProof/>
        </w:rPr>
        <w:t xml:space="preserve"> </w:t>
      </w:r>
      <w:r w:rsidR="00C338E8">
        <w:rPr>
          <w:noProof/>
        </w:rPr>
        <w:t>et al</w:t>
      </w:r>
      <w:r w:rsidR="003B51F4">
        <w:rPr>
          <w:noProof/>
        </w:rPr>
        <w:t xml:space="preserve"> 2</w:t>
      </w:r>
      <w:r>
        <w:rPr>
          <w:noProof/>
        </w:rPr>
        <w:t xml:space="preserve">020; Tin Tin </w:t>
      </w:r>
      <w:r w:rsidR="00C338E8">
        <w:rPr>
          <w:noProof/>
        </w:rPr>
        <w:t>et al</w:t>
      </w:r>
      <w:r w:rsidR="003B51F4">
        <w:rPr>
          <w:noProof/>
        </w:rPr>
        <w:t xml:space="preserve"> 2</w:t>
      </w:r>
      <w:r>
        <w:rPr>
          <w:noProof/>
        </w:rPr>
        <w:t>018; Walsh and Grey 2019)</w:t>
      </w:r>
      <w:r>
        <w:t xml:space="preserve">. Available and accessible cancer medicines are one of many tools needed to address these inequities, and includes the consideration that Māori may require different access, approaches and resources to achieve equitable cancer outcomes </w:t>
      </w:r>
      <w:r>
        <w:rPr>
          <w:noProof/>
        </w:rPr>
        <w:t>(Ministry of Health 2019a)</w:t>
      </w:r>
      <w:r>
        <w:t>.</w:t>
      </w:r>
    </w:p>
    <w:p w14:paraId="3116EF75" w14:textId="77777777" w:rsidR="00C338E8" w:rsidRDefault="00C338E8" w:rsidP="00B83E44"/>
    <w:p w14:paraId="57ED2FF2" w14:textId="77777777" w:rsidR="00C338E8" w:rsidRDefault="00B12E4F" w:rsidP="00B83E44">
      <w:pPr>
        <w:pStyle w:val="Heading2"/>
      </w:pPr>
      <w:bookmarkStart w:id="306" w:name="_Toc99456205"/>
      <w:bookmarkStart w:id="307" w:name="_Toc100738346"/>
      <w:bookmarkStart w:id="308" w:name="_Toc100739048"/>
      <w:bookmarkStart w:id="309" w:name="_Toc99443592"/>
      <w:bookmarkStart w:id="310" w:name="_Toc99443747"/>
      <w:bookmarkStart w:id="311" w:name="_Toc99451932"/>
      <w:bookmarkStart w:id="312" w:name="_Toc101618163"/>
      <w:r w:rsidRPr="00003F5B">
        <w:lastRenderedPageBreak/>
        <w:t>Equity considerations for cancer medicines</w:t>
      </w:r>
      <w:bookmarkEnd w:id="306"/>
      <w:bookmarkEnd w:id="307"/>
      <w:bookmarkEnd w:id="308"/>
      <w:bookmarkEnd w:id="309"/>
      <w:bookmarkEnd w:id="310"/>
      <w:bookmarkEnd w:id="311"/>
      <w:bookmarkEnd w:id="312"/>
    </w:p>
    <w:p w14:paraId="41554BF4" w14:textId="77777777" w:rsidR="00C338E8" w:rsidRDefault="00B12E4F" w:rsidP="00B83E44">
      <w:pPr>
        <w:keepNext/>
        <w:keepLines/>
      </w:pPr>
      <w:r w:rsidRPr="00D34911">
        <w:t>The equity considerations when it comes to cancer medicines are varied and complex. In terms of the availability of cancer medicines, funding decisions must consider existing inequities in incidence, survival and mortality for the relevant cancer. Where such inequities are known for M</w:t>
      </w:r>
      <w:r>
        <w:t>āori and Pacific peoples, they</w:t>
      </w:r>
      <w:r w:rsidRPr="00D34911">
        <w:t xml:space="preserve"> have been included in the results section and in </w:t>
      </w:r>
      <w:hyperlink w:anchor="Appendix_7" w:history="1">
        <w:r w:rsidRPr="00D34911">
          <w:rPr>
            <w:rStyle w:val="Hyperlink"/>
            <w:rFonts w:eastAsia="MS Gothic"/>
          </w:rPr>
          <w:t>Appendix 7</w:t>
        </w:r>
      </w:hyperlink>
      <w:r w:rsidRPr="00D34911">
        <w:t xml:space="preserve">. There are likely to be similar inequities experienced by other population groups, for example, people living in deprived areas </w:t>
      </w:r>
      <w:r w:rsidRPr="00D34911">
        <w:rPr>
          <w:noProof/>
        </w:rPr>
        <w:t>(</w:t>
      </w:r>
      <w:r w:rsidR="00F64599">
        <w:rPr>
          <w:noProof/>
        </w:rPr>
        <w:t>Te Aho</w:t>
      </w:r>
      <w:r w:rsidRPr="00D34911">
        <w:rPr>
          <w:noProof/>
        </w:rPr>
        <w:t xml:space="preserve"> o </w:t>
      </w:r>
      <w:r w:rsidR="00B537E2">
        <w:rPr>
          <w:noProof/>
        </w:rPr>
        <w:t>Te Kahu</w:t>
      </w:r>
      <w:r w:rsidRPr="00D34911">
        <w:rPr>
          <w:noProof/>
        </w:rPr>
        <w:t xml:space="preserve"> 2021a)</w:t>
      </w:r>
      <w:r w:rsidRPr="00D34911">
        <w:t xml:space="preserve"> or people living with mental illness </w:t>
      </w:r>
      <w:r w:rsidRPr="00D34911">
        <w:rPr>
          <w:noProof/>
        </w:rPr>
        <w:t xml:space="preserve">(Cunningham </w:t>
      </w:r>
      <w:r w:rsidR="00C338E8">
        <w:rPr>
          <w:noProof/>
        </w:rPr>
        <w:t>et al</w:t>
      </w:r>
      <w:r w:rsidR="003B51F4">
        <w:rPr>
          <w:noProof/>
        </w:rPr>
        <w:t xml:space="preserve"> 2</w:t>
      </w:r>
      <w:r w:rsidRPr="00D34911">
        <w:rPr>
          <w:noProof/>
        </w:rPr>
        <w:t xml:space="preserve">015; Davis </w:t>
      </w:r>
      <w:r w:rsidR="00C338E8">
        <w:rPr>
          <w:noProof/>
        </w:rPr>
        <w:t>et al</w:t>
      </w:r>
      <w:r w:rsidR="003B51F4">
        <w:rPr>
          <w:noProof/>
        </w:rPr>
        <w:t xml:space="preserve"> 2</w:t>
      </w:r>
      <w:r w:rsidRPr="00D34911">
        <w:rPr>
          <w:noProof/>
        </w:rPr>
        <w:t>020)</w:t>
      </w:r>
      <w:r w:rsidRPr="00D34911">
        <w:t>. The degree to which these unacceptable differences in outcomes are amenable to change through improved access to cancer medicines, and the relative priority of cancer medicines compared with other interventions to tackle these issues, differs across cancer types.</w:t>
      </w:r>
    </w:p>
    <w:p w14:paraId="004F9ED8" w14:textId="77777777" w:rsidR="00C338E8" w:rsidRDefault="00C338E8" w:rsidP="00B83E44"/>
    <w:p w14:paraId="098D77B9" w14:textId="77777777" w:rsidR="00C338E8" w:rsidRDefault="00B12E4F" w:rsidP="00B83E44">
      <w:r w:rsidRPr="00D34911">
        <w:t>Additionally, there are other inequities that relate to eligibility for the medicine, such as inequities in stage at diagnosis or differences in the prevalence of a particular molecular subtype. Differences in factors such as stage at diagnosis may also have a meaningful influence on which medicine gaps would have a greater impact on inequities if funded. For example, if a medicine were used in early-stage disease, but we know that the majority of Māori are diagnosed later in the disease course for that particular cancer type, then there is the potential to inadvertently exacerbate inequities in outcomes for Māori. Conversely, not having the medicine available at that early stage specifically for Māori who do have an earlier diagnosis will also have a negative implication for Māori health outcomes. These matters are complex and require thorough consideration when funding applications are being assessed and decisions are being made.</w:t>
      </w:r>
    </w:p>
    <w:p w14:paraId="1336B0FA" w14:textId="77777777" w:rsidR="00C338E8" w:rsidRDefault="00C338E8" w:rsidP="00B83E44"/>
    <w:p w14:paraId="34303496" w14:textId="77777777" w:rsidR="00C338E8" w:rsidRDefault="00B12E4F" w:rsidP="00B83E44">
      <w:r>
        <w:t>D</w:t>
      </w:r>
      <w:r w:rsidRPr="00EE3C7F">
        <w:t xml:space="preserve">elays in </w:t>
      </w:r>
      <w:r>
        <w:t xml:space="preserve">availability of new effective cancer medicines in Aotearoa </w:t>
      </w:r>
      <w:r w:rsidRPr="00EE3C7F">
        <w:t xml:space="preserve">exacerbate inequities in outcomes as only those who can afford to pay </w:t>
      </w:r>
      <w:r>
        <w:t xml:space="preserve">out-of-pocket </w:t>
      </w:r>
      <w:r w:rsidRPr="00EE3C7F">
        <w:t>for new, non</w:t>
      </w:r>
      <w:r w:rsidR="00B83E44">
        <w:noBreakHyphen/>
      </w:r>
      <w:r w:rsidRPr="00EE3C7F">
        <w:t>funded medicines</w:t>
      </w:r>
      <w:r>
        <w:t xml:space="preserve"> (or have private insurance) may be able to receive them. Conversely, although other countries may have more medicines available, higher </w:t>
      </w:r>
      <w:r w:rsidRPr="00EE3C7F">
        <w:t>patient co</w:t>
      </w:r>
      <w:r w:rsidR="00B83E44">
        <w:noBreakHyphen/>
      </w:r>
      <w:r w:rsidRPr="00EE3C7F">
        <w:t xml:space="preserve">payments may </w:t>
      </w:r>
      <w:r>
        <w:t>limit</w:t>
      </w:r>
      <w:r w:rsidRPr="00EE3C7F">
        <w:t xml:space="preserve"> patients</w:t>
      </w:r>
      <w:r w:rsidR="00D34911">
        <w:t>’</w:t>
      </w:r>
      <w:r w:rsidRPr="00EE3C7F">
        <w:t xml:space="preserve"> access to </w:t>
      </w:r>
      <w:r>
        <w:t>these</w:t>
      </w:r>
      <w:r w:rsidRPr="00EE3C7F">
        <w:t xml:space="preserve"> medicines </w:t>
      </w:r>
      <w:r w:rsidRPr="00EE3C7F">
        <w:rPr>
          <w:noProof/>
        </w:rPr>
        <w:t xml:space="preserve">(Babar </w:t>
      </w:r>
      <w:r w:rsidR="00C338E8">
        <w:rPr>
          <w:noProof/>
        </w:rPr>
        <w:t>et al</w:t>
      </w:r>
      <w:r w:rsidR="003B51F4">
        <w:rPr>
          <w:noProof/>
        </w:rPr>
        <w:t xml:space="preserve"> 2</w:t>
      </w:r>
      <w:r w:rsidRPr="00EE3C7F">
        <w:rPr>
          <w:noProof/>
        </w:rPr>
        <w:t>019)</w:t>
      </w:r>
      <w:r w:rsidRPr="00EE3C7F">
        <w:t xml:space="preserve">. </w:t>
      </w:r>
      <w:r>
        <w:t xml:space="preserve">In </w:t>
      </w:r>
      <w:r w:rsidRPr="00EE3C7F">
        <w:t>Australia</w:t>
      </w:r>
      <w:r>
        <w:t xml:space="preserve">, it was observed that </w:t>
      </w:r>
      <w:r w:rsidRPr="00EE3C7F">
        <w:t>a 2</w:t>
      </w:r>
      <w:r>
        <w:t>4</w:t>
      </w:r>
      <w:r w:rsidR="00F64599">
        <w:t> percent</w:t>
      </w:r>
      <w:r w:rsidRPr="00EE3C7F">
        <w:t xml:space="preserve"> increase in co-payments</w:t>
      </w:r>
      <w:r>
        <w:t xml:space="preserve"> for subsidised medicines in 2005</w:t>
      </w:r>
      <w:r w:rsidRPr="00EE3C7F">
        <w:t xml:space="preserve"> adversely affected </w:t>
      </w:r>
      <w:r>
        <w:t>dispensing of prescriptions, especially among those on lower incomes</w:t>
      </w:r>
      <w:r w:rsidRPr="00EE3C7F">
        <w:t xml:space="preserve"> </w:t>
      </w:r>
      <w:r>
        <w:rPr>
          <w:noProof/>
        </w:rPr>
        <w:t xml:space="preserve">(Babar and Vitry 2014; Hynd </w:t>
      </w:r>
      <w:r w:rsidR="00C338E8">
        <w:rPr>
          <w:noProof/>
        </w:rPr>
        <w:t>et al</w:t>
      </w:r>
      <w:r w:rsidR="003B51F4">
        <w:rPr>
          <w:noProof/>
        </w:rPr>
        <w:t xml:space="preserve"> 2</w:t>
      </w:r>
      <w:r>
        <w:rPr>
          <w:noProof/>
        </w:rPr>
        <w:t>008)</w:t>
      </w:r>
      <w:r>
        <w:t>.</w:t>
      </w:r>
    </w:p>
    <w:p w14:paraId="385E3DEA" w14:textId="77777777" w:rsidR="00C338E8" w:rsidRDefault="00C338E8" w:rsidP="00B83E44"/>
    <w:p w14:paraId="127A0CEB" w14:textId="77777777" w:rsidR="00C338E8" w:rsidRDefault="00B12E4F" w:rsidP="00B83E44">
      <w:pPr>
        <w:pStyle w:val="Heading2"/>
      </w:pPr>
      <w:bookmarkStart w:id="313" w:name="_Toc99451933"/>
      <w:bookmarkStart w:id="314" w:name="_Toc99456206"/>
      <w:bookmarkStart w:id="315" w:name="_Toc100738347"/>
      <w:bookmarkStart w:id="316" w:name="_Toc100739049"/>
      <w:bookmarkStart w:id="317" w:name="_Toc99443593"/>
      <w:bookmarkStart w:id="318" w:name="_Toc99443748"/>
      <w:bookmarkStart w:id="319" w:name="_Toc101618164"/>
      <w:r w:rsidRPr="00D34911">
        <w:lastRenderedPageBreak/>
        <w:t>Cancer medicines must be accessible, and availability is not a guarantee of accessibility</w:t>
      </w:r>
      <w:bookmarkEnd w:id="313"/>
      <w:bookmarkEnd w:id="314"/>
      <w:bookmarkEnd w:id="315"/>
      <w:bookmarkEnd w:id="316"/>
      <w:bookmarkEnd w:id="317"/>
      <w:bookmarkEnd w:id="318"/>
      <w:bookmarkEnd w:id="319"/>
    </w:p>
    <w:p w14:paraId="6F4E5980" w14:textId="77777777" w:rsidR="00C338E8" w:rsidRDefault="00B12E4F" w:rsidP="00B83E44">
      <w:pPr>
        <w:keepNext/>
        <w:keepLines/>
      </w:pPr>
      <w:r w:rsidRPr="00D34911">
        <w:t>The accessibility of medicines for Māori, Pacific peoples and other population groups is influenced by many things in addition to whether they are listed in Pharmac</w:t>
      </w:r>
      <w:r w:rsidR="00D34911" w:rsidRPr="00D34911">
        <w:t>’</w:t>
      </w:r>
      <w:r w:rsidRPr="00D34911">
        <w:t>s Pharmaceutical Schedule, including barriers of cost, time, travel and trust, as well as health system factors. M</w:t>
      </w:r>
      <w:r>
        <w:t xml:space="preserve">āori and Pacific peoples experience specific inequities when it comes to accessing systemic anti-cancer therapies. Examples include poorer access to trastuzumab and adjuvant chemotherapy in breast cancer </w:t>
      </w:r>
      <w:r>
        <w:rPr>
          <w:noProof/>
        </w:rPr>
        <w:t xml:space="preserve">(Lawrenson </w:t>
      </w:r>
      <w:r w:rsidR="00C338E8">
        <w:rPr>
          <w:noProof/>
        </w:rPr>
        <w:t>et al</w:t>
      </w:r>
      <w:r w:rsidR="003B51F4">
        <w:rPr>
          <w:noProof/>
        </w:rPr>
        <w:t xml:space="preserve"> 2</w:t>
      </w:r>
      <w:r>
        <w:rPr>
          <w:noProof/>
        </w:rPr>
        <w:t>018</w:t>
      </w:r>
      <w:r w:rsidR="00B83E44">
        <w:rPr>
          <w:noProof/>
        </w:rPr>
        <w:t>,</w:t>
      </w:r>
      <w:r>
        <w:rPr>
          <w:noProof/>
        </w:rPr>
        <w:t xml:space="preserve"> Seneviratne </w:t>
      </w:r>
      <w:r w:rsidR="00C338E8">
        <w:rPr>
          <w:noProof/>
        </w:rPr>
        <w:t>et al</w:t>
      </w:r>
      <w:r w:rsidR="003B51F4">
        <w:rPr>
          <w:noProof/>
        </w:rPr>
        <w:t xml:space="preserve"> 2</w:t>
      </w:r>
      <w:r>
        <w:rPr>
          <w:noProof/>
        </w:rPr>
        <w:t>014)</w:t>
      </w:r>
      <w:r>
        <w:t xml:space="preserve">, and </w:t>
      </w:r>
      <w:r w:rsidRPr="00D34911">
        <w:t xml:space="preserve">adjuvant chemotherapy in stage III colon cancer </w:t>
      </w:r>
      <w:r w:rsidRPr="00D34911">
        <w:rPr>
          <w:noProof/>
        </w:rPr>
        <w:t xml:space="preserve">(Hill </w:t>
      </w:r>
      <w:r w:rsidR="00C338E8">
        <w:rPr>
          <w:noProof/>
        </w:rPr>
        <w:t>et al</w:t>
      </w:r>
      <w:r w:rsidR="003B51F4">
        <w:rPr>
          <w:noProof/>
        </w:rPr>
        <w:t xml:space="preserve"> 2</w:t>
      </w:r>
      <w:r w:rsidRPr="00D34911">
        <w:rPr>
          <w:noProof/>
        </w:rPr>
        <w:t>010</w:t>
      </w:r>
      <w:r w:rsidR="00B83E44">
        <w:rPr>
          <w:noProof/>
        </w:rPr>
        <w:t>,</w:t>
      </w:r>
      <w:r w:rsidRPr="00D34911">
        <w:rPr>
          <w:noProof/>
        </w:rPr>
        <w:t xml:space="preserve"> Lao </w:t>
      </w:r>
      <w:r w:rsidR="00C338E8">
        <w:rPr>
          <w:noProof/>
        </w:rPr>
        <w:t>et al</w:t>
      </w:r>
      <w:r w:rsidR="003B51F4">
        <w:rPr>
          <w:noProof/>
        </w:rPr>
        <w:t xml:space="preserve"> 2</w:t>
      </w:r>
      <w:r w:rsidRPr="00D34911">
        <w:rPr>
          <w:noProof/>
        </w:rPr>
        <w:t>020)</w:t>
      </w:r>
      <w:r w:rsidRPr="00D34911">
        <w:t>.</w:t>
      </w:r>
    </w:p>
    <w:p w14:paraId="2BCC844E" w14:textId="77777777" w:rsidR="00C338E8" w:rsidRDefault="00C338E8" w:rsidP="00B83E44"/>
    <w:p w14:paraId="5FFC611A" w14:textId="77777777" w:rsidR="00C338E8" w:rsidRDefault="00B12E4F" w:rsidP="00B83E44">
      <w:r>
        <w:t xml:space="preserve">Co-payments for prescriptions are lower in Aotearoa compared with other countries. However, cost remains a barrier to accessing and adhering to any and all prescribed medicines. Māori, Pacific peoples and those on low incomes were found to be more likely to defer purchasing a prescription at least once due to cost </w:t>
      </w:r>
      <w:r>
        <w:rPr>
          <w:noProof/>
        </w:rPr>
        <w:t xml:space="preserve">(Jatrana </w:t>
      </w:r>
      <w:r w:rsidR="00C338E8">
        <w:rPr>
          <w:noProof/>
        </w:rPr>
        <w:t>et al</w:t>
      </w:r>
      <w:r w:rsidR="003B51F4">
        <w:rPr>
          <w:noProof/>
        </w:rPr>
        <w:t xml:space="preserve"> 2</w:t>
      </w:r>
      <w:r>
        <w:rPr>
          <w:noProof/>
        </w:rPr>
        <w:t>011)</w:t>
      </w:r>
      <w:r>
        <w:t xml:space="preserve">. A qualitative study found that this can negatively impact on health directly by preventing access to medicines generally, through reducing expenditure on other items needed for health (such as nutritious food) and making changes to optimal treatment </w:t>
      </w:r>
      <w:r w:rsidRPr="00424F20">
        <w:rPr>
          <w:noProof/>
        </w:rPr>
        <w:t xml:space="preserve">(Norris </w:t>
      </w:r>
      <w:r w:rsidR="00C338E8">
        <w:rPr>
          <w:noProof/>
        </w:rPr>
        <w:t>et al</w:t>
      </w:r>
      <w:r w:rsidR="003B51F4">
        <w:rPr>
          <w:noProof/>
        </w:rPr>
        <w:t xml:space="preserve"> 2</w:t>
      </w:r>
      <w:r w:rsidRPr="00424F20">
        <w:rPr>
          <w:noProof/>
        </w:rPr>
        <w:t>016)</w:t>
      </w:r>
      <w:r w:rsidRPr="00424F20">
        <w:t xml:space="preserve">. </w:t>
      </w:r>
      <w:r>
        <w:t>These findings echo those in international literature that show that older people, women, low-income populations and non-white people are among those that were most likely to report cost as a barrier. Patients</w:t>
      </w:r>
      <w:r w:rsidRPr="00F368EB">
        <w:t xml:space="preserve"> also incur costs </w:t>
      </w:r>
      <w:r>
        <w:t>in</w:t>
      </w:r>
      <w:r w:rsidRPr="00F368EB">
        <w:t xml:space="preserve"> </w:t>
      </w:r>
      <w:r>
        <w:t>travel for</w:t>
      </w:r>
      <w:r w:rsidRPr="00F368EB">
        <w:t xml:space="preserve"> treatment</w:t>
      </w:r>
      <w:r>
        <w:t xml:space="preserve"> and taking </w:t>
      </w:r>
      <w:r w:rsidRPr="00F368EB">
        <w:t>time off work</w:t>
      </w:r>
      <w:r>
        <w:t xml:space="preserve">, and such costs can be significant </w:t>
      </w:r>
      <w:r>
        <w:rPr>
          <w:noProof/>
        </w:rPr>
        <w:t xml:space="preserve">(Fearnley </w:t>
      </w:r>
      <w:r w:rsidR="00C338E8">
        <w:rPr>
          <w:noProof/>
        </w:rPr>
        <w:t>et al</w:t>
      </w:r>
      <w:r w:rsidR="003B51F4">
        <w:rPr>
          <w:noProof/>
        </w:rPr>
        <w:t xml:space="preserve"> 2</w:t>
      </w:r>
      <w:r>
        <w:rPr>
          <w:noProof/>
        </w:rPr>
        <w:t>016)</w:t>
      </w:r>
      <w:r>
        <w:t>.</w:t>
      </w:r>
    </w:p>
    <w:p w14:paraId="7E1559A0" w14:textId="77777777" w:rsidR="00C338E8" w:rsidRDefault="00B12E4F" w:rsidP="00B83E44">
      <w:pPr>
        <w:pStyle w:val="Heading2"/>
      </w:pPr>
      <w:bookmarkStart w:id="320" w:name="_Toc99443594"/>
      <w:bookmarkStart w:id="321" w:name="_Toc99443749"/>
      <w:bookmarkStart w:id="322" w:name="_Toc99451934"/>
      <w:bookmarkStart w:id="323" w:name="_Toc99456207"/>
      <w:bookmarkStart w:id="324" w:name="_Toc100738348"/>
      <w:bookmarkStart w:id="325" w:name="_Toc100739050"/>
      <w:bookmarkStart w:id="326" w:name="_Toc101618165"/>
      <w:r w:rsidRPr="00003F5B">
        <w:t>Implementation of cancer medicines once funded</w:t>
      </w:r>
      <w:bookmarkEnd w:id="320"/>
      <w:bookmarkEnd w:id="321"/>
      <w:bookmarkEnd w:id="322"/>
      <w:bookmarkEnd w:id="323"/>
      <w:bookmarkEnd w:id="324"/>
      <w:bookmarkEnd w:id="325"/>
      <w:bookmarkEnd w:id="326"/>
    </w:p>
    <w:p w14:paraId="141C4BE2" w14:textId="77777777" w:rsidR="00C338E8" w:rsidRDefault="00B12E4F" w:rsidP="00B83E44">
      <w:r w:rsidRPr="00D34911">
        <w:t xml:space="preserve">Many of the cancer medicine funding gaps would require additional health system resources beyond the medicines themselves and may result in additional considerations for patients. These additional considerations are outlined in detail in the tables in </w:t>
      </w:r>
      <w:hyperlink w:anchor="Appendix_7" w:history="1">
        <w:r w:rsidRPr="00D34911">
          <w:rPr>
            <w:rStyle w:val="Hyperlink"/>
            <w:rFonts w:eastAsia="MS Gothic"/>
          </w:rPr>
          <w:t>Appendix 7</w:t>
        </w:r>
      </w:hyperlink>
      <w:r w:rsidRPr="00D34911">
        <w:t>. They include medicine administration requirements, such as: infusion capacity with its associated pharmaceutical compounding, chair/</w:t>
      </w:r>
      <w:proofErr w:type="gramStart"/>
      <w:r w:rsidRPr="00D34911">
        <w:t>bed time</w:t>
      </w:r>
      <w:proofErr w:type="gramEnd"/>
      <w:r w:rsidRPr="00D34911">
        <w:t xml:space="preserve">, medical specialist time and nursing care. For several of the gaps, molecular testing is required to determine eligibility for the medicine. Most gaps would require one or more of the following: follow-up appointments, imaging to assess disease progression, blood testing to monitor toxicities from treatment, or input from other medical specialties to address side-effects. For patients, this can mean more treatment or follow-up appointments, requiring additional time and travel. There may also be additional out-of-pocket costs such as for filling outpatient prescriptions. In short, cancer medicines do not exist in isolation but rather as part of a </w:t>
      </w:r>
      <w:r w:rsidR="00D34911" w:rsidRPr="00D34911">
        <w:t>‘</w:t>
      </w:r>
      <w:r w:rsidRPr="00D34911">
        <w:t>package</w:t>
      </w:r>
      <w:r w:rsidR="00D34911" w:rsidRPr="00D34911">
        <w:t>’</w:t>
      </w:r>
      <w:r w:rsidRPr="00D34911">
        <w:t xml:space="preserve"> of cancer care. In order for the benefits of a funded medicine to be fully realised, all the components of the package need to be available and accessible, including supportive care. Importantly, they need to be available and accessible in an equitable manner.</w:t>
      </w:r>
    </w:p>
    <w:p w14:paraId="1C97E137" w14:textId="77777777" w:rsidR="00B83E44" w:rsidRDefault="00B83E44" w:rsidP="00B83E44"/>
    <w:p w14:paraId="09A7B2BB" w14:textId="77777777" w:rsidR="00C338E8" w:rsidRDefault="00B12E4F" w:rsidP="00B83E44">
      <w:pPr>
        <w:pStyle w:val="Heading2"/>
      </w:pPr>
      <w:bookmarkStart w:id="327" w:name="_Toc99443595"/>
      <w:bookmarkStart w:id="328" w:name="_Toc99443750"/>
      <w:bookmarkStart w:id="329" w:name="_Toc99451935"/>
      <w:bookmarkStart w:id="330" w:name="_Toc99456208"/>
      <w:bookmarkStart w:id="331" w:name="_Toc100738349"/>
      <w:bookmarkStart w:id="332" w:name="_Toc100739051"/>
      <w:bookmarkStart w:id="333" w:name="_Toc101618166"/>
      <w:r w:rsidRPr="00D34911">
        <w:lastRenderedPageBreak/>
        <w:t>Strengths of this analysis</w:t>
      </w:r>
      <w:bookmarkEnd w:id="327"/>
      <w:bookmarkEnd w:id="328"/>
      <w:bookmarkEnd w:id="329"/>
      <w:bookmarkEnd w:id="330"/>
      <w:bookmarkEnd w:id="331"/>
      <w:bookmarkEnd w:id="332"/>
      <w:bookmarkEnd w:id="333"/>
    </w:p>
    <w:p w14:paraId="018068CF" w14:textId="77777777" w:rsidR="00C338E8" w:rsidRDefault="00B12E4F" w:rsidP="00B83E44">
      <w:r w:rsidRPr="00D34911">
        <w:t>The main strength of this analysis is that it goes beyond a simple comparison of the number of cancer medicines funded in Aotearoa compared with those funded in Australia. This analysis considers the specific use of the medicines (via medicine-indication pairs) and the magnitude of potential clinical benefit, using a validated and internationally recognised assessment tool, the ESMO-MCBS.</w:t>
      </w:r>
    </w:p>
    <w:p w14:paraId="36417B81" w14:textId="77777777" w:rsidR="00C338E8" w:rsidRDefault="00C338E8" w:rsidP="00B83E44"/>
    <w:p w14:paraId="092BE773" w14:textId="77777777" w:rsidR="00C338E8" w:rsidRDefault="00B12E4F" w:rsidP="00B83E44">
      <w:r w:rsidRPr="00D34911">
        <w:t>The analysis also provides important local context to the identified gaps by situating the gaps within current clinical practice in Aotearoa and within the population-level characteristics of the relevant cancer. Additionally, it includes consideration of additional health system requirements and demands on patients if the gaps were to be funded.</w:t>
      </w:r>
    </w:p>
    <w:p w14:paraId="745ACEB6" w14:textId="77777777" w:rsidR="00C338E8" w:rsidRDefault="00C338E8" w:rsidP="00B83E44"/>
    <w:p w14:paraId="5AB91533" w14:textId="77777777" w:rsidR="00C338E8" w:rsidRDefault="00B12E4F" w:rsidP="00B83E44">
      <w:r w:rsidRPr="00D34911">
        <w:t>Interpretation of identified gaps between Aotearoa and Australia was assisted by comparing and contrasting the approach to medicines funding in both countries. Finally, this point-in-time analysis will serve as a useful baseline to review changes over time, using the same methodology.</w:t>
      </w:r>
    </w:p>
    <w:p w14:paraId="0A2107A6" w14:textId="77777777" w:rsidR="00C338E8" w:rsidRDefault="00B12E4F" w:rsidP="00B83E44">
      <w:pPr>
        <w:pStyle w:val="Heading2"/>
      </w:pPr>
      <w:bookmarkStart w:id="334" w:name="_Toc99443596"/>
      <w:bookmarkStart w:id="335" w:name="_Toc99443751"/>
      <w:bookmarkStart w:id="336" w:name="_Toc99451936"/>
      <w:bookmarkStart w:id="337" w:name="_Toc99456209"/>
      <w:bookmarkStart w:id="338" w:name="_Toc100738350"/>
      <w:bookmarkStart w:id="339" w:name="_Toc100739052"/>
      <w:bookmarkStart w:id="340" w:name="_Toc101618167"/>
      <w:r w:rsidRPr="00D34911">
        <w:t>Considerations when interpreting this analysis</w:t>
      </w:r>
      <w:bookmarkEnd w:id="334"/>
      <w:bookmarkEnd w:id="335"/>
      <w:bookmarkEnd w:id="336"/>
      <w:bookmarkEnd w:id="337"/>
      <w:bookmarkEnd w:id="338"/>
      <w:bookmarkEnd w:id="339"/>
      <w:bookmarkEnd w:id="340"/>
    </w:p>
    <w:p w14:paraId="302F15F1" w14:textId="77777777" w:rsidR="00C338E8" w:rsidRDefault="00B12E4F" w:rsidP="00B83E44">
      <w:r w:rsidRPr="00D34911">
        <w:t>There are important features and limitations of this analysis that need to be considered when interpreting its results. Firstly, this analysis was intended to consider cancer medicines availability in Aotearoa at a system or population level rather than at an individual patient level. Accordingly, there will be gaps in medicines not identified by this analysis as having substantial clinical benefit at a system or population level that may still confer significant benefit for some individuals, depending on their specific clinical circumstances.</w:t>
      </w:r>
    </w:p>
    <w:p w14:paraId="19697F97" w14:textId="77777777" w:rsidR="00C338E8" w:rsidRDefault="00C338E8" w:rsidP="00B83E44"/>
    <w:p w14:paraId="7F5090CE" w14:textId="24BEB667" w:rsidR="00C338E8" w:rsidRDefault="00B12E4F" w:rsidP="00B83E44">
      <w:r w:rsidRPr="00D34911">
        <w:t xml:space="preserve">This analysis compared medicines availability in Aotearoa with that in Australia, and that may imply that Australia is the </w:t>
      </w:r>
      <w:r w:rsidR="00D34911" w:rsidRPr="00D34911">
        <w:t>‘</w:t>
      </w:r>
      <w:r w:rsidRPr="00D34911">
        <w:t>gold standard</w:t>
      </w:r>
      <w:r w:rsidR="00D34911" w:rsidRPr="00D34911">
        <w:t>’</w:t>
      </w:r>
      <w:r w:rsidRPr="00D34911">
        <w:t xml:space="preserve"> with respect to cancer medicines funding. However, no country is likely to have achieved the perfect balance of public cancer medicines funding. There may be important gaps in publicly funded cancer medicines in Australia that would not necessarily have been identified using this methodology. Furthermore, the analysis was conducted at a single point in time. The pace of change for cancer medicines is rapid, and it is likely that other cancer medicines have been funded in Australia since this analysis. For example, pembrolizumab for deficient DNA mismatch repair (dMMR) colorectal cancer</w:t>
      </w:r>
      <w:r w:rsidR="00310574">
        <w:t>, and gemtuzum</w:t>
      </w:r>
      <w:r w:rsidR="0081682C">
        <w:t>a</w:t>
      </w:r>
      <w:r w:rsidR="00310574">
        <w:t xml:space="preserve">b ozogamicin for </w:t>
      </w:r>
      <w:r w:rsidR="0081682C">
        <w:t>acute myeloid leukaemia</w:t>
      </w:r>
      <w:r w:rsidR="00310574">
        <w:t xml:space="preserve"> have both</w:t>
      </w:r>
      <w:r w:rsidRPr="00D34911">
        <w:t xml:space="preserve"> recently been approved for funding in Australia.</w:t>
      </w:r>
    </w:p>
    <w:p w14:paraId="50D01D94" w14:textId="77777777" w:rsidR="00C338E8" w:rsidRDefault="00C338E8" w:rsidP="00B83E44"/>
    <w:p w14:paraId="5B0BA296" w14:textId="77777777" w:rsidR="00C338E8" w:rsidRDefault="00B12E4F" w:rsidP="00B83E44">
      <w:pPr>
        <w:keepNext/>
        <w:keepLines/>
      </w:pPr>
      <w:r w:rsidRPr="00D34911">
        <w:t xml:space="preserve">The ESMO-MCBS tool is internationally accepted, used by the WHO and an increasing number of guidelines groups and health technology assessment organisations internationally </w:t>
      </w:r>
      <w:r w:rsidRPr="00D34911">
        <w:rPr>
          <w:noProof/>
        </w:rPr>
        <w:t xml:space="preserve">(ESMO nd-a; Gyawali </w:t>
      </w:r>
      <w:r w:rsidR="00C338E8">
        <w:rPr>
          <w:noProof/>
        </w:rPr>
        <w:t>et al</w:t>
      </w:r>
      <w:r w:rsidR="003B51F4">
        <w:rPr>
          <w:noProof/>
        </w:rPr>
        <w:t xml:space="preserve"> 2</w:t>
      </w:r>
      <w:r w:rsidRPr="00D34911">
        <w:rPr>
          <w:noProof/>
        </w:rPr>
        <w:t>021)</w:t>
      </w:r>
      <w:r w:rsidRPr="00D34911">
        <w:t xml:space="preserve">. However, it has its limitations and does not always correlate well with international cancer medicines funding decisions </w:t>
      </w:r>
      <w:r w:rsidRPr="00D34911">
        <w:rPr>
          <w:noProof/>
        </w:rPr>
        <w:t xml:space="preserve">(Cheng </w:t>
      </w:r>
      <w:r w:rsidR="00C338E8">
        <w:rPr>
          <w:noProof/>
        </w:rPr>
        <w:t>et al</w:t>
      </w:r>
      <w:r w:rsidR="003B51F4">
        <w:rPr>
          <w:noProof/>
        </w:rPr>
        <w:t xml:space="preserve"> 2</w:t>
      </w:r>
      <w:r w:rsidRPr="00D34911">
        <w:rPr>
          <w:noProof/>
        </w:rPr>
        <w:t>017)</w:t>
      </w:r>
      <w:r w:rsidRPr="00D34911">
        <w:t>. The ESMO-MCBS does not specifically consider potential differences in benefits between population groups and has not been assessed from a health equity perspective. This analysis was unable to compensate for that limitation but does include known inequities in the population-level characteristics of cancers.</w:t>
      </w:r>
    </w:p>
    <w:p w14:paraId="68693CF1" w14:textId="77777777" w:rsidR="00C338E8" w:rsidRDefault="00C338E8" w:rsidP="00B83E44"/>
    <w:p w14:paraId="2853CB55" w14:textId="77777777" w:rsidR="00C338E8" w:rsidRDefault="00B12E4F" w:rsidP="00B83E44">
      <w:r w:rsidRPr="00D34911">
        <w:lastRenderedPageBreak/>
        <w:t>Another clear limitation of ESMO-MCBS is that it is not yet validated for medicines for blood cancers.</w:t>
      </w:r>
      <w:r w:rsidR="00D34911" w:rsidRPr="00D34911">
        <w:t xml:space="preserve"> </w:t>
      </w:r>
      <w:r w:rsidRPr="00D34911">
        <w:t xml:space="preserve">We were unable to identify another appropriate tool for assessing medicines for blood cancers, but note that the European Haematology Association (EHA) and ESMO are in the process of developing one </w:t>
      </w:r>
      <w:r w:rsidRPr="00D34911">
        <w:rPr>
          <w:noProof/>
        </w:rPr>
        <w:t xml:space="preserve">(Kiesewetter </w:t>
      </w:r>
      <w:r w:rsidR="00C338E8">
        <w:rPr>
          <w:noProof/>
        </w:rPr>
        <w:t>et al</w:t>
      </w:r>
      <w:r w:rsidR="003B51F4">
        <w:rPr>
          <w:noProof/>
        </w:rPr>
        <w:t xml:space="preserve"> 2</w:t>
      </w:r>
      <w:r w:rsidRPr="00D34911">
        <w:rPr>
          <w:noProof/>
        </w:rPr>
        <w:t>020)</w:t>
      </w:r>
      <w:r w:rsidRPr="00D34911">
        <w:t>. Blood cancers are heavily reliant on the use of medicines, given that other non-medicine options, like surgery or radiotherapy, are often not an option. We suspect that the conclusions of this analysis (which is focused on solid tumour medicines) would be similar if not more compelling for blood cancers.</w:t>
      </w:r>
      <w:r w:rsidRPr="00F256F4">
        <w:t xml:space="preserve"> </w:t>
      </w:r>
      <w:r>
        <w:t>We plan to conduct a similar analysis for medicines used to treat blood cancers once a similarly validated tool to assess clinical benefit is available.</w:t>
      </w:r>
    </w:p>
    <w:p w14:paraId="31AC574B" w14:textId="77777777" w:rsidR="00C338E8" w:rsidRDefault="00C338E8" w:rsidP="00B83E44"/>
    <w:p w14:paraId="3B9DA2CD" w14:textId="77777777" w:rsidR="00C338E8" w:rsidRDefault="00B12E4F" w:rsidP="00B83E44">
      <w:r w:rsidRPr="00D34911">
        <w:t>ESMO-MCBS scoring does not include critical appraisal of trials and assumes that clinical trials have valid research methods, appropriate data analysis and high-quality implementation. Where this is not the case, trials may produce outcomes that overstate the real benefit or are not able to be generalised and therefore skew ESMO-MCBS scores. Shortcomings in this area include the fact that ESMO-MCBS does not independently evaluate the appropriateness of the control arm and is limited in its ability to handle suboptimal crossovers, substandard post-progression treatment and publication bias in the reporting of quality-of-life outcomes. A revised version of the ESMO-MCBS is planned that aims to address some of these limitations, but that revised version was not available at the time of this analysis</w:t>
      </w:r>
      <w:r w:rsidRPr="00D34911">
        <w:rPr>
          <w:noProof/>
        </w:rPr>
        <w:t xml:space="preserve"> (ESMO 2021; Gyawali </w:t>
      </w:r>
      <w:r w:rsidR="00C338E8">
        <w:rPr>
          <w:noProof/>
        </w:rPr>
        <w:t>et al</w:t>
      </w:r>
      <w:r w:rsidR="003B51F4">
        <w:rPr>
          <w:noProof/>
        </w:rPr>
        <w:t xml:space="preserve"> 2</w:t>
      </w:r>
      <w:r w:rsidRPr="00D34911">
        <w:rPr>
          <w:noProof/>
        </w:rPr>
        <w:t>021)</w:t>
      </w:r>
      <w:r w:rsidRPr="00D34911">
        <w:t xml:space="preserve">. Additionally, the importance of considering current clinical practices when interpreting ESMO-MCBS scores has been highlighted </w:t>
      </w:r>
      <w:r w:rsidRPr="00D34911">
        <w:rPr>
          <w:noProof/>
        </w:rPr>
        <w:t xml:space="preserve">(Cherny </w:t>
      </w:r>
      <w:r w:rsidR="00C338E8">
        <w:rPr>
          <w:noProof/>
        </w:rPr>
        <w:t>et al</w:t>
      </w:r>
      <w:r w:rsidR="003B51F4">
        <w:rPr>
          <w:noProof/>
        </w:rPr>
        <w:t xml:space="preserve"> 2</w:t>
      </w:r>
      <w:r w:rsidRPr="00D34911">
        <w:rPr>
          <w:noProof/>
        </w:rPr>
        <w:t>022)</w:t>
      </w:r>
      <w:r w:rsidRPr="00D34911">
        <w:t xml:space="preserve"> and was a central feature of this analysis.</w:t>
      </w:r>
    </w:p>
    <w:p w14:paraId="297B620C" w14:textId="77777777" w:rsidR="00C338E8" w:rsidRDefault="00C338E8" w:rsidP="00B83E44"/>
    <w:p w14:paraId="7D6D3C73" w14:textId="77777777" w:rsidR="00C338E8" w:rsidRDefault="00B12E4F" w:rsidP="00B83E44">
      <w:r w:rsidRPr="00ED04E8">
        <w:t xml:space="preserve">Finally, </w:t>
      </w:r>
      <w:r>
        <w:t>as the ESMO-MCBS relies on findings from clinical trials, it must be acknowledged that trials are often conducted in small, tightly-defined patient populations that may not r</w:t>
      </w:r>
      <w:r w:rsidRPr="00ED04E8">
        <w:t xml:space="preserve">eflect </w:t>
      </w:r>
      <w:r>
        <w:t xml:space="preserve">people with cancer in a real-world </w:t>
      </w:r>
      <w:r w:rsidRPr="00ED04E8">
        <w:t>clinical setting</w:t>
      </w:r>
      <w:r>
        <w:t xml:space="preserve">, where patients may be older and have more comorbidities for example. Smaller ethnic groups are under-represented in cancer clinical trials, contributing to a lack of understanding about ethnic differences in drug response or toxicity where these exist </w:t>
      </w:r>
      <w:r>
        <w:rPr>
          <w:noProof/>
        </w:rPr>
        <w:t>(O</w:t>
      </w:r>
      <w:r w:rsidR="00D34911">
        <w:rPr>
          <w:noProof/>
        </w:rPr>
        <w:t>’</w:t>
      </w:r>
      <w:r>
        <w:rPr>
          <w:noProof/>
        </w:rPr>
        <w:t>Donnell and Dolan 2009)</w:t>
      </w:r>
      <w:r>
        <w:t>.</w:t>
      </w:r>
    </w:p>
    <w:p w14:paraId="62B4FCAA" w14:textId="77777777" w:rsidR="00C338E8" w:rsidRDefault="00C338E8" w:rsidP="00B83E44"/>
    <w:p w14:paraId="544DED62" w14:textId="59B0A9F2" w:rsidR="00C338E8" w:rsidRPr="00DD789A" w:rsidRDefault="00B12E4F" w:rsidP="00B12E4F">
      <w:pPr>
        <w:pStyle w:val="Heading1"/>
        <w:rPr>
          <w:rFonts w:ascii="Montserrat" w:hAnsi="Montserrat"/>
        </w:rPr>
      </w:pPr>
      <w:bookmarkStart w:id="341" w:name="_Toc100739053"/>
      <w:bookmarkStart w:id="342" w:name="_Toc101618168"/>
      <w:r w:rsidRPr="00DD789A">
        <w:rPr>
          <w:rFonts w:ascii="Montserrat" w:hAnsi="Montserrat"/>
        </w:rPr>
        <w:lastRenderedPageBreak/>
        <w:t xml:space="preserve">HE KUPU WHAKAKAPI </w:t>
      </w:r>
      <w:r w:rsidRPr="00DD789A">
        <w:rPr>
          <w:rFonts w:ascii="Montserrat" w:hAnsi="Montserrat"/>
          <w:color w:val="0AB58F"/>
        </w:rPr>
        <w:t>CONCLUSION</w:t>
      </w:r>
      <w:bookmarkEnd w:id="341"/>
      <w:bookmarkEnd w:id="342"/>
    </w:p>
    <w:p w14:paraId="4C98AA75" w14:textId="77777777" w:rsidR="00C338E8" w:rsidRDefault="00B12E4F" w:rsidP="004B1C04">
      <w:r w:rsidRPr="00D34911">
        <w:t xml:space="preserve">The purpose of this analysis was to provide an objective, evidence-informed description of cancer medicines availability in Aotearoa compared with that in Australia. The funding and availability of cancer medicines is an extremely complex, fast-paced and challenging area of cancer care for all countries. It is also an area that matters deeply to people </w:t>
      </w:r>
      <w:r>
        <w:t>with cancer</w:t>
      </w:r>
      <w:r w:rsidRPr="00D34911">
        <w:t xml:space="preserve"> and their wh</w:t>
      </w:r>
      <w:r>
        <w:t>ānau, the health professionals that care for them and the wider public. This analysis is a first step to understanding this important issue better.</w:t>
      </w:r>
    </w:p>
    <w:p w14:paraId="17D02CE3" w14:textId="77777777" w:rsidR="00C338E8" w:rsidRDefault="00C338E8" w:rsidP="004B1C04"/>
    <w:p w14:paraId="2856C6E6" w14:textId="77777777" w:rsidR="00C338E8" w:rsidRDefault="00B12E4F" w:rsidP="004B1C04">
      <w:r>
        <w:t xml:space="preserve">By identifying the gaps in cancer medicines and describing important context for them, we hope to provide useful insights to Pharmac, the Government, the health sector and the public. The information provided about medicine funding gaps and the associated clinical benefits of those medicines is intended to complement the other factors that Pharmac considers when it assesses medicines for funding, such as unmet need, costs and savings, and suitability. </w:t>
      </w:r>
      <w:r w:rsidRPr="00D34911">
        <w:t>It is important to note that the statutory function of Pharmac extends beyond cancer medicines to include medicines (and increasingly medical devices) across all health conditions.</w:t>
      </w:r>
    </w:p>
    <w:p w14:paraId="24193581" w14:textId="77777777" w:rsidR="00C338E8" w:rsidRDefault="00C338E8" w:rsidP="004B1C04"/>
    <w:p w14:paraId="7626686E" w14:textId="77777777" w:rsidR="00C338E8" w:rsidRDefault="00B12E4F" w:rsidP="004B1C04">
      <w:r w:rsidRPr="00D34911">
        <w:t xml:space="preserve">Whilst this analysis was conducted independently of Pharmac, the organisation has been aware and supportive of this work. The wider question of how much Aotearoa should spend on medicines rests with Government and must be balanced against priorities within health, as well as between health and other areas. </w:t>
      </w:r>
      <w:r>
        <w:t>Health systems are</w:t>
      </w:r>
      <w:r w:rsidRPr="00ED04E8">
        <w:t xml:space="preserve"> continually faced with decisions </w:t>
      </w:r>
      <w:r>
        <w:t xml:space="preserve">about </w:t>
      </w:r>
      <w:r w:rsidRPr="00ED04E8">
        <w:t>how to balance investment in cancer medicines against other priorities</w:t>
      </w:r>
      <w:r>
        <w:t>,</w:t>
      </w:r>
      <w:r w:rsidRPr="00ED04E8">
        <w:t xml:space="preserve"> and there is </w:t>
      </w:r>
      <w:r>
        <w:t>no correct</w:t>
      </w:r>
      <w:r w:rsidRPr="00ED04E8">
        <w:t xml:space="preserve"> answer to the </w:t>
      </w:r>
      <w:r>
        <w:t xml:space="preserve">question </w:t>
      </w:r>
      <w:r w:rsidR="00D34911">
        <w:t>‘</w:t>
      </w:r>
      <w:r>
        <w:t>How much is the right amount to spend on cancer medicines?</w:t>
      </w:r>
      <w:r w:rsidR="00D34911">
        <w:t>’</w:t>
      </w:r>
      <w:r>
        <w:t>.</w:t>
      </w:r>
    </w:p>
    <w:p w14:paraId="3A814A9C" w14:textId="77777777" w:rsidR="00C338E8" w:rsidRDefault="00C338E8" w:rsidP="004B1C04"/>
    <w:p w14:paraId="0D1805E3" w14:textId="77777777" w:rsidR="00C338E8" w:rsidRDefault="00B12E4F" w:rsidP="004B1C04">
      <w:r>
        <w:t xml:space="preserve">This work also informs how we can better optimise the role that cancer medicines play in improving cancer control in Aotearoa. Cancer medicines are an integral part of cancer care. However, cancer medicines do not and should not exist in isolation. Even within this analysis, it is clear that the full benefits of cancer medicines can only be realised if the </w:t>
      </w:r>
      <w:r w:rsidR="00D34911">
        <w:t>‘</w:t>
      </w:r>
      <w:r>
        <w:t>pipeline</w:t>
      </w:r>
      <w:r w:rsidR="00D34911">
        <w:t>’</w:t>
      </w:r>
      <w:r>
        <w:t xml:space="preserve"> of cancer care (from screening and early detection through to diagnosis, staging, treatment, follow-up and supportive care) is working well and equitably. </w:t>
      </w:r>
      <w:r w:rsidRPr="00ED04E8">
        <w:t>With finite resources available for health</w:t>
      </w:r>
      <w:r>
        <w:t xml:space="preserve"> </w:t>
      </w:r>
      <w:r w:rsidRPr="00ED04E8">
        <w:t xml:space="preserve">care, </w:t>
      </w:r>
      <w:r>
        <w:t>greater investment in cancer medicines has to be weighed against investment in the cancer workforce and infrastructure that delivers all cancer care, including medicines. Stronger cancer prevention and earlier detection are likely to be the most impactful ways to address cancer inequities for Māori and Pacific peoples.</w:t>
      </w:r>
    </w:p>
    <w:p w14:paraId="6DA68651" w14:textId="77777777" w:rsidR="00C338E8" w:rsidRDefault="00C338E8" w:rsidP="004B1C04"/>
    <w:p w14:paraId="287BBBC0" w14:textId="77777777" w:rsidR="004B1C04" w:rsidRDefault="00B12E4F" w:rsidP="004B1C04">
      <w:r>
        <w:t>All aspects of cancer control, from prevention to palliative care, require attention and effort. Using the resources we have in the best possible way is not easy, but it is important. Getting the right balance is essential if we are to deliver on the goals of fewer cancers, better survival and equity for all.</w:t>
      </w:r>
    </w:p>
    <w:p w14:paraId="2DDE8500" w14:textId="77777777" w:rsidR="004B1C04" w:rsidRDefault="004B1C04" w:rsidP="004B1C04"/>
    <w:p w14:paraId="4CA11915" w14:textId="42972C7C" w:rsidR="004B1C04" w:rsidRPr="00DD789A" w:rsidRDefault="00AF1A99" w:rsidP="004B1C04">
      <w:pPr>
        <w:pStyle w:val="Heading1"/>
        <w:rPr>
          <w:rFonts w:ascii="Montserrat" w:hAnsi="Montserrat"/>
        </w:rPr>
      </w:pPr>
      <w:bookmarkStart w:id="343" w:name="_Toc99443598"/>
      <w:bookmarkStart w:id="344" w:name="_Toc99443753"/>
      <w:bookmarkStart w:id="345" w:name="_Toc101618169"/>
      <w:r w:rsidRPr="00DD789A">
        <w:rPr>
          <w:rFonts w:ascii="Montserrat" w:hAnsi="Montserrat"/>
          <w:caps w:val="0"/>
        </w:rPr>
        <w:lastRenderedPageBreak/>
        <w:t>NGĀ ĀPITIHANGA</w:t>
      </w:r>
      <w:r w:rsidR="00843F3C">
        <w:rPr>
          <w:rFonts w:ascii="Montserrat" w:hAnsi="Montserrat"/>
          <w:caps w:val="0"/>
        </w:rPr>
        <w:br/>
      </w:r>
      <w:r w:rsidRPr="00DD789A">
        <w:rPr>
          <w:rFonts w:ascii="Montserrat" w:hAnsi="Montserrat"/>
          <w:caps w:val="0"/>
          <w:color w:val="0AB58F"/>
        </w:rPr>
        <w:t>APPENDICES</w:t>
      </w:r>
      <w:bookmarkEnd w:id="343"/>
      <w:bookmarkEnd w:id="344"/>
      <w:bookmarkEnd w:id="345"/>
    </w:p>
    <w:p w14:paraId="5B4C0A6D" w14:textId="77777777" w:rsidR="00C338E8" w:rsidRDefault="00B12E4F" w:rsidP="004B1C04">
      <w:pPr>
        <w:pStyle w:val="Heading2"/>
      </w:pPr>
      <w:bookmarkStart w:id="346" w:name="_Toc100739054"/>
      <w:bookmarkStart w:id="347" w:name="_Toc101618170"/>
      <w:bookmarkStart w:id="348" w:name="Appendix_1"/>
      <w:r>
        <w:t>Appendix 1</w:t>
      </w:r>
      <w:r w:rsidRPr="00D30042">
        <w:t xml:space="preserve">: </w:t>
      </w:r>
      <w:r>
        <w:t>Key sources of information</w:t>
      </w:r>
      <w:bookmarkEnd w:id="346"/>
      <w:bookmarkEnd w:id="347"/>
    </w:p>
    <w:bookmarkEnd w:id="348"/>
    <w:p w14:paraId="0F38E299" w14:textId="7E7AC221" w:rsidR="00B12E4F" w:rsidRDefault="00B12E4F" w:rsidP="004B1C04">
      <w:r>
        <w:t xml:space="preserve">This appendix lists the various </w:t>
      </w:r>
      <w:r w:rsidR="00C87065">
        <w:t xml:space="preserve">key </w:t>
      </w:r>
      <w:r>
        <w:t xml:space="preserve">sources of information </w:t>
      </w:r>
      <w:r w:rsidR="00C87065">
        <w:t>used in this analysis</w:t>
      </w:r>
      <w:r w:rsidR="004B1C04">
        <w:t>.</w:t>
      </w:r>
    </w:p>
    <w:p w14:paraId="1459C9BF" w14:textId="77777777" w:rsidR="004B1C04" w:rsidRDefault="004B1C04" w:rsidP="004B1C04"/>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1524"/>
        <w:gridCol w:w="4536"/>
      </w:tblGrid>
      <w:tr w:rsidR="00991179" w:rsidRPr="00991179" w14:paraId="3C5DF345" w14:textId="77777777" w:rsidTr="0043044C">
        <w:trPr>
          <w:cantSplit/>
        </w:trPr>
        <w:tc>
          <w:tcPr>
            <w:tcW w:w="2020" w:type="dxa"/>
            <w:tcBorders>
              <w:top w:val="nil"/>
              <w:bottom w:val="nil"/>
            </w:tcBorders>
            <w:shd w:val="clear" w:color="auto" w:fill="C2D9BA"/>
          </w:tcPr>
          <w:p w14:paraId="539D66C6" w14:textId="77777777" w:rsidR="00991179" w:rsidRPr="00991179" w:rsidRDefault="00991179" w:rsidP="000861AF">
            <w:pPr>
              <w:pStyle w:val="TableText"/>
              <w:rPr>
                <w:b/>
              </w:rPr>
            </w:pPr>
            <w:r w:rsidRPr="00991179">
              <w:rPr>
                <w:b/>
              </w:rPr>
              <w:t>Information type</w:t>
            </w:r>
          </w:p>
        </w:tc>
        <w:tc>
          <w:tcPr>
            <w:tcW w:w="1524" w:type="dxa"/>
            <w:tcBorders>
              <w:top w:val="nil"/>
              <w:bottom w:val="nil"/>
            </w:tcBorders>
            <w:shd w:val="clear" w:color="auto" w:fill="C2D9BA"/>
          </w:tcPr>
          <w:p w14:paraId="587C9138" w14:textId="77777777" w:rsidR="00991179" w:rsidRPr="00991179" w:rsidRDefault="00991179" w:rsidP="000861AF">
            <w:pPr>
              <w:pStyle w:val="TableText"/>
              <w:rPr>
                <w:b/>
              </w:rPr>
            </w:pPr>
            <w:r w:rsidRPr="00991179">
              <w:rPr>
                <w:b/>
              </w:rPr>
              <w:t>Source(s)</w:t>
            </w:r>
          </w:p>
        </w:tc>
        <w:tc>
          <w:tcPr>
            <w:tcW w:w="4536" w:type="dxa"/>
            <w:tcBorders>
              <w:top w:val="nil"/>
              <w:bottom w:val="nil"/>
            </w:tcBorders>
            <w:shd w:val="clear" w:color="auto" w:fill="C2D9BA"/>
          </w:tcPr>
          <w:p w14:paraId="3DDC02A3" w14:textId="77777777" w:rsidR="00991179" w:rsidRPr="00991179" w:rsidRDefault="00991179" w:rsidP="000861AF">
            <w:pPr>
              <w:pStyle w:val="TableText"/>
              <w:rPr>
                <w:b/>
                <w:lang w:eastAsia="en-US"/>
              </w:rPr>
            </w:pPr>
            <w:r w:rsidRPr="00991179">
              <w:rPr>
                <w:b/>
              </w:rPr>
              <w:t>Link(s) (if applicable)</w:t>
            </w:r>
          </w:p>
        </w:tc>
      </w:tr>
      <w:tr w:rsidR="00991179" w14:paraId="737669F0" w14:textId="77777777" w:rsidTr="0043044C">
        <w:trPr>
          <w:cantSplit/>
        </w:trPr>
        <w:tc>
          <w:tcPr>
            <w:tcW w:w="2020" w:type="dxa"/>
            <w:tcBorders>
              <w:top w:val="nil"/>
              <w:bottom w:val="single" w:sz="4" w:space="0" w:color="C2D9BA"/>
            </w:tcBorders>
            <w:shd w:val="clear" w:color="auto" w:fill="auto"/>
          </w:tcPr>
          <w:p w14:paraId="7B4A5F8D" w14:textId="77777777" w:rsidR="00991179" w:rsidRPr="00523370" w:rsidRDefault="00991179" w:rsidP="000861AF">
            <w:pPr>
              <w:pStyle w:val="TableText"/>
            </w:pPr>
            <w:r w:rsidRPr="00523370">
              <w:t>Medicines funded in Aotearoa</w:t>
            </w:r>
          </w:p>
        </w:tc>
        <w:tc>
          <w:tcPr>
            <w:tcW w:w="1524" w:type="dxa"/>
            <w:tcBorders>
              <w:top w:val="nil"/>
              <w:bottom w:val="single" w:sz="4" w:space="0" w:color="C2D9BA"/>
            </w:tcBorders>
            <w:shd w:val="clear" w:color="auto" w:fill="auto"/>
          </w:tcPr>
          <w:p w14:paraId="6F409AFB" w14:textId="77777777" w:rsidR="00991179" w:rsidRPr="00523370" w:rsidRDefault="00991179" w:rsidP="000861AF">
            <w:pPr>
              <w:pStyle w:val="TableText"/>
            </w:pPr>
            <w:r w:rsidRPr="00523370">
              <w:t>Pharmac</w:t>
            </w:r>
            <w:r>
              <w:t>’s Pharmaceutical Schedule</w:t>
            </w:r>
          </w:p>
        </w:tc>
        <w:tc>
          <w:tcPr>
            <w:tcW w:w="4536" w:type="dxa"/>
            <w:tcBorders>
              <w:top w:val="nil"/>
              <w:bottom w:val="single" w:sz="4" w:space="0" w:color="C2D9BA"/>
            </w:tcBorders>
            <w:shd w:val="clear" w:color="auto" w:fill="auto"/>
          </w:tcPr>
          <w:p w14:paraId="1C868BA4" w14:textId="77777777" w:rsidR="00991179" w:rsidRPr="00991179" w:rsidRDefault="0056499C" w:rsidP="000861AF">
            <w:pPr>
              <w:pStyle w:val="TableText"/>
              <w:rPr>
                <w:rStyle w:val="Hyperlink"/>
              </w:rPr>
            </w:pPr>
            <w:hyperlink r:id="rId32" w:history="1">
              <w:r w:rsidR="00991179" w:rsidRPr="00991179">
                <w:rPr>
                  <w:rStyle w:val="Hyperlink"/>
                </w:rPr>
                <w:t>https://schedule.pharmac.govt.nz/ScheduleOnline.php</w:t>
              </w:r>
            </w:hyperlink>
          </w:p>
          <w:p w14:paraId="70A7E12D" w14:textId="77777777" w:rsidR="00991179" w:rsidRPr="00991179" w:rsidRDefault="0056499C" w:rsidP="00991179">
            <w:pPr>
              <w:pStyle w:val="TableText"/>
              <w:rPr>
                <w:rStyle w:val="Hyperlink"/>
              </w:rPr>
            </w:pPr>
            <w:hyperlink r:id="rId33" w:history="1">
              <w:r w:rsidR="00991179" w:rsidRPr="00991179">
                <w:rPr>
                  <w:rStyle w:val="Hyperlink"/>
                </w:rPr>
                <w:t>https://schedule.pharmac.govt.nz/HMLOnline.php</w:t>
              </w:r>
            </w:hyperlink>
          </w:p>
        </w:tc>
      </w:tr>
      <w:tr w:rsidR="00991179" w14:paraId="58859DFD" w14:textId="77777777" w:rsidTr="0043044C">
        <w:trPr>
          <w:cantSplit/>
        </w:trPr>
        <w:tc>
          <w:tcPr>
            <w:tcW w:w="2020" w:type="dxa"/>
            <w:tcBorders>
              <w:top w:val="single" w:sz="4" w:space="0" w:color="C2D9BA"/>
              <w:bottom w:val="single" w:sz="4" w:space="0" w:color="C2D9BA"/>
            </w:tcBorders>
            <w:shd w:val="clear" w:color="auto" w:fill="auto"/>
          </w:tcPr>
          <w:p w14:paraId="20CB204A" w14:textId="77777777" w:rsidR="00991179" w:rsidRPr="00523370" w:rsidRDefault="00991179" w:rsidP="000861AF">
            <w:pPr>
              <w:pStyle w:val="TableText"/>
            </w:pPr>
            <w:r w:rsidRPr="00523370">
              <w:t>Medicines funded in Australia</w:t>
            </w:r>
          </w:p>
        </w:tc>
        <w:tc>
          <w:tcPr>
            <w:tcW w:w="1524" w:type="dxa"/>
            <w:tcBorders>
              <w:top w:val="single" w:sz="4" w:space="0" w:color="C2D9BA"/>
              <w:bottom w:val="single" w:sz="4" w:space="0" w:color="C2D9BA"/>
            </w:tcBorders>
            <w:shd w:val="clear" w:color="auto" w:fill="auto"/>
          </w:tcPr>
          <w:p w14:paraId="2BA2735A" w14:textId="77777777" w:rsidR="00991179" w:rsidRPr="00523370" w:rsidRDefault="00991179" w:rsidP="000861AF">
            <w:pPr>
              <w:pStyle w:val="TableText"/>
            </w:pPr>
            <w:r w:rsidRPr="00523370">
              <w:t>PBS Schedule</w:t>
            </w:r>
          </w:p>
        </w:tc>
        <w:tc>
          <w:tcPr>
            <w:tcW w:w="4536" w:type="dxa"/>
            <w:tcBorders>
              <w:top w:val="single" w:sz="4" w:space="0" w:color="C2D9BA"/>
              <w:bottom w:val="single" w:sz="4" w:space="0" w:color="C2D9BA"/>
            </w:tcBorders>
            <w:shd w:val="clear" w:color="auto" w:fill="auto"/>
          </w:tcPr>
          <w:p w14:paraId="12300D94" w14:textId="77777777" w:rsidR="00991179" w:rsidRPr="00523370" w:rsidRDefault="0056499C" w:rsidP="00991179">
            <w:pPr>
              <w:pStyle w:val="TableText"/>
            </w:pPr>
            <w:hyperlink r:id="rId34" w:history="1">
              <w:r w:rsidR="00991179" w:rsidRPr="005E48E7">
                <w:rPr>
                  <w:rStyle w:val="Hyperlink"/>
                  <w:rFonts w:eastAsia="MS Gothic"/>
                </w:rPr>
                <w:t>www.pbs.gov.au/browse/body-system</w:t>
              </w:r>
            </w:hyperlink>
          </w:p>
        </w:tc>
      </w:tr>
      <w:tr w:rsidR="00991179" w14:paraId="28A03DC4" w14:textId="77777777" w:rsidTr="0043044C">
        <w:trPr>
          <w:cantSplit/>
        </w:trPr>
        <w:tc>
          <w:tcPr>
            <w:tcW w:w="2020" w:type="dxa"/>
            <w:tcBorders>
              <w:top w:val="single" w:sz="4" w:space="0" w:color="C2D9BA"/>
              <w:bottom w:val="single" w:sz="4" w:space="0" w:color="C2D9BA"/>
            </w:tcBorders>
            <w:shd w:val="clear" w:color="auto" w:fill="auto"/>
          </w:tcPr>
          <w:p w14:paraId="190AC7BB" w14:textId="77777777" w:rsidR="00991179" w:rsidRPr="00523370" w:rsidRDefault="00991179" w:rsidP="000861AF">
            <w:pPr>
              <w:pStyle w:val="TableText"/>
            </w:pPr>
            <w:r w:rsidRPr="00523370">
              <w:t xml:space="preserve">Medicines included in </w:t>
            </w:r>
            <w:r>
              <w:t xml:space="preserve">the </w:t>
            </w:r>
            <w:r w:rsidRPr="00523370">
              <w:t>WHO-EML</w:t>
            </w:r>
          </w:p>
        </w:tc>
        <w:tc>
          <w:tcPr>
            <w:tcW w:w="1524" w:type="dxa"/>
            <w:tcBorders>
              <w:top w:val="single" w:sz="4" w:space="0" w:color="C2D9BA"/>
              <w:bottom w:val="single" w:sz="4" w:space="0" w:color="C2D9BA"/>
            </w:tcBorders>
            <w:shd w:val="clear" w:color="auto" w:fill="auto"/>
          </w:tcPr>
          <w:p w14:paraId="4D9D1C16" w14:textId="77777777" w:rsidR="00991179" w:rsidRPr="00523370" w:rsidRDefault="00991179" w:rsidP="000861AF">
            <w:pPr>
              <w:pStyle w:val="TableText"/>
            </w:pPr>
            <w:r w:rsidRPr="00523370">
              <w:t>WHO-EML 21</w:t>
            </w:r>
            <w:r w:rsidRPr="00523370">
              <w:rPr>
                <w:vertAlign w:val="superscript"/>
              </w:rPr>
              <w:t>st</w:t>
            </w:r>
          </w:p>
        </w:tc>
        <w:tc>
          <w:tcPr>
            <w:tcW w:w="4536" w:type="dxa"/>
            <w:tcBorders>
              <w:top w:val="single" w:sz="4" w:space="0" w:color="C2D9BA"/>
              <w:bottom w:val="single" w:sz="4" w:space="0" w:color="C2D9BA"/>
            </w:tcBorders>
            <w:shd w:val="clear" w:color="auto" w:fill="auto"/>
          </w:tcPr>
          <w:p w14:paraId="1F4B58F4" w14:textId="77777777" w:rsidR="00991179" w:rsidRPr="00523370" w:rsidRDefault="0056499C" w:rsidP="00991179">
            <w:pPr>
              <w:pStyle w:val="TableText"/>
            </w:pPr>
            <w:hyperlink r:id="rId35" w:history="1">
              <w:r w:rsidR="00991179" w:rsidRPr="005E48E7">
                <w:rPr>
                  <w:rStyle w:val="Hyperlink"/>
                  <w:rFonts w:eastAsia="MS Gothic"/>
                </w:rPr>
                <w:t>www.who.int/publications/i/item/WHOMVPEMPIAU2019.06</w:t>
              </w:r>
            </w:hyperlink>
          </w:p>
        </w:tc>
      </w:tr>
      <w:tr w:rsidR="00991179" w14:paraId="37E7F775" w14:textId="77777777" w:rsidTr="0043044C">
        <w:trPr>
          <w:cantSplit/>
        </w:trPr>
        <w:tc>
          <w:tcPr>
            <w:tcW w:w="2020" w:type="dxa"/>
            <w:vMerge w:val="restart"/>
            <w:tcBorders>
              <w:top w:val="single" w:sz="4" w:space="0" w:color="C2D9BA"/>
            </w:tcBorders>
            <w:shd w:val="clear" w:color="auto" w:fill="auto"/>
          </w:tcPr>
          <w:p w14:paraId="266E59BA" w14:textId="77777777" w:rsidR="00991179" w:rsidRPr="00523370" w:rsidRDefault="00991179" w:rsidP="000861AF">
            <w:pPr>
              <w:pStyle w:val="TableText"/>
            </w:pPr>
            <w:r w:rsidRPr="00523370">
              <w:t>Indications for medicines funded without restriction</w:t>
            </w:r>
          </w:p>
        </w:tc>
        <w:tc>
          <w:tcPr>
            <w:tcW w:w="1524" w:type="dxa"/>
            <w:tcBorders>
              <w:top w:val="single" w:sz="4" w:space="0" w:color="C2D9BA"/>
              <w:bottom w:val="nil"/>
            </w:tcBorders>
            <w:shd w:val="clear" w:color="auto" w:fill="auto"/>
          </w:tcPr>
          <w:p w14:paraId="72750005" w14:textId="77777777" w:rsidR="00991179" w:rsidRPr="00523370" w:rsidRDefault="00991179" w:rsidP="00991179">
            <w:pPr>
              <w:pStyle w:val="TableText"/>
            </w:pPr>
            <w:r w:rsidRPr="00523370">
              <w:t>TGA product information</w:t>
            </w:r>
          </w:p>
        </w:tc>
        <w:tc>
          <w:tcPr>
            <w:tcW w:w="4536" w:type="dxa"/>
            <w:tcBorders>
              <w:top w:val="single" w:sz="4" w:space="0" w:color="C2D9BA"/>
              <w:bottom w:val="nil"/>
            </w:tcBorders>
            <w:shd w:val="clear" w:color="auto" w:fill="auto"/>
          </w:tcPr>
          <w:p w14:paraId="0D8EBCA6" w14:textId="77777777" w:rsidR="00991179" w:rsidRPr="00523370" w:rsidRDefault="0056499C" w:rsidP="00991179">
            <w:pPr>
              <w:pStyle w:val="TableText"/>
            </w:pPr>
            <w:hyperlink r:id="rId36" w:history="1">
              <w:r w:rsidR="00991179" w:rsidRPr="005E48E7">
                <w:rPr>
                  <w:rStyle w:val="Hyperlink"/>
                  <w:rFonts w:eastAsia="MS Gothic"/>
                </w:rPr>
                <w:t>www.ebs.tga.gov.au/</w:t>
              </w:r>
            </w:hyperlink>
          </w:p>
        </w:tc>
      </w:tr>
      <w:tr w:rsidR="00991179" w14:paraId="5B355195" w14:textId="77777777" w:rsidTr="0043044C">
        <w:trPr>
          <w:cantSplit/>
        </w:trPr>
        <w:tc>
          <w:tcPr>
            <w:tcW w:w="2020" w:type="dxa"/>
            <w:vMerge/>
            <w:shd w:val="clear" w:color="auto" w:fill="auto"/>
          </w:tcPr>
          <w:p w14:paraId="590D2476" w14:textId="77777777" w:rsidR="00991179" w:rsidRPr="00523370" w:rsidRDefault="00991179" w:rsidP="000861AF">
            <w:pPr>
              <w:pStyle w:val="TableText"/>
            </w:pPr>
          </w:p>
        </w:tc>
        <w:tc>
          <w:tcPr>
            <w:tcW w:w="1524" w:type="dxa"/>
            <w:tcBorders>
              <w:top w:val="nil"/>
              <w:bottom w:val="nil"/>
            </w:tcBorders>
            <w:shd w:val="clear" w:color="auto" w:fill="auto"/>
          </w:tcPr>
          <w:p w14:paraId="683C9E5A" w14:textId="77777777" w:rsidR="00991179" w:rsidRPr="00523370" w:rsidRDefault="00991179" w:rsidP="00991179">
            <w:pPr>
              <w:pStyle w:val="TableText"/>
            </w:pPr>
            <w:r w:rsidRPr="00523370">
              <w:t>eviQ</w:t>
            </w:r>
          </w:p>
        </w:tc>
        <w:tc>
          <w:tcPr>
            <w:tcW w:w="4536" w:type="dxa"/>
            <w:tcBorders>
              <w:top w:val="nil"/>
              <w:bottom w:val="nil"/>
            </w:tcBorders>
            <w:shd w:val="clear" w:color="auto" w:fill="auto"/>
          </w:tcPr>
          <w:p w14:paraId="7893DA94" w14:textId="77777777" w:rsidR="00991179" w:rsidRDefault="0056499C" w:rsidP="00991179">
            <w:pPr>
              <w:pStyle w:val="TableText"/>
            </w:pPr>
            <w:hyperlink r:id="rId37" w:history="1">
              <w:r w:rsidR="00991179" w:rsidRPr="005E48E7">
                <w:rPr>
                  <w:rStyle w:val="Hyperlink"/>
                  <w:rFonts w:eastAsia="MS Gothic"/>
                </w:rPr>
                <w:t>www.eviq.org.au/</w:t>
              </w:r>
            </w:hyperlink>
          </w:p>
        </w:tc>
      </w:tr>
      <w:tr w:rsidR="00991179" w14:paraId="562F3985" w14:textId="77777777" w:rsidTr="0043044C">
        <w:trPr>
          <w:cantSplit/>
        </w:trPr>
        <w:tc>
          <w:tcPr>
            <w:tcW w:w="2020" w:type="dxa"/>
            <w:vMerge/>
            <w:tcBorders>
              <w:bottom w:val="single" w:sz="4" w:space="0" w:color="C2D9BA"/>
            </w:tcBorders>
            <w:shd w:val="clear" w:color="auto" w:fill="auto"/>
          </w:tcPr>
          <w:p w14:paraId="278797AC" w14:textId="77777777" w:rsidR="00991179" w:rsidRPr="00523370" w:rsidRDefault="00991179" w:rsidP="000861AF">
            <w:pPr>
              <w:pStyle w:val="TableText"/>
            </w:pPr>
          </w:p>
        </w:tc>
        <w:tc>
          <w:tcPr>
            <w:tcW w:w="1524" w:type="dxa"/>
            <w:tcBorders>
              <w:top w:val="nil"/>
              <w:bottom w:val="single" w:sz="4" w:space="0" w:color="C2D9BA"/>
            </w:tcBorders>
            <w:shd w:val="clear" w:color="auto" w:fill="auto"/>
          </w:tcPr>
          <w:p w14:paraId="17D27375" w14:textId="77777777" w:rsidR="00991179" w:rsidRDefault="00991179" w:rsidP="00991179">
            <w:pPr>
              <w:pStyle w:val="TableText"/>
            </w:pPr>
            <w:r w:rsidRPr="00523370">
              <w:t xml:space="preserve">Medsafe </w:t>
            </w:r>
            <w:r>
              <w:t>D</w:t>
            </w:r>
            <w:r w:rsidRPr="00523370">
              <w:t xml:space="preserve">ata </w:t>
            </w:r>
            <w:r>
              <w:t>S</w:t>
            </w:r>
            <w:r w:rsidRPr="00523370">
              <w:t>heet</w:t>
            </w:r>
            <w:r>
              <w:t>s</w:t>
            </w:r>
          </w:p>
        </w:tc>
        <w:tc>
          <w:tcPr>
            <w:tcW w:w="4536" w:type="dxa"/>
            <w:tcBorders>
              <w:top w:val="nil"/>
              <w:bottom w:val="single" w:sz="4" w:space="0" w:color="C2D9BA"/>
            </w:tcBorders>
            <w:shd w:val="clear" w:color="auto" w:fill="auto"/>
          </w:tcPr>
          <w:p w14:paraId="7FA41E66" w14:textId="77777777" w:rsidR="00991179" w:rsidRDefault="0056499C" w:rsidP="00991179">
            <w:pPr>
              <w:pStyle w:val="TableText"/>
            </w:pPr>
            <w:hyperlink r:id="rId38" w:history="1">
              <w:r w:rsidR="00991179" w:rsidRPr="005E48E7">
                <w:rPr>
                  <w:rStyle w:val="Hyperlink"/>
                  <w:rFonts w:eastAsia="MS Gothic"/>
                </w:rPr>
                <w:t>www.medsafe.govt.nz/Medicines/infoSearch.asp</w:t>
              </w:r>
            </w:hyperlink>
          </w:p>
        </w:tc>
      </w:tr>
      <w:tr w:rsidR="00991179" w14:paraId="3E3672E0" w14:textId="77777777" w:rsidTr="0043044C">
        <w:trPr>
          <w:cantSplit/>
        </w:trPr>
        <w:tc>
          <w:tcPr>
            <w:tcW w:w="2020" w:type="dxa"/>
            <w:tcBorders>
              <w:top w:val="single" w:sz="4" w:space="0" w:color="C2D9BA"/>
              <w:bottom w:val="single" w:sz="4" w:space="0" w:color="C2D9BA"/>
            </w:tcBorders>
            <w:shd w:val="clear" w:color="auto" w:fill="auto"/>
          </w:tcPr>
          <w:p w14:paraId="6CBE96EE" w14:textId="77777777" w:rsidR="00991179" w:rsidRPr="00523370" w:rsidRDefault="00991179" w:rsidP="000861AF">
            <w:pPr>
              <w:pStyle w:val="TableText"/>
            </w:pPr>
            <w:r w:rsidRPr="00523370">
              <w:t>ESMO-MCBS scores</w:t>
            </w:r>
          </w:p>
        </w:tc>
        <w:tc>
          <w:tcPr>
            <w:tcW w:w="1524" w:type="dxa"/>
            <w:tcBorders>
              <w:top w:val="single" w:sz="4" w:space="0" w:color="C2D9BA"/>
              <w:bottom w:val="single" w:sz="4" w:space="0" w:color="C2D9BA"/>
            </w:tcBorders>
            <w:shd w:val="clear" w:color="auto" w:fill="auto"/>
          </w:tcPr>
          <w:p w14:paraId="66B10CB7" w14:textId="77777777" w:rsidR="00991179" w:rsidRPr="00523370" w:rsidRDefault="00991179" w:rsidP="000861AF">
            <w:pPr>
              <w:pStyle w:val="TableText"/>
            </w:pPr>
            <w:r w:rsidRPr="00523370">
              <w:t>ESMO</w:t>
            </w:r>
          </w:p>
        </w:tc>
        <w:tc>
          <w:tcPr>
            <w:tcW w:w="4536" w:type="dxa"/>
            <w:tcBorders>
              <w:top w:val="single" w:sz="4" w:space="0" w:color="C2D9BA"/>
              <w:bottom w:val="single" w:sz="4" w:space="0" w:color="C2D9BA"/>
            </w:tcBorders>
            <w:shd w:val="clear" w:color="auto" w:fill="auto"/>
          </w:tcPr>
          <w:p w14:paraId="3141A3D2" w14:textId="77777777" w:rsidR="00991179" w:rsidRPr="00523370" w:rsidRDefault="0056499C" w:rsidP="000861AF">
            <w:pPr>
              <w:pStyle w:val="TableText"/>
            </w:pPr>
            <w:hyperlink r:id="rId39" w:history="1">
              <w:r w:rsidR="00991179" w:rsidRPr="005E48E7">
                <w:rPr>
                  <w:rStyle w:val="Hyperlink"/>
                  <w:rFonts w:eastAsia="MS Gothic"/>
                </w:rPr>
                <w:t>www.esmo.org/guidelines/esmo-mcbs/esmo-mcbs-scorecards</w:t>
              </w:r>
            </w:hyperlink>
          </w:p>
        </w:tc>
      </w:tr>
      <w:tr w:rsidR="00991179" w14:paraId="780CAD1F" w14:textId="77777777" w:rsidTr="0043044C">
        <w:trPr>
          <w:cantSplit/>
        </w:trPr>
        <w:tc>
          <w:tcPr>
            <w:tcW w:w="2020" w:type="dxa"/>
            <w:vMerge w:val="restart"/>
            <w:tcBorders>
              <w:top w:val="single" w:sz="4" w:space="0" w:color="C2D9BA"/>
            </w:tcBorders>
            <w:shd w:val="clear" w:color="auto" w:fill="auto"/>
          </w:tcPr>
          <w:p w14:paraId="49E1CF12" w14:textId="77777777" w:rsidR="00991179" w:rsidRPr="00523370" w:rsidRDefault="00991179" w:rsidP="000861AF">
            <w:pPr>
              <w:pStyle w:val="TableText"/>
            </w:pPr>
            <w:r w:rsidRPr="00523370">
              <w:t>Medicines funded in Ontario, Canada</w:t>
            </w:r>
          </w:p>
        </w:tc>
        <w:tc>
          <w:tcPr>
            <w:tcW w:w="1524" w:type="dxa"/>
            <w:tcBorders>
              <w:top w:val="single" w:sz="4" w:space="0" w:color="C2D9BA"/>
              <w:bottom w:val="nil"/>
            </w:tcBorders>
            <w:shd w:val="clear" w:color="auto" w:fill="auto"/>
          </w:tcPr>
          <w:p w14:paraId="76D1BB41" w14:textId="77777777" w:rsidR="00991179" w:rsidRPr="00523370" w:rsidRDefault="00991179" w:rsidP="00991179">
            <w:pPr>
              <w:pStyle w:val="TableText"/>
            </w:pPr>
            <w:r w:rsidRPr="00523370">
              <w:t>Clinical advice</w:t>
            </w:r>
          </w:p>
        </w:tc>
        <w:tc>
          <w:tcPr>
            <w:tcW w:w="4536" w:type="dxa"/>
            <w:tcBorders>
              <w:top w:val="single" w:sz="4" w:space="0" w:color="C2D9BA"/>
              <w:bottom w:val="nil"/>
            </w:tcBorders>
            <w:shd w:val="clear" w:color="auto" w:fill="auto"/>
          </w:tcPr>
          <w:p w14:paraId="6709A505" w14:textId="77777777" w:rsidR="00991179" w:rsidRPr="00523370" w:rsidRDefault="00991179" w:rsidP="000861AF">
            <w:pPr>
              <w:pStyle w:val="TableText"/>
            </w:pPr>
          </w:p>
        </w:tc>
      </w:tr>
      <w:tr w:rsidR="00991179" w14:paraId="5CEAEB5F" w14:textId="77777777" w:rsidTr="0043044C">
        <w:trPr>
          <w:cantSplit/>
        </w:trPr>
        <w:tc>
          <w:tcPr>
            <w:tcW w:w="2020" w:type="dxa"/>
            <w:vMerge/>
            <w:tcBorders>
              <w:bottom w:val="single" w:sz="4" w:space="0" w:color="C2D9BA"/>
            </w:tcBorders>
            <w:shd w:val="clear" w:color="auto" w:fill="auto"/>
          </w:tcPr>
          <w:p w14:paraId="195A6537" w14:textId="77777777" w:rsidR="00991179" w:rsidRPr="00523370" w:rsidRDefault="00991179" w:rsidP="000861AF">
            <w:pPr>
              <w:pStyle w:val="TableText"/>
            </w:pPr>
          </w:p>
        </w:tc>
        <w:tc>
          <w:tcPr>
            <w:tcW w:w="1524" w:type="dxa"/>
            <w:tcBorders>
              <w:top w:val="nil"/>
              <w:bottom w:val="single" w:sz="4" w:space="0" w:color="C2D9BA"/>
            </w:tcBorders>
            <w:shd w:val="clear" w:color="auto" w:fill="auto"/>
          </w:tcPr>
          <w:p w14:paraId="3BE9B8A3" w14:textId="77777777" w:rsidR="00991179" w:rsidRPr="00523370" w:rsidRDefault="00991179" w:rsidP="00991179">
            <w:pPr>
              <w:pStyle w:val="TableText"/>
            </w:pPr>
            <w:r w:rsidRPr="00523370">
              <w:t>Cancer Care Ontario Drug Formulary</w:t>
            </w:r>
          </w:p>
        </w:tc>
        <w:tc>
          <w:tcPr>
            <w:tcW w:w="4536" w:type="dxa"/>
            <w:tcBorders>
              <w:top w:val="nil"/>
              <w:bottom w:val="single" w:sz="4" w:space="0" w:color="C2D9BA"/>
            </w:tcBorders>
            <w:shd w:val="clear" w:color="auto" w:fill="auto"/>
          </w:tcPr>
          <w:p w14:paraId="105D0DE6" w14:textId="77777777" w:rsidR="00991179" w:rsidRDefault="0056499C" w:rsidP="00991179">
            <w:pPr>
              <w:pStyle w:val="TableText"/>
            </w:pPr>
            <w:hyperlink r:id="rId40" w:history="1">
              <w:r w:rsidR="00991179" w:rsidRPr="005E48E7">
                <w:rPr>
                  <w:rStyle w:val="Hyperlink"/>
                  <w:rFonts w:eastAsia="MS Gothic"/>
                </w:rPr>
                <w:t>www.cancercareontario.ca/en/drugformulary/drugs</w:t>
              </w:r>
            </w:hyperlink>
          </w:p>
        </w:tc>
      </w:tr>
      <w:tr w:rsidR="00991179" w14:paraId="4C6A2364" w14:textId="77777777" w:rsidTr="0043044C">
        <w:trPr>
          <w:cantSplit/>
        </w:trPr>
        <w:tc>
          <w:tcPr>
            <w:tcW w:w="2020" w:type="dxa"/>
            <w:tcBorders>
              <w:top w:val="single" w:sz="4" w:space="0" w:color="C2D9BA"/>
              <w:bottom w:val="single" w:sz="4" w:space="0" w:color="C2D9BA"/>
            </w:tcBorders>
            <w:shd w:val="clear" w:color="auto" w:fill="auto"/>
          </w:tcPr>
          <w:p w14:paraId="3B548BE8" w14:textId="77777777" w:rsidR="00991179" w:rsidRPr="00523370" w:rsidRDefault="00991179" w:rsidP="000861AF">
            <w:pPr>
              <w:pStyle w:val="TableText"/>
            </w:pPr>
            <w:r w:rsidRPr="00523370">
              <w:t>Pharmac status</w:t>
            </w:r>
          </w:p>
        </w:tc>
        <w:tc>
          <w:tcPr>
            <w:tcW w:w="1524" w:type="dxa"/>
            <w:tcBorders>
              <w:top w:val="single" w:sz="4" w:space="0" w:color="C2D9BA"/>
              <w:bottom w:val="single" w:sz="4" w:space="0" w:color="C2D9BA"/>
            </w:tcBorders>
            <w:shd w:val="clear" w:color="auto" w:fill="auto"/>
          </w:tcPr>
          <w:p w14:paraId="35880871" w14:textId="77777777" w:rsidR="00991179" w:rsidRPr="00523370" w:rsidRDefault="00991179" w:rsidP="000861AF">
            <w:pPr>
              <w:pStyle w:val="TableText"/>
            </w:pPr>
            <w:r w:rsidRPr="00523370">
              <w:t>Pharmac application tracker</w:t>
            </w:r>
          </w:p>
        </w:tc>
        <w:tc>
          <w:tcPr>
            <w:tcW w:w="4536" w:type="dxa"/>
            <w:tcBorders>
              <w:top w:val="single" w:sz="4" w:space="0" w:color="C2D9BA"/>
              <w:bottom w:val="single" w:sz="4" w:space="0" w:color="C2D9BA"/>
            </w:tcBorders>
            <w:shd w:val="clear" w:color="auto" w:fill="auto"/>
          </w:tcPr>
          <w:p w14:paraId="3EB8A3A1" w14:textId="77777777" w:rsidR="00991179" w:rsidRPr="00991179" w:rsidRDefault="0056499C" w:rsidP="00991179">
            <w:pPr>
              <w:pStyle w:val="TableText"/>
              <w:rPr>
                <w:rStyle w:val="Hyperlink"/>
              </w:rPr>
            </w:pPr>
            <w:hyperlink r:id="rId41" w:history="1">
              <w:r w:rsidR="00991179" w:rsidRPr="00991179">
                <w:rPr>
                  <w:rStyle w:val="Hyperlink"/>
                </w:rPr>
                <w:t>https://connect.pharmac.govt.nz/apptracker/s/</w:t>
              </w:r>
            </w:hyperlink>
          </w:p>
        </w:tc>
      </w:tr>
      <w:tr w:rsidR="00991179" w14:paraId="2082E5A5" w14:textId="77777777" w:rsidTr="0043044C">
        <w:trPr>
          <w:cantSplit/>
        </w:trPr>
        <w:tc>
          <w:tcPr>
            <w:tcW w:w="2020" w:type="dxa"/>
            <w:vMerge w:val="restart"/>
            <w:tcBorders>
              <w:top w:val="single" w:sz="4" w:space="0" w:color="C2D9BA"/>
            </w:tcBorders>
            <w:shd w:val="clear" w:color="auto" w:fill="auto"/>
          </w:tcPr>
          <w:p w14:paraId="1EDC8D3F" w14:textId="77777777" w:rsidR="00991179" w:rsidRPr="00523370" w:rsidRDefault="00991179" w:rsidP="000861AF">
            <w:pPr>
              <w:pStyle w:val="TableText"/>
            </w:pPr>
            <w:r w:rsidRPr="00523370">
              <w:t>Clinical relevance of gaps</w:t>
            </w:r>
          </w:p>
        </w:tc>
        <w:tc>
          <w:tcPr>
            <w:tcW w:w="1524" w:type="dxa"/>
            <w:tcBorders>
              <w:top w:val="single" w:sz="4" w:space="0" w:color="C2D9BA"/>
              <w:bottom w:val="nil"/>
            </w:tcBorders>
            <w:shd w:val="clear" w:color="auto" w:fill="auto"/>
          </w:tcPr>
          <w:p w14:paraId="0E235C2B" w14:textId="77777777" w:rsidR="00991179" w:rsidRPr="00523370" w:rsidRDefault="00991179" w:rsidP="00991179">
            <w:pPr>
              <w:pStyle w:val="TableText"/>
            </w:pPr>
            <w:r w:rsidRPr="00523370">
              <w:t>Clinical advice</w:t>
            </w:r>
          </w:p>
        </w:tc>
        <w:tc>
          <w:tcPr>
            <w:tcW w:w="4536" w:type="dxa"/>
            <w:tcBorders>
              <w:top w:val="single" w:sz="4" w:space="0" w:color="C2D9BA"/>
              <w:bottom w:val="nil"/>
            </w:tcBorders>
            <w:shd w:val="clear" w:color="auto" w:fill="auto"/>
          </w:tcPr>
          <w:p w14:paraId="7D938C86" w14:textId="77777777" w:rsidR="00991179" w:rsidRPr="00523370" w:rsidRDefault="00991179" w:rsidP="000861AF">
            <w:pPr>
              <w:pStyle w:val="TableText"/>
            </w:pPr>
          </w:p>
        </w:tc>
      </w:tr>
      <w:tr w:rsidR="00991179" w14:paraId="3874040F" w14:textId="77777777" w:rsidTr="0043044C">
        <w:trPr>
          <w:cantSplit/>
        </w:trPr>
        <w:tc>
          <w:tcPr>
            <w:tcW w:w="2020" w:type="dxa"/>
            <w:vMerge/>
            <w:shd w:val="clear" w:color="auto" w:fill="auto"/>
          </w:tcPr>
          <w:p w14:paraId="58B0B33F" w14:textId="77777777" w:rsidR="00991179" w:rsidRPr="00523370" w:rsidRDefault="00991179" w:rsidP="000861AF">
            <w:pPr>
              <w:pStyle w:val="TableText"/>
            </w:pPr>
          </w:p>
        </w:tc>
        <w:tc>
          <w:tcPr>
            <w:tcW w:w="1524" w:type="dxa"/>
            <w:tcBorders>
              <w:top w:val="nil"/>
              <w:bottom w:val="nil"/>
            </w:tcBorders>
            <w:shd w:val="clear" w:color="auto" w:fill="auto"/>
          </w:tcPr>
          <w:p w14:paraId="0DD95C98" w14:textId="77777777" w:rsidR="00991179" w:rsidRPr="00523370" w:rsidRDefault="00991179" w:rsidP="00991179">
            <w:pPr>
              <w:pStyle w:val="TableText"/>
            </w:pPr>
            <w:r w:rsidRPr="00523370">
              <w:t>ACT-NOW SACT regimen library</w:t>
            </w:r>
          </w:p>
        </w:tc>
        <w:tc>
          <w:tcPr>
            <w:tcW w:w="4536" w:type="dxa"/>
            <w:tcBorders>
              <w:top w:val="nil"/>
              <w:bottom w:val="nil"/>
            </w:tcBorders>
            <w:shd w:val="clear" w:color="auto" w:fill="auto"/>
          </w:tcPr>
          <w:p w14:paraId="66C1EB7D" w14:textId="77777777" w:rsidR="00991179" w:rsidRPr="00991179" w:rsidRDefault="0056499C" w:rsidP="00991179">
            <w:pPr>
              <w:pStyle w:val="TableText"/>
              <w:rPr>
                <w:rStyle w:val="Hyperlink"/>
              </w:rPr>
            </w:pPr>
            <w:hyperlink r:id="rId42" w:history="1">
              <w:r w:rsidR="00991179" w:rsidRPr="00991179">
                <w:rPr>
                  <w:rStyle w:val="Hyperlink"/>
                </w:rPr>
                <w:t>https://nzf.org.nz/regimens</w:t>
              </w:r>
            </w:hyperlink>
          </w:p>
        </w:tc>
      </w:tr>
      <w:tr w:rsidR="00991179" w14:paraId="7CD5F9CD" w14:textId="77777777" w:rsidTr="0043044C">
        <w:trPr>
          <w:cantSplit/>
        </w:trPr>
        <w:tc>
          <w:tcPr>
            <w:tcW w:w="2020" w:type="dxa"/>
            <w:vMerge/>
            <w:tcBorders>
              <w:bottom w:val="single" w:sz="4" w:space="0" w:color="C2D9BA"/>
            </w:tcBorders>
            <w:shd w:val="clear" w:color="auto" w:fill="auto"/>
          </w:tcPr>
          <w:p w14:paraId="55CC91A2" w14:textId="77777777" w:rsidR="00991179" w:rsidRPr="00523370" w:rsidRDefault="00991179" w:rsidP="000861AF">
            <w:pPr>
              <w:pStyle w:val="TableText"/>
            </w:pPr>
          </w:p>
        </w:tc>
        <w:tc>
          <w:tcPr>
            <w:tcW w:w="1524" w:type="dxa"/>
            <w:tcBorders>
              <w:top w:val="nil"/>
              <w:bottom w:val="single" w:sz="4" w:space="0" w:color="C2D9BA"/>
            </w:tcBorders>
            <w:shd w:val="clear" w:color="auto" w:fill="auto"/>
          </w:tcPr>
          <w:p w14:paraId="23FBDA0E" w14:textId="77777777" w:rsidR="00991179" w:rsidRPr="00523370" w:rsidRDefault="00991179" w:rsidP="00991179">
            <w:pPr>
              <w:pStyle w:val="TableText"/>
            </w:pPr>
            <w:r w:rsidRPr="00523370">
              <w:t>eviQ</w:t>
            </w:r>
          </w:p>
        </w:tc>
        <w:tc>
          <w:tcPr>
            <w:tcW w:w="4536" w:type="dxa"/>
            <w:tcBorders>
              <w:top w:val="nil"/>
              <w:bottom w:val="single" w:sz="4" w:space="0" w:color="C2D9BA"/>
            </w:tcBorders>
            <w:shd w:val="clear" w:color="auto" w:fill="auto"/>
          </w:tcPr>
          <w:p w14:paraId="0FE91BA3" w14:textId="77777777" w:rsidR="00991179" w:rsidRDefault="0056499C" w:rsidP="00991179">
            <w:pPr>
              <w:pStyle w:val="TableText"/>
            </w:pPr>
            <w:hyperlink r:id="rId43" w:history="1">
              <w:r w:rsidR="00991179" w:rsidRPr="005E48E7">
                <w:rPr>
                  <w:rStyle w:val="Hyperlink"/>
                  <w:rFonts w:eastAsia="MS Gothic"/>
                </w:rPr>
                <w:t>www.eviq.org.au/</w:t>
              </w:r>
            </w:hyperlink>
          </w:p>
        </w:tc>
      </w:tr>
      <w:tr w:rsidR="00991179" w14:paraId="722531E7" w14:textId="77777777" w:rsidTr="0043044C">
        <w:trPr>
          <w:cantSplit/>
        </w:trPr>
        <w:tc>
          <w:tcPr>
            <w:tcW w:w="2020" w:type="dxa"/>
            <w:vMerge w:val="restart"/>
            <w:tcBorders>
              <w:top w:val="single" w:sz="4" w:space="0" w:color="C2D9BA"/>
            </w:tcBorders>
            <w:shd w:val="clear" w:color="auto" w:fill="auto"/>
          </w:tcPr>
          <w:p w14:paraId="37DD3984" w14:textId="77777777" w:rsidR="00991179" w:rsidRPr="00523370" w:rsidRDefault="00991179" w:rsidP="000861AF">
            <w:pPr>
              <w:pStyle w:val="TableText"/>
            </w:pPr>
            <w:r w:rsidRPr="00523370">
              <w:t>Patient and health sector</w:t>
            </w:r>
            <w:r>
              <w:t xml:space="preserve"> considerations</w:t>
            </w:r>
          </w:p>
        </w:tc>
        <w:tc>
          <w:tcPr>
            <w:tcW w:w="1524" w:type="dxa"/>
            <w:tcBorders>
              <w:top w:val="single" w:sz="4" w:space="0" w:color="C2D9BA"/>
              <w:bottom w:val="nil"/>
            </w:tcBorders>
            <w:shd w:val="clear" w:color="auto" w:fill="auto"/>
          </w:tcPr>
          <w:p w14:paraId="3CF44329" w14:textId="77777777" w:rsidR="00991179" w:rsidRPr="00523370" w:rsidRDefault="00991179" w:rsidP="00991179">
            <w:pPr>
              <w:pStyle w:val="TableText"/>
            </w:pPr>
            <w:r w:rsidRPr="00523370">
              <w:t>ACT-NOW SACT regimen library</w:t>
            </w:r>
          </w:p>
        </w:tc>
        <w:tc>
          <w:tcPr>
            <w:tcW w:w="4536" w:type="dxa"/>
            <w:tcBorders>
              <w:top w:val="single" w:sz="4" w:space="0" w:color="C2D9BA"/>
              <w:bottom w:val="nil"/>
            </w:tcBorders>
            <w:shd w:val="clear" w:color="auto" w:fill="auto"/>
          </w:tcPr>
          <w:p w14:paraId="01C15D4E" w14:textId="77777777" w:rsidR="00991179" w:rsidRPr="00991179" w:rsidRDefault="0056499C" w:rsidP="00991179">
            <w:pPr>
              <w:pStyle w:val="TableText"/>
              <w:rPr>
                <w:rStyle w:val="Hyperlink"/>
              </w:rPr>
            </w:pPr>
            <w:hyperlink r:id="rId44" w:history="1">
              <w:r w:rsidR="00991179" w:rsidRPr="00991179">
                <w:rPr>
                  <w:rStyle w:val="Hyperlink"/>
                </w:rPr>
                <w:t>https://nzf.org.nz/regimens</w:t>
              </w:r>
            </w:hyperlink>
          </w:p>
        </w:tc>
      </w:tr>
      <w:tr w:rsidR="00991179" w14:paraId="37262FED" w14:textId="77777777" w:rsidTr="0043044C">
        <w:trPr>
          <w:cantSplit/>
        </w:trPr>
        <w:tc>
          <w:tcPr>
            <w:tcW w:w="2020" w:type="dxa"/>
            <w:vMerge/>
            <w:shd w:val="clear" w:color="auto" w:fill="auto"/>
          </w:tcPr>
          <w:p w14:paraId="17F87072" w14:textId="77777777" w:rsidR="00991179" w:rsidRPr="00523370" w:rsidRDefault="00991179" w:rsidP="000861AF">
            <w:pPr>
              <w:pStyle w:val="TableText"/>
            </w:pPr>
          </w:p>
        </w:tc>
        <w:tc>
          <w:tcPr>
            <w:tcW w:w="1524" w:type="dxa"/>
            <w:tcBorders>
              <w:top w:val="nil"/>
              <w:bottom w:val="nil"/>
            </w:tcBorders>
            <w:shd w:val="clear" w:color="auto" w:fill="auto"/>
          </w:tcPr>
          <w:p w14:paraId="30FE83D5" w14:textId="77777777" w:rsidR="00991179" w:rsidRPr="00523370" w:rsidRDefault="00991179" w:rsidP="00991179">
            <w:pPr>
              <w:pStyle w:val="TableText"/>
            </w:pPr>
            <w:r w:rsidRPr="00523370">
              <w:t>eviQ</w:t>
            </w:r>
          </w:p>
        </w:tc>
        <w:tc>
          <w:tcPr>
            <w:tcW w:w="4536" w:type="dxa"/>
            <w:tcBorders>
              <w:top w:val="nil"/>
              <w:bottom w:val="nil"/>
            </w:tcBorders>
            <w:shd w:val="clear" w:color="auto" w:fill="auto"/>
          </w:tcPr>
          <w:p w14:paraId="2F14419F" w14:textId="77777777" w:rsidR="00991179" w:rsidRDefault="0056499C" w:rsidP="00991179">
            <w:pPr>
              <w:pStyle w:val="TableText"/>
            </w:pPr>
            <w:hyperlink r:id="rId45" w:history="1">
              <w:r w:rsidR="00991179" w:rsidRPr="005E48E7">
                <w:rPr>
                  <w:rStyle w:val="Hyperlink"/>
                  <w:rFonts w:eastAsia="MS Gothic"/>
                </w:rPr>
                <w:t>www.eviq.org.au/</w:t>
              </w:r>
            </w:hyperlink>
          </w:p>
        </w:tc>
      </w:tr>
      <w:tr w:rsidR="00991179" w14:paraId="672FAD0F" w14:textId="77777777" w:rsidTr="0043044C">
        <w:trPr>
          <w:cantSplit/>
        </w:trPr>
        <w:tc>
          <w:tcPr>
            <w:tcW w:w="2020" w:type="dxa"/>
            <w:vMerge/>
            <w:tcBorders>
              <w:bottom w:val="single" w:sz="4" w:space="0" w:color="C2D9BA"/>
            </w:tcBorders>
            <w:shd w:val="clear" w:color="auto" w:fill="auto"/>
          </w:tcPr>
          <w:p w14:paraId="4F0975A8" w14:textId="77777777" w:rsidR="00991179" w:rsidRPr="00523370" w:rsidRDefault="00991179" w:rsidP="000861AF">
            <w:pPr>
              <w:pStyle w:val="TableText"/>
            </w:pPr>
          </w:p>
        </w:tc>
        <w:tc>
          <w:tcPr>
            <w:tcW w:w="1524" w:type="dxa"/>
            <w:tcBorders>
              <w:top w:val="nil"/>
              <w:bottom w:val="single" w:sz="4" w:space="0" w:color="C2D9BA"/>
            </w:tcBorders>
            <w:shd w:val="clear" w:color="auto" w:fill="auto"/>
          </w:tcPr>
          <w:p w14:paraId="38F390B6" w14:textId="77777777" w:rsidR="00991179" w:rsidRPr="00523370" w:rsidRDefault="00991179" w:rsidP="00991179">
            <w:pPr>
              <w:pStyle w:val="TableText"/>
            </w:pPr>
            <w:r>
              <w:t>Medsafe Data Sheets</w:t>
            </w:r>
          </w:p>
        </w:tc>
        <w:tc>
          <w:tcPr>
            <w:tcW w:w="4536" w:type="dxa"/>
            <w:tcBorders>
              <w:top w:val="nil"/>
              <w:bottom w:val="single" w:sz="4" w:space="0" w:color="C2D9BA"/>
            </w:tcBorders>
            <w:shd w:val="clear" w:color="auto" w:fill="auto"/>
          </w:tcPr>
          <w:p w14:paraId="7303786C" w14:textId="77777777" w:rsidR="00991179" w:rsidRDefault="0056499C" w:rsidP="00991179">
            <w:pPr>
              <w:pStyle w:val="TableText"/>
            </w:pPr>
            <w:hyperlink r:id="rId46" w:history="1">
              <w:r w:rsidR="00991179" w:rsidRPr="005E48E7">
                <w:rPr>
                  <w:rStyle w:val="Hyperlink"/>
                  <w:rFonts w:eastAsia="MS Gothic"/>
                </w:rPr>
                <w:t>www.medsafe.govt.nz/Medicines/infoSearch.asp</w:t>
              </w:r>
            </w:hyperlink>
          </w:p>
        </w:tc>
      </w:tr>
    </w:tbl>
    <w:p w14:paraId="2B0F12F5" w14:textId="77777777" w:rsidR="00C338E8" w:rsidRDefault="00C338E8" w:rsidP="00991179"/>
    <w:p w14:paraId="7C571A2A" w14:textId="77777777" w:rsidR="00C338E8" w:rsidRDefault="00B12E4F" w:rsidP="00991179">
      <w:pPr>
        <w:pStyle w:val="Heading2"/>
      </w:pPr>
      <w:bookmarkStart w:id="349" w:name="_Toc100739055"/>
      <w:bookmarkStart w:id="350" w:name="_Toc101618171"/>
      <w:r>
        <w:lastRenderedPageBreak/>
        <w:t>Appendix 2: Results table from the comparison with the World Health Organization</w:t>
      </w:r>
      <w:r w:rsidR="00D34911">
        <w:t>’</w:t>
      </w:r>
      <w:r>
        <w:t>s Essential Medicines List</w:t>
      </w:r>
      <w:bookmarkEnd w:id="349"/>
      <w:bookmarkEnd w:id="350"/>
    </w:p>
    <w:p w14:paraId="3493C34E" w14:textId="77777777" w:rsidR="00C338E8" w:rsidRDefault="00B12E4F" w:rsidP="00991179">
      <w:r>
        <w:t>This appendix provides results from the comparison of cancer medicines publicly funded in Aotearoa with those included in the 21</w:t>
      </w:r>
      <w:r w:rsidR="00991179">
        <w:t>st</w:t>
      </w:r>
      <w:r>
        <w:t xml:space="preserve"> WHO-EML. For each medicine and indication listed in the WHO-EML, </w:t>
      </w:r>
      <w:hyperlink w:anchor="Appendix_2_Table_2point1" w:history="1">
        <w:r w:rsidR="00F047DF" w:rsidRPr="00F047DF">
          <w:rPr>
            <w:rStyle w:val="Hyperlink"/>
          </w:rPr>
          <w:t>Table 2.1</w:t>
        </w:r>
      </w:hyperlink>
      <w:r>
        <w:t xml:space="preserve"> shows whether they are publicly funded in Aotearoa.</w:t>
      </w:r>
    </w:p>
    <w:p w14:paraId="23B85F87" w14:textId="77777777" w:rsidR="00C338E8" w:rsidRDefault="00C338E8" w:rsidP="00B12E4F"/>
    <w:p w14:paraId="73358FDD" w14:textId="77777777" w:rsidR="00B12E4F" w:rsidRDefault="00B12E4F" w:rsidP="00991179">
      <w:pPr>
        <w:pStyle w:val="Table"/>
      </w:pPr>
      <w:bookmarkStart w:id="351" w:name="_Toc101365606"/>
      <w:bookmarkStart w:id="352" w:name="Appendix_2_Table_2point1"/>
      <w:r w:rsidRPr="001D7F8D">
        <w:t>Table</w:t>
      </w:r>
      <w:r w:rsidR="00051722">
        <w:t> </w:t>
      </w:r>
      <w:r>
        <w:t>2.</w:t>
      </w:r>
      <w:r w:rsidRPr="001D7F8D">
        <w:t>1: Medicines included in the WHO-EML</w:t>
      </w:r>
      <w:bookmarkEnd w:id="351"/>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843"/>
        <w:gridCol w:w="3119"/>
        <w:gridCol w:w="3118"/>
      </w:tblGrid>
      <w:tr w:rsidR="00991179" w:rsidRPr="00991179" w14:paraId="057DA19E" w14:textId="77777777" w:rsidTr="00051722">
        <w:trPr>
          <w:cantSplit/>
          <w:tblHeader/>
        </w:trPr>
        <w:tc>
          <w:tcPr>
            <w:tcW w:w="1843" w:type="dxa"/>
            <w:tcBorders>
              <w:top w:val="nil"/>
              <w:bottom w:val="nil"/>
            </w:tcBorders>
            <w:shd w:val="clear" w:color="auto" w:fill="C2D9BA"/>
          </w:tcPr>
          <w:p w14:paraId="68DCF89C" w14:textId="77777777" w:rsidR="00991179" w:rsidRPr="00991179" w:rsidRDefault="00991179" w:rsidP="000861AF">
            <w:pPr>
              <w:pStyle w:val="TableText"/>
              <w:rPr>
                <w:b/>
              </w:rPr>
            </w:pPr>
            <w:r w:rsidRPr="00991179">
              <w:rPr>
                <w:b/>
              </w:rPr>
              <w:t>Medicine</w:t>
            </w:r>
          </w:p>
        </w:tc>
        <w:tc>
          <w:tcPr>
            <w:tcW w:w="3119" w:type="dxa"/>
            <w:tcBorders>
              <w:top w:val="nil"/>
              <w:bottom w:val="nil"/>
            </w:tcBorders>
            <w:shd w:val="clear" w:color="auto" w:fill="C2D9BA"/>
          </w:tcPr>
          <w:p w14:paraId="003A6519" w14:textId="77777777" w:rsidR="00991179" w:rsidRPr="00991179" w:rsidRDefault="00991179" w:rsidP="000861AF">
            <w:pPr>
              <w:pStyle w:val="TableText"/>
              <w:rPr>
                <w:b/>
              </w:rPr>
            </w:pPr>
            <w:r w:rsidRPr="00991179">
              <w:rPr>
                <w:b/>
              </w:rPr>
              <w:t>Indication as per WHO-EML</w:t>
            </w:r>
          </w:p>
        </w:tc>
        <w:tc>
          <w:tcPr>
            <w:tcW w:w="3118" w:type="dxa"/>
            <w:tcBorders>
              <w:top w:val="nil"/>
              <w:bottom w:val="nil"/>
            </w:tcBorders>
            <w:shd w:val="clear" w:color="auto" w:fill="C2D9BA"/>
          </w:tcPr>
          <w:p w14:paraId="5B451D30" w14:textId="77777777" w:rsidR="00991179" w:rsidRPr="00991179" w:rsidRDefault="00991179" w:rsidP="000861AF">
            <w:pPr>
              <w:pStyle w:val="TableText"/>
              <w:rPr>
                <w:b/>
              </w:rPr>
            </w:pPr>
            <w:r w:rsidRPr="00991179">
              <w:rPr>
                <w:b/>
              </w:rPr>
              <w:t>Funded in Aotearoa</w:t>
            </w:r>
          </w:p>
        </w:tc>
      </w:tr>
      <w:tr w:rsidR="00991179" w14:paraId="0BF4D447" w14:textId="77777777" w:rsidTr="00051722">
        <w:trPr>
          <w:cantSplit/>
        </w:trPr>
        <w:tc>
          <w:tcPr>
            <w:tcW w:w="1843" w:type="dxa"/>
            <w:tcBorders>
              <w:top w:val="nil"/>
              <w:bottom w:val="single" w:sz="4" w:space="0" w:color="C2D9BA"/>
            </w:tcBorders>
            <w:shd w:val="clear" w:color="auto" w:fill="auto"/>
          </w:tcPr>
          <w:p w14:paraId="3FADF0D5" w14:textId="77777777" w:rsidR="00991179" w:rsidRPr="00E444B3" w:rsidRDefault="00991179" w:rsidP="000861AF">
            <w:pPr>
              <w:pStyle w:val="TableText"/>
            </w:pPr>
            <w:r w:rsidRPr="00E444B3">
              <w:t>Abiraterone</w:t>
            </w:r>
          </w:p>
        </w:tc>
        <w:tc>
          <w:tcPr>
            <w:tcW w:w="3119" w:type="dxa"/>
            <w:tcBorders>
              <w:top w:val="nil"/>
              <w:bottom w:val="single" w:sz="4" w:space="0" w:color="C2D9BA"/>
            </w:tcBorders>
            <w:shd w:val="clear" w:color="auto" w:fill="auto"/>
          </w:tcPr>
          <w:p w14:paraId="0EFCEB55" w14:textId="77777777" w:rsidR="00991179" w:rsidRPr="00E444B3" w:rsidRDefault="00991179" w:rsidP="00991179">
            <w:pPr>
              <w:pStyle w:val="TableText"/>
            </w:pPr>
            <w:r w:rsidRPr="00E444B3">
              <w:t>Malignant neoplasms of prostate</w:t>
            </w:r>
          </w:p>
        </w:tc>
        <w:tc>
          <w:tcPr>
            <w:tcW w:w="3118" w:type="dxa"/>
            <w:tcBorders>
              <w:top w:val="nil"/>
              <w:bottom w:val="single" w:sz="4" w:space="0" w:color="C2D9BA"/>
            </w:tcBorders>
            <w:shd w:val="clear" w:color="auto" w:fill="auto"/>
          </w:tcPr>
          <w:p w14:paraId="17DCC817" w14:textId="77777777" w:rsidR="00991179" w:rsidRPr="00E444B3" w:rsidRDefault="00991179" w:rsidP="00991179">
            <w:pPr>
              <w:pStyle w:val="TableText"/>
            </w:pPr>
            <w:r w:rsidRPr="00E444B3">
              <w:t>Yes</w:t>
            </w:r>
          </w:p>
        </w:tc>
      </w:tr>
      <w:tr w:rsidR="00991179" w14:paraId="04476927" w14:textId="77777777" w:rsidTr="00051722">
        <w:trPr>
          <w:cantSplit/>
        </w:trPr>
        <w:tc>
          <w:tcPr>
            <w:tcW w:w="1843" w:type="dxa"/>
            <w:tcBorders>
              <w:top w:val="single" w:sz="4" w:space="0" w:color="C2D9BA"/>
              <w:bottom w:val="single" w:sz="4" w:space="0" w:color="C2D9BA"/>
            </w:tcBorders>
            <w:shd w:val="clear" w:color="auto" w:fill="auto"/>
          </w:tcPr>
          <w:p w14:paraId="4A806AEE" w14:textId="77777777" w:rsidR="00991179" w:rsidRPr="00E444B3" w:rsidRDefault="00991179" w:rsidP="000861AF">
            <w:pPr>
              <w:pStyle w:val="TableText"/>
            </w:pPr>
            <w:r w:rsidRPr="00E444B3">
              <w:t>Afatinib</w:t>
            </w:r>
          </w:p>
        </w:tc>
        <w:tc>
          <w:tcPr>
            <w:tcW w:w="3119" w:type="dxa"/>
            <w:tcBorders>
              <w:top w:val="single" w:sz="4" w:space="0" w:color="C2D9BA"/>
              <w:bottom w:val="single" w:sz="4" w:space="0" w:color="C2D9BA"/>
            </w:tcBorders>
            <w:shd w:val="clear" w:color="auto" w:fill="auto"/>
          </w:tcPr>
          <w:p w14:paraId="3B92FCB6"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10F59A34" w14:textId="77777777" w:rsidR="00991179" w:rsidRDefault="00991179" w:rsidP="00991179">
            <w:pPr>
              <w:pStyle w:val="TableText"/>
            </w:pPr>
            <w:r w:rsidRPr="00E444B3">
              <w:t>No</w:t>
            </w:r>
          </w:p>
          <w:p w14:paraId="39296654" w14:textId="77777777" w:rsidR="00991179" w:rsidRPr="00E444B3" w:rsidRDefault="00991179" w:rsidP="00991179">
            <w:pPr>
              <w:pStyle w:val="TableText"/>
            </w:pPr>
            <w:r>
              <w:t>(Gefitinib and erlotinib are identified by the WHO as therapeutic alternatives. Both are funded in Aotearoa for lung cancer.)</w:t>
            </w:r>
          </w:p>
        </w:tc>
      </w:tr>
      <w:tr w:rsidR="00991179" w14:paraId="0F9AFE91" w14:textId="77777777" w:rsidTr="00051722">
        <w:trPr>
          <w:cantSplit/>
        </w:trPr>
        <w:tc>
          <w:tcPr>
            <w:tcW w:w="1843" w:type="dxa"/>
            <w:tcBorders>
              <w:top w:val="single" w:sz="4" w:space="0" w:color="C2D9BA"/>
              <w:bottom w:val="single" w:sz="4" w:space="0" w:color="C2D9BA"/>
            </w:tcBorders>
            <w:shd w:val="clear" w:color="auto" w:fill="auto"/>
          </w:tcPr>
          <w:p w14:paraId="4299BF54" w14:textId="77777777" w:rsidR="00991179" w:rsidRPr="00E444B3" w:rsidRDefault="00991179" w:rsidP="000861AF">
            <w:pPr>
              <w:pStyle w:val="TableText"/>
            </w:pPr>
            <w:r w:rsidRPr="00E444B3">
              <w:t>All-trans retinoic acid [tretinoin]</w:t>
            </w:r>
          </w:p>
        </w:tc>
        <w:tc>
          <w:tcPr>
            <w:tcW w:w="3119" w:type="dxa"/>
            <w:tcBorders>
              <w:top w:val="single" w:sz="4" w:space="0" w:color="C2D9BA"/>
              <w:bottom w:val="single" w:sz="4" w:space="0" w:color="C2D9BA"/>
            </w:tcBorders>
            <w:shd w:val="clear" w:color="auto" w:fill="auto"/>
          </w:tcPr>
          <w:p w14:paraId="1F4DE245" w14:textId="77777777" w:rsidR="00991179" w:rsidRPr="00E444B3" w:rsidRDefault="00991179" w:rsidP="00991179">
            <w:pPr>
              <w:pStyle w:val="TableText"/>
            </w:pPr>
            <w:r w:rsidRPr="00E444B3">
              <w:t>Acute myeloid leukaemia with recurrent genetic abnormalities</w:t>
            </w:r>
          </w:p>
        </w:tc>
        <w:tc>
          <w:tcPr>
            <w:tcW w:w="3118" w:type="dxa"/>
            <w:tcBorders>
              <w:top w:val="single" w:sz="4" w:space="0" w:color="C2D9BA"/>
              <w:bottom w:val="single" w:sz="4" w:space="0" w:color="C2D9BA"/>
            </w:tcBorders>
            <w:shd w:val="clear" w:color="auto" w:fill="auto"/>
          </w:tcPr>
          <w:p w14:paraId="09EE2200" w14:textId="77777777" w:rsidR="00991179" w:rsidRPr="00E444B3" w:rsidRDefault="00991179" w:rsidP="00991179">
            <w:pPr>
              <w:pStyle w:val="TableText"/>
            </w:pPr>
            <w:r w:rsidRPr="00E444B3">
              <w:t>Yes</w:t>
            </w:r>
          </w:p>
        </w:tc>
      </w:tr>
      <w:tr w:rsidR="00991179" w14:paraId="758EFADE" w14:textId="77777777" w:rsidTr="00051722">
        <w:trPr>
          <w:cantSplit/>
        </w:trPr>
        <w:tc>
          <w:tcPr>
            <w:tcW w:w="1843" w:type="dxa"/>
            <w:tcBorders>
              <w:top w:val="single" w:sz="4" w:space="0" w:color="C2D9BA"/>
              <w:bottom w:val="single" w:sz="4" w:space="0" w:color="C2D9BA"/>
            </w:tcBorders>
            <w:shd w:val="clear" w:color="auto" w:fill="auto"/>
          </w:tcPr>
          <w:p w14:paraId="4824CCBA" w14:textId="77777777" w:rsidR="00991179" w:rsidRPr="00E444B3" w:rsidRDefault="00991179" w:rsidP="000861AF">
            <w:pPr>
              <w:pStyle w:val="TableText"/>
            </w:pPr>
            <w:r w:rsidRPr="00E444B3">
              <w:t>Anastrozole</w:t>
            </w:r>
          </w:p>
        </w:tc>
        <w:tc>
          <w:tcPr>
            <w:tcW w:w="3119" w:type="dxa"/>
            <w:tcBorders>
              <w:top w:val="single" w:sz="4" w:space="0" w:color="C2D9BA"/>
              <w:bottom w:val="single" w:sz="4" w:space="0" w:color="C2D9BA"/>
            </w:tcBorders>
            <w:shd w:val="clear" w:color="auto" w:fill="auto"/>
            <w:vAlign w:val="bottom"/>
          </w:tcPr>
          <w:p w14:paraId="46CEE36C"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09F776A3" w14:textId="77777777" w:rsidR="00991179" w:rsidRPr="00E444B3" w:rsidRDefault="00991179" w:rsidP="00991179">
            <w:pPr>
              <w:pStyle w:val="TableText"/>
            </w:pPr>
            <w:r w:rsidRPr="00E444B3">
              <w:t>Yes</w:t>
            </w:r>
          </w:p>
        </w:tc>
      </w:tr>
      <w:tr w:rsidR="00991179" w14:paraId="0566F647" w14:textId="77777777" w:rsidTr="00051722">
        <w:trPr>
          <w:cantSplit/>
        </w:trPr>
        <w:tc>
          <w:tcPr>
            <w:tcW w:w="1843" w:type="dxa"/>
            <w:tcBorders>
              <w:top w:val="single" w:sz="4" w:space="0" w:color="C2D9BA"/>
              <w:bottom w:val="single" w:sz="4" w:space="0" w:color="C2D9BA"/>
            </w:tcBorders>
            <w:shd w:val="clear" w:color="auto" w:fill="auto"/>
          </w:tcPr>
          <w:p w14:paraId="093B0492" w14:textId="77777777" w:rsidR="00991179" w:rsidRPr="00E444B3" w:rsidRDefault="00991179" w:rsidP="000861AF">
            <w:pPr>
              <w:pStyle w:val="TableText"/>
            </w:pPr>
            <w:r w:rsidRPr="00E444B3">
              <w:t>Anastrozole</w:t>
            </w:r>
          </w:p>
        </w:tc>
        <w:tc>
          <w:tcPr>
            <w:tcW w:w="3119" w:type="dxa"/>
            <w:tcBorders>
              <w:top w:val="single" w:sz="4" w:space="0" w:color="C2D9BA"/>
              <w:bottom w:val="single" w:sz="4" w:space="0" w:color="C2D9BA"/>
            </w:tcBorders>
            <w:shd w:val="clear" w:color="auto" w:fill="auto"/>
            <w:vAlign w:val="bottom"/>
          </w:tcPr>
          <w:p w14:paraId="382B1A80"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68A46296" w14:textId="77777777" w:rsidR="00991179" w:rsidRPr="00E444B3" w:rsidRDefault="00991179" w:rsidP="00991179">
            <w:pPr>
              <w:pStyle w:val="TableText"/>
            </w:pPr>
            <w:r w:rsidRPr="00E444B3">
              <w:t>Yes</w:t>
            </w:r>
          </w:p>
        </w:tc>
      </w:tr>
      <w:tr w:rsidR="00991179" w14:paraId="1EFA4235" w14:textId="77777777" w:rsidTr="00051722">
        <w:trPr>
          <w:cantSplit/>
        </w:trPr>
        <w:tc>
          <w:tcPr>
            <w:tcW w:w="1843" w:type="dxa"/>
            <w:tcBorders>
              <w:top w:val="single" w:sz="4" w:space="0" w:color="C2D9BA"/>
              <w:bottom w:val="single" w:sz="4" w:space="0" w:color="C2D9BA"/>
            </w:tcBorders>
            <w:shd w:val="clear" w:color="auto" w:fill="auto"/>
          </w:tcPr>
          <w:p w14:paraId="5A02B6D7" w14:textId="77777777" w:rsidR="00991179" w:rsidRPr="00E444B3" w:rsidRDefault="00991179" w:rsidP="000861AF">
            <w:pPr>
              <w:pStyle w:val="TableText"/>
            </w:pPr>
            <w:r w:rsidRPr="00E444B3">
              <w:t>Arsenic trioxide</w:t>
            </w:r>
          </w:p>
        </w:tc>
        <w:tc>
          <w:tcPr>
            <w:tcW w:w="3119" w:type="dxa"/>
            <w:tcBorders>
              <w:top w:val="single" w:sz="4" w:space="0" w:color="C2D9BA"/>
              <w:bottom w:val="single" w:sz="4" w:space="0" w:color="C2D9BA"/>
            </w:tcBorders>
            <w:shd w:val="clear" w:color="auto" w:fill="auto"/>
          </w:tcPr>
          <w:p w14:paraId="352D4706" w14:textId="77777777" w:rsidR="00991179" w:rsidRPr="00E444B3" w:rsidRDefault="00991179" w:rsidP="00991179">
            <w:pPr>
              <w:pStyle w:val="TableText"/>
            </w:pPr>
            <w:r w:rsidRPr="00E444B3">
              <w:t>Acute myeloid leukaemia with recurrent genetic abnormalities</w:t>
            </w:r>
          </w:p>
        </w:tc>
        <w:tc>
          <w:tcPr>
            <w:tcW w:w="3118" w:type="dxa"/>
            <w:tcBorders>
              <w:top w:val="single" w:sz="4" w:space="0" w:color="C2D9BA"/>
              <w:bottom w:val="single" w:sz="4" w:space="0" w:color="C2D9BA"/>
            </w:tcBorders>
            <w:shd w:val="clear" w:color="auto" w:fill="auto"/>
          </w:tcPr>
          <w:p w14:paraId="250A80C1" w14:textId="77777777" w:rsidR="00991179" w:rsidRPr="00E444B3" w:rsidRDefault="00991179" w:rsidP="00991179">
            <w:pPr>
              <w:pStyle w:val="TableText"/>
            </w:pPr>
            <w:r w:rsidRPr="00E444B3">
              <w:t>Yes</w:t>
            </w:r>
          </w:p>
        </w:tc>
      </w:tr>
      <w:tr w:rsidR="00991179" w14:paraId="35BF4EDF" w14:textId="77777777" w:rsidTr="00051722">
        <w:trPr>
          <w:cantSplit/>
        </w:trPr>
        <w:tc>
          <w:tcPr>
            <w:tcW w:w="1843" w:type="dxa"/>
            <w:tcBorders>
              <w:top w:val="single" w:sz="4" w:space="0" w:color="C2D9BA"/>
              <w:bottom w:val="single" w:sz="4" w:space="0" w:color="C2D9BA"/>
            </w:tcBorders>
            <w:shd w:val="clear" w:color="auto" w:fill="auto"/>
          </w:tcPr>
          <w:p w14:paraId="01CAB9C8" w14:textId="77777777" w:rsidR="00991179" w:rsidRPr="00E444B3" w:rsidRDefault="00991179" w:rsidP="000861AF">
            <w:pPr>
              <w:pStyle w:val="TableText"/>
            </w:pPr>
            <w:r w:rsidRPr="00E444B3">
              <w:t>Asparaginase</w:t>
            </w:r>
          </w:p>
        </w:tc>
        <w:tc>
          <w:tcPr>
            <w:tcW w:w="3119" w:type="dxa"/>
            <w:tcBorders>
              <w:top w:val="single" w:sz="4" w:space="0" w:color="C2D9BA"/>
              <w:bottom w:val="single" w:sz="4" w:space="0" w:color="C2D9BA"/>
            </w:tcBorders>
            <w:shd w:val="clear" w:color="auto" w:fill="auto"/>
          </w:tcPr>
          <w:p w14:paraId="5945EEEB"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6AEB8F3A" w14:textId="77777777" w:rsidR="00991179" w:rsidRDefault="00991179" w:rsidP="00991179">
            <w:pPr>
              <w:pStyle w:val="TableText"/>
            </w:pPr>
            <w:r w:rsidRPr="00E444B3">
              <w:t>No</w:t>
            </w:r>
          </w:p>
          <w:p w14:paraId="69E29D74" w14:textId="77777777" w:rsidR="00991179" w:rsidRPr="00E444B3" w:rsidRDefault="00991179" w:rsidP="00991179">
            <w:pPr>
              <w:pStyle w:val="TableText"/>
            </w:pPr>
            <w:r>
              <w:t>(Pegaspargase has superseded this treatment in Aotearoa and is funded for acute lymphoblastic leukaemia and lymphoma.)</w:t>
            </w:r>
          </w:p>
        </w:tc>
      </w:tr>
      <w:tr w:rsidR="00991179" w14:paraId="060BA954" w14:textId="77777777" w:rsidTr="00051722">
        <w:trPr>
          <w:cantSplit/>
        </w:trPr>
        <w:tc>
          <w:tcPr>
            <w:tcW w:w="1843" w:type="dxa"/>
            <w:tcBorders>
              <w:top w:val="single" w:sz="4" w:space="0" w:color="C2D9BA"/>
              <w:bottom w:val="single" w:sz="4" w:space="0" w:color="C2D9BA"/>
            </w:tcBorders>
            <w:shd w:val="clear" w:color="auto" w:fill="auto"/>
          </w:tcPr>
          <w:p w14:paraId="074191CA" w14:textId="77777777" w:rsidR="00991179" w:rsidRPr="00E444B3" w:rsidRDefault="00991179" w:rsidP="000861AF">
            <w:pPr>
              <w:pStyle w:val="TableText"/>
            </w:pPr>
            <w:r w:rsidRPr="00E444B3">
              <w:t>Bendamustine</w:t>
            </w:r>
          </w:p>
        </w:tc>
        <w:tc>
          <w:tcPr>
            <w:tcW w:w="3119" w:type="dxa"/>
            <w:tcBorders>
              <w:top w:val="single" w:sz="4" w:space="0" w:color="C2D9BA"/>
              <w:bottom w:val="single" w:sz="4" w:space="0" w:color="C2D9BA"/>
            </w:tcBorders>
            <w:shd w:val="clear" w:color="auto" w:fill="auto"/>
            <w:vAlign w:val="bottom"/>
          </w:tcPr>
          <w:p w14:paraId="79829E83" w14:textId="77777777" w:rsidR="00991179" w:rsidRPr="00E444B3" w:rsidRDefault="00991179" w:rsidP="00991179">
            <w:pPr>
              <w:pStyle w:val="TableText"/>
            </w:pPr>
            <w:r w:rsidRPr="00E444B3">
              <w:t>Chronic lymphocytic leukaemia or small lymphocytic lymphoma</w:t>
            </w:r>
          </w:p>
        </w:tc>
        <w:tc>
          <w:tcPr>
            <w:tcW w:w="3118" w:type="dxa"/>
            <w:tcBorders>
              <w:top w:val="single" w:sz="4" w:space="0" w:color="C2D9BA"/>
              <w:bottom w:val="single" w:sz="4" w:space="0" w:color="C2D9BA"/>
            </w:tcBorders>
            <w:shd w:val="clear" w:color="auto" w:fill="auto"/>
          </w:tcPr>
          <w:p w14:paraId="23080745" w14:textId="77777777" w:rsidR="00991179" w:rsidRPr="00E444B3" w:rsidRDefault="00991179" w:rsidP="00991179">
            <w:pPr>
              <w:pStyle w:val="TableText"/>
            </w:pPr>
            <w:r w:rsidRPr="00E444B3">
              <w:t>Yes</w:t>
            </w:r>
          </w:p>
        </w:tc>
      </w:tr>
      <w:tr w:rsidR="00991179" w14:paraId="0DB26B99" w14:textId="77777777" w:rsidTr="00051722">
        <w:trPr>
          <w:cantSplit/>
        </w:trPr>
        <w:tc>
          <w:tcPr>
            <w:tcW w:w="1843" w:type="dxa"/>
            <w:tcBorders>
              <w:top w:val="single" w:sz="4" w:space="0" w:color="C2D9BA"/>
              <w:bottom w:val="single" w:sz="4" w:space="0" w:color="C2D9BA"/>
            </w:tcBorders>
            <w:shd w:val="clear" w:color="auto" w:fill="auto"/>
          </w:tcPr>
          <w:p w14:paraId="086BA508" w14:textId="77777777" w:rsidR="00991179" w:rsidRPr="00E444B3" w:rsidRDefault="00991179" w:rsidP="000861AF">
            <w:pPr>
              <w:pStyle w:val="TableText"/>
            </w:pPr>
            <w:r w:rsidRPr="00E444B3">
              <w:t>Bendamustine</w:t>
            </w:r>
          </w:p>
        </w:tc>
        <w:tc>
          <w:tcPr>
            <w:tcW w:w="3119" w:type="dxa"/>
            <w:tcBorders>
              <w:top w:val="single" w:sz="4" w:space="0" w:color="C2D9BA"/>
              <w:bottom w:val="single" w:sz="4" w:space="0" w:color="C2D9BA"/>
            </w:tcBorders>
            <w:shd w:val="clear" w:color="auto" w:fill="auto"/>
            <w:vAlign w:val="bottom"/>
          </w:tcPr>
          <w:p w14:paraId="24A6C926" w14:textId="77777777" w:rsidR="00991179" w:rsidRPr="00E444B3" w:rsidRDefault="00991179" w:rsidP="00991179">
            <w:pPr>
              <w:pStyle w:val="TableText"/>
            </w:pPr>
            <w:r w:rsidRPr="00E444B3">
              <w:t>Follicular lymphoma</w:t>
            </w:r>
          </w:p>
        </w:tc>
        <w:tc>
          <w:tcPr>
            <w:tcW w:w="3118" w:type="dxa"/>
            <w:tcBorders>
              <w:top w:val="single" w:sz="4" w:space="0" w:color="C2D9BA"/>
              <w:bottom w:val="single" w:sz="4" w:space="0" w:color="C2D9BA"/>
            </w:tcBorders>
            <w:shd w:val="clear" w:color="auto" w:fill="auto"/>
          </w:tcPr>
          <w:p w14:paraId="2D7F74D9" w14:textId="77777777" w:rsidR="00991179" w:rsidRPr="00E444B3" w:rsidRDefault="00991179" w:rsidP="00991179">
            <w:pPr>
              <w:pStyle w:val="TableText"/>
            </w:pPr>
            <w:r w:rsidRPr="00E444B3">
              <w:t>Yes</w:t>
            </w:r>
          </w:p>
        </w:tc>
      </w:tr>
      <w:tr w:rsidR="00991179" w14:paraId="73A11377" w14:textId="77777777" w:rsidTr="00051722">
        <w:trPr>
          <w:cantSplit/>
        </w:trPr>
        <w:tc>
          <w:tcPr>
            <w:tcW w:w="1843" w:type="dxa"/>
            <w:tcBorders>
              <w:top w:val="single" w:sz="4" w:space="0" w:color="C2D9BA"/>
              <w:bottom w:val="single" w:sz="4" w:space="0" w:color="C2D9BA"/>
            </w:tcBorders>
            <w:shd w:val="clear" w:color="auto" w:fill="auto"/>
          </w:tcPr>
          <w:p w14:paraId="10D679FE" w14:textId="77777777" w:rsidR="00991179" w:rsidRPr="00E444B3" w:rsidRDefault="00991179" w:rsidP="000861AF">
            <w:pPr>
              <w:pStyle w:val="TableText"/>
            </w:pPr>
            <w:r w:rsidRPr="00E444B3">
              <w:t>Bicalutamide</w:t>
            </w:r>
          </w:p>
        </w:tc>
        <w:tc>
          <w:tcPr>
            <w:tcW w:w="3119" w:type="dxa"/>
            <w:tcBorders>
              <w:top w:val="single" w:sz="4" w:space="0" w:color="C2D9BA"/>
              <w:bottom w:val="single" w:sz="4" w:space="0" w:color="C2D9BA"/>
            </w:tcBorders>
            <w:shd w:val="clear" w:color="auto" w:fill="auto"/>
            <w:vAlign w:val="bottom"/>
          </w:tcPr>
          <w:p w14:paraId="0F12BB9A" w14:textId="77777777" w:rsidR="00991179" w:rsidRPr="00E444B3" w:rsidRDefault="00991179" w:rsidP="00991179">
            <w:pPr>
              <w:pStyle w:val="TableText"/>
            </w:pPr>
            <w:r w:rsidRPr="00E444B3">
              <w:t>Malignant neoplasms of prostate</w:t>
            </w:r>
          </w:p>
        </w:tc>
        <w:tc>
          <w:tcPr>
            <w:tcW w:w="3118" w:type="dxa"/>
            <w:tcBorders>
              <w:top w:val="single" w:sz="4" w:space="0" w:color="C2D9BA"/>
              <w:bottom w:val="single" w:sz="4" w:space="0" w:color="C2D9BA"/>
            </w:tcBorders>
            <w:shd w:val="clear" w:color="auto" w:fill="auto"/>
          </w:tcPr>
          <w:p w14:paraId="5CB3AA82" w14:textId="77777777" w:rsidR="00991179" w:rsidRPr="00E444B3" w:rsidRDefault="00991179" w:rsidP="00991179">
            <w:pPr>
              <w:pStyle w:val="TableText"/>
            </w:pPr>
            <w:r w:rsidRPr="00E444B3">
              <w:t>Yes</w:t>
            </w:r>
          </w:p>
        </w:tc>
      </w:tr>
      <w:tr w:rsidR="00991179" w14:paraId="78246CCB" w14:textId="77777777" w:rsidTr="00051722">
        <w:trPr>
          <w:cantSplit/>
        </w:trPr>
        <w:tc>
          <w:tcPr>
            <w:tcW w:w="1843" w:type="dxa"/>
            <w:tcBorders>
              <w:top w:val="single" w:sz="4" w:space="0" w:color="C2D9BA"/>
              <w:bottom w:val="single" w:sz="4" w:space="0" w:color="C2D9BA"/>
            </w:tcBorders>
            <w:shd w:val="clear" w:color="auto" w:fill="auto"/>
          </w:tcPr>
          <w:p w14:paraId="0574BF0F" w14:textId="77777777" w:rsidR="00991179" w:rsidRPr="00E444B3" w:rsidRDefault="00991179" w:rsidP="000861AF">
            <w:pPr>
              <w:pStyle w:val="TableText"/>
            </w:pPr>
            <w:r w:rsidRPr="00E444B3">
              <w:t>Bleomycin</w:t>
            </w:r>
          </w:p>
        </w:tc>
        <w:tc>
          <w:tcPr>
            <w:tcW w:w="3119" w:type="dxa"/>
            <w:tcBorders>
              <w:top w:val="single" w:sz="4" w:space="0" w:color="C2D9BA"/>
              <w:bottom w:val="single" w:sz="4" w:space="0" w:color="C2D9BA"/>
            </w:tcBorders>
            <w:shd w:val="clear" w:color="auto" w:fill="auto"/>
          </w:tcPr>
          <w:p w14:paraId="6AD25B9E" w14:textId="77777777" w:rsidR="00991179" w:rsidRPr="00E444B3" w:rsidRDefault="00991179" w:rsidP="00991179">
            <w:pPr>
              <w:pStyle w:val="TableText"/>
            </w:pPr>
            <w:r w:rsidRPr="00E444B3">
              <w:t>Other specified malignant neoplasms of the ovary</w:t>
            </w:r>
          </w:p>
        </w:tc>
        <w:tc>
          <w:tcPr>
            <w:tcW w:w="3118" w:type="dxa"/>
            <w:tcBorders>
              <w:top w:val="single" w:sz="4" w:space="0" w:color="C2D9BA"/>
              <w:bottom w:val="single" w:sz="4" w:space="0" w:color="C2D9BA"/>
            </w:tcBorders>
            <w:shd w:val="clear" w:color="auto" w:fill="auto"/>
          </w:tcPr>
          <w:p w14:paraId="2311ACF1" w14:textId="77777777" w:rsidR="00991179" w:rsidRPr="00E444B3" w:rsidRDefault="00991179" w:rsidP="00991179">
            <w:pPr>
              <w:pStyle w:val="TableText"/>
            </w:pPr>
            <w:r w:rsidRPr="00E444B3">
              <w:t>Yes</w:t>
            </w:r>
          </w:p>
        </w:tc>
      </w:tr>
      <w:tr w:rsidR="00991179" w14:paraId="74468AA5" w14:textId="77777777" w:rsidTr="00051722">
        <w:trPr>
          <w:cantSplit/>
        </w:trPr>
        <w:tc>
          <w:tcPr>
            <w:tcW w:w="1843" w:type="dxa"/>
            <w:tcBorders>
              <w:top w:val="single" w:sz="4" w:space="0" w:color="C2D9BA"/>
              <w:bottom w:val="single" w:sz="4" w:space="0" w:color="C2D9BA"/>
            </w:tcBorders>
            <w:shd w:val="clear" w:color="auto" w:fill="auto"/>
          </w:tcPr>
          <w:p w14:paraId="286EA062" w14:textId="77777777" w:rsidR="00991179" w:rsidRPr="00E444B3" w:rsidRDefault="00991179" w:rsidP="000861AF">
            <w:pPr>
              <w:pStyle w:val="TableText"/>
            </w:pPr>
            <w:r w:rsidRPr="00E444B3">
              <w:t>Bleomycin</w:t>
            </w:r>
          </w:p>
        </w:tc>
        <w:tc>
          <w:tcPr>
            <w:tcW w:w="3119" w:type="dxa"/>
            <w:tcBorders>
              <w:top w:val="single" w:sz="4" w:space="0" w:color="C2D9BA"/>
              <w:bottom w:val="single" w:sz="4" w:space="0" w:color="C2D9BA"/>
            </w:tcBorders>
            <w:shd w:val="clear" w:color="auto" w:fill="auto"/>
            <w:vAlign w:val="bottom"/>
          </w:tcPr>
          <w:p w14:paraId="370B9429" w14:textId="77777777" w:rsidR="00991179" w:rsidRPr="00E444B3" w:rsidRDefault="00991179" w:rsidP="00991179">
            <w:pPr>
              <w:pStyle w:val="TableText"/>
            </w:pPr>
            <w:r w:rsidRPr="00E444B3">
              <w:t>Germ cell tumour of testis</w:t>
            </w:r>
          </w:p>
        </w:tc>
        <w:tc>
          <w:tcPr>
            <w:tcW w:w="3118" w:type="dxa"/>
            <w:tcBorders>
              <w:top w:val="single" w:sz="4" w:space="0" w:color="C2D9BA"/>
              <w:bottom w:val="single" w:sz="4" w:space="0" w:color="C2D9BA"/>
            </w:tcBorders>
            <w:shd w:val="clear" w:color="auto" w:fill="auto"/>
          </w:tcPr>
          <w:p w14:paraId="523FCA73" w14:textId="77777777" w:rsidR="00991179" w:rsidRPr="00E444B3" w:rsidRDefault="00991179" w:rsidP="00991179">
            <w:pPr>
              <w:pStyle w:val="TableText"/>
            </w:pPr>
            <w:r w:rsidRPr="00E444B3">
              <w:t>Yes</w:t>
            </w:r>
          </w:p>
        </w:tc>
      </w:tr>
      <w:tr w:rsidR="00991179" w14:paraId="0E52386B" w14:textId="77777777" w:rsidTr="00051722">
        <w:trPr>
          <w:cantSplit/>
        </w:trPr>
        <w:tc>
          <w:tcPr>
            <w:tcW w:w="1843" w:type="dxa"/>
            <w:tcBorders>
              <w:top w:val="single" w:sz="4" w:space="0" w:color="C2D9BA"/>
              <w:bottom w:val="single" w:sz="4" w:space="0" w:color="C2D9BA"/>
            </w:tcBorders>
            <w:shd w:val="clear" w:color="auto" w:fill="auto"/>
          </w:tcPr>
          <w:p w14:paraId="5141D939" w14:textId="77777777" w:rsidR="00991179" w:rsidRPr="00E444B3" w:rsidRDefault="00991179" w:rsidP="000861AF">
            <w:pPr>
              <w:pStyle w:val="TableText"/>
            </w:pPr>
            <w:r w:rsidRPr="00E444B3">
              <w:t>Bleomycin</w:t>
            </w:r>
          </w:p>
        </w:tc>
        <w:tc>
          <w:tcPr>
            <w:tcW w:w="3119" w:type="dxa"/>
            <w:tcBorders>
              <w:top w:val="single" w:sz="4" w:space="0" w:color="C2D9BA"/>
              <w:bottom w:val="single" w:sz="4" w:space="0" w:color="C2D9BA"/>
            </w:tcBorders>
            <w:shd w:val="clear" w:color="auto" w:fill="auto"/>
            <w:vAlign w:val="bottom"/>
          </w:tcPr>
          <w:p w14:paraId="66372E28" w14:textId="77777777" w:rsidR="00991179" w:rsidRPr="00E444B3" w:rsidRDefault="00991179" w:rsidP="00991179">
            <w:pPr>
              <w:pStyle w:val="TableText"/>
            </w:pPr>
            <w:r w:rsidRPr="00E444B3">
              <w:t>Hodgkin lymphoma</w:t>
            </w:r>
          </w:p>
        </w:tc>
        <w:tc>
          <w:tcPr>
            <w:tcW w:w="3118" w:type="dxa"/>
            <w:tcBorders>
              <w:top w:val="single" w:sz="4" w:space="0" w:color="C2D9BA"/>
              <w:bottom w:val="single" w:sz="4" w:space="0" w:color="C2D9BA"/>
            </w:tcBorders>
            <w:shd w:val="clear" w:color="auto" w:fill="auto"/>
          </w:tcPr>
          <w:p w14:paraId="6DF29530" w14:textId="77777777" w:rsidR="00991179" w:rsidRPr="00E444B3" w:rsidRDefault="00991179" w:rsidP="00991179">
            <w:pPr>
              <w:pStyle w:val="TableText"/>
            </w:pPr>
            <w:r w:rsidRPr="00E444B3">
              <w:t>Yes</w:t>
            </w:r>
          </w:p>
        </w:tc>
      </w:tr>
      <w:tr w:rsidR="00991179" w14:paraId="6AAFB6A5" w14:textId="77777777" w:rsidTr="00051722">
        <w:trPr>
          <w:cantSplit/>
        </w:trPr>
        <w:tc>
          <w:tcPr>
            <w:tcW w:w="1843" w:type="dxa"/>
            <w:tcBorders>
              <w:top w:val="single" w:sz="4" w:space="0" w:color="C2D9BA"/>
              <w:bottom w:val="single" w:sz="4" w:space="0" w:color="C2D9BA"/>
            </w:tcBorders>
            <w:shd w:val="clear" w:color="auto" w:fill="auto"/>
          </w:tcPr>
          <w:p w14:paraId="034B1C98" w14:textId="77777777" w:rsidR="00991179" w:rsidRPr="00E444B3" w:rsidRDefault="00991179" w:rsidP="000861AF">
            <w:pPr>
              <w:pStyle w:val="TableText"/>
            </w:pPr>
            <w:r w:rsidRPr="00E444B3">
              <w:t>Bleomycin</w:t>
            </w:r>
          </w:p>
        </w:tc>
        <w:tc>
          <w:tcPr>
            <w:tcW w:w="3119" w:type="dxa"/>
            <w:tcBorders>
              <w:top w:val="single" w:sz="4" w:space="0" w:color="C2D9BA"/>
              <w:bottom w:val="single" w:sz="4" w:space="0" w:color="C2D9BA"/>
            </w:tcBorders>
            <w:shd w:val="clear" w:color="auto" w:fill="auto"/>
            <w:vAlign w:val="bottom"/>
          </w:tcPr>
          <w:p w14:paraId="73949DC6" w14:textId="77777777" w:rsidR="00991179" w:rsidRPr="00E444B3" w:rsidRDefault="00991179" w:rsidP="00991179">
            <w:pPr>
              <w:pStyle w:val="TableText"/>
            </w:pPr>
            <w:r w:rsidRPr="00E444B3">
              <w:t>Kaposi sarcoma of unspecified primary site</w:t>
            </w:r>
          </w:p>
        </w:tc>
        <w:tc>
          <w:tcPr>
            <w:tcW w:w="3118" w:type="dxa"/>
            <w:tcBorders>
              <w:top w:val="single" w:sz="4" w:space="0" w:color="C2D9BA"/>
              <w:bottom w:val="single" w:sz="4" w:space="0" w:color="C2D9BA"/>
            </w:tcBorders>
            <w:shd w:val="clear" w:color="auto" w:fill="auto"/>
          </w:tcPr>
          <w:p w14:paraId="2775BBBB" w14:textId="77777777" w:rsidR="00991179" w:rsidRPr="00E444B3" w:rsidRDefault="00991179" w:rsidP="00991179">
            <w:pPr>
              <w:pStyle w:val="TableText"/>
            </w:pPr>
            <w:r w:rsidRPr="00E444B3">
              <w:t>Yes</w:t>
            </w:r>
          </w:p>
        </w:tc>
      </w:tr>
      <w:tr w:rsidR="00991179" w14:paraId="6B81C366" w14:textId="77777777" w:rsidTr="00051722">
        <w:trPr>
          <w:cantSplit/>
        </w:trPr>
        <w:tc>
          <w:tcPr>
            <w:tcW w:w="1843" w:type="dxa"/>
            <w:tcBorders>
              <w:top w:val="single" w:sz="4" w:space="0" w:color="C2D9BA"/>
              <w:bottom w:val="single" w:sz="4" w:space="0" w:color="C2D9BA"/>
            </w:tcBorders>
            <w:shd w:val="clear" w:color="auto" w:fill="auto"/>
          </w:tcPr>
          <w:p w14:paraId="71FEBD3E" w14:textId="77777777" w:rsidR="00991179" w:rsidRPr="00E444B3" w:rsidRDefault="00991179" w:rsidP="000861AF">
            <w:pPr>
              <w:pStyle w:val="TableText"/>
            </w:pPr>
            <w:r w:rsidRPr="00E444B3">
              <w:t>Bortezomib</w:t>
            </w:r>
          </w:p>
        </w:tc>
        <w:tc>
          <w:tcPr>
            <w:tcW w:w="3119" w:type="dxa"/>
            <w:tcBorders>
              <w:top w:val="single" w:sz="4" w:space="0" w:color="C2D9BA"/>
              <w:bottom w:val="single" w:sz="4" w:space="0" w:color="C2D9BA"/>
            </w:tcBorders>
            <w:shd w:val="clear" w:color="auto" w:fill="auto"/>
            <w:vAlign w:val="bottom"/>
          </w:tcPr>
          <w:p w14:paraId="54AEE38A" w14:textId="77777777" w:rsidR="00991179" w:rsidRPr="00E444B3" w:rsidRDefault="00991179" w:rsidP="00991179">
            <w:pPr>
              <w:pStyle w:val="TableText"/>
            </w:pPr>
            <w:r w:rsidRPr="00E444B3">
              <w:t>Plasma cell myeloma</w:t>
            </w:r>
          </w:p>
        </w:tc>
        <w:tc>
          <w:tcPr>
            <w:tcW w:w="3118" w:type="dxa"/>
            <w:tcBorders>
              <w:top w:val="single" w:sz="4" w:space="0" w:color="C2D9BA"/>
              <w:bottom w:val="single" w:sz="4" w:space="0" w:color="C2D9BA"/>
            </w:tcBorders>
            <w:shd w:val="clear" w:color="auto" w:fill="auto"/>
          </w:tcPr>
          <w:p w14:paraId="545C1440" w14:textId="77777777" w:rsidR="00991179" w:rsidRPr="00E444B3" w:rsidRDefault="00991179" w:rsidP="00991179">
            <w:pPr>
              <w:pStyle w:val="TableText"/>
            </w:pPr>
            <w:r w:rsidRPr="00E444B3">
              <w:t>Yes</w:t>
            </w:r>
          </w:p>
        </w:tc>
      </w:tr>
      <w:tr w:rsidR="00991179" w14:paraId="4BBF60B7" w14:textId="77777777" w:rsidTr="00051722">
        <w:trPr>
          <w:cantSplit/>
        </w:trPr>
        <w:tc>
          <w:tcPr>
            <w:tcW w:w="1843" w:type="dxa"/>
            <w:tcBorders>
              <w:top w:val="single" w:sz="4" w:space="0" w:color="C2D9BA"/>
              <w:bottom w:val="single" w:sz="4" w:space="0" w:color="C2D9BA"/>
            </w:tcBorders>
            <w:shd w:val="clear" w:color="auto" w:fill="auto"/>
          </w:tcPr>
          <w:p w14:paraId="6C320C53" w14:textId="77777777" w:rsidR="00991179" w:rsidRPr="00E444B3" w:rsidRDefault="00991179" w:rsidP="000861AF">
            <w:pPr>
              <w:pStyle w:val="TableText"/>
            </w:pPr>
            <w:r w:rsidRPr="00E444B3">
              <w:t>Capecitabine</w:t>
            </w:r>
          </w:p>
        </w:tc>
        <w:tc>
          <w:tcPr>
            <w:tcW w:w="3119" w:type="dxa"/>
            <w:tcBorders>
              <w:top w:val="single" w:sz="4" w:space="0" w:color="C2D9BA"/>
              <w:bottom w:val="single" w:sz="4" w:space="0" w:color="C2D9BA"/>
            </w:tcBorders>
            <w:shd w:val="clear" w:color="auto" w:fill="auto"/>
            <w:vAlign w:val="bottom"/>
          </w:tcPr>
          <w:p w14:paraId="570FB81F" w14:textId="77777777" w:rsidR="00991179" w:rsidRPr="00E444B3" w:rsidRDefault="00991179" w:rsidP="00991179">
            <w:pPr>
              <w:pStyle w:val="TableText"/>
            </w:pPr>
            <w:r w:rsidRPr="00E444B3">
              <w:t>Malignant neoplasms of colon</w:t>
            </w:r>
          </w:p>
        </w:tc>
        <w:tc>
          <w:tcPr>
            <w:tcW w:w="3118" w:type="dxa"/>
            <w:tcBorders>
              <w:top w:val="single" w:sz="4" w:space="0" w:color="C2D9BA"/>
              <w:bottom w:val="single" w:sz="4" w:space="0" w:color="C2D9BA"/>
            </w:tcBorders>
            <w:shd w:val="clear" w:color="auto" w:fill="auto"/>
          </w:tcPr>
          <w:p w14:paraId="111773BA" w14:textId="77777777" w:rsidR="00991179" w:rsidRPr="00E444B3" w:rsidRDefault="00991179" w:rsidP="00991179">
            <w:pPr>
              <w:pStyle w:val="TableText"/>
            </w:pPr>
            <w:r w:rsidRPr="00E444B3">
              <w:t>Yes</w:t>
            </w:r>
          </w:p>
        </w:tc>
      </w:tr>
      <w:tr w:rsidR="00991179" w14:paraId="2A328656" w14:textId="77777777" w:rsidTr="00051722">
        <w:trPr>
          <w:cantSplit/>
        </w:trPr>
        <w:tc>
          <w:tcPr>
            <w:tcW w:w="1843" w:type="dxa"/>
            <w:tcBorders>
              <w:top w:val="single" w:sz="4" w:space="0" w:color="C2D9BA"/>
              <w:bottom w:val="single" w:sz="4" w:space="0" w:color="C2D9BA"/>
            </w:tcBorders>
            <w:shd w:val="clear" w:color="auto" w:fill="auto"/>
          </w:tcPr>
          <w:p w14:paraId="07EE2486" w14:textId="77777777" w:rsidR="00991179" w:rsidRPr="00E444B3" w:rsidRDefault="00991179" w:rsidP="00051722">
            <w:pPr>
              <w:pStyle w:val="TableText"/>
              <w:keepNext/>
              <w:keepLines/>
            </w:pPr>
            <w:r w:rsidRPr="00E444B3">
              <w:lastRenderedPageBreak/>
              <w:t>Capecitabine</w:t>
            </w:r>
          </w:p>
        </w:tc>
        <w:tc>
          <w:tcPr>
            <w:tcW w:w="3119" w:type="dxa"/>
            <w:tcBorders>
              <w:top w:val="single" w:sz="4" w:space="0" w:color="C2D9BA"/>
              <w:bottom w:val="single" w:sz="4" w:space="0" w:color="C2D9BA"/>
            </w:tcBorders>
            <w:shd w:val="clear" w:color="auto" w:fill="auto"/>
            <w:vAlign w:val="bottom"/>
          </w:tcPr>
          <w:p w14:paraId="55FBEC90" w14:textId="77777777" w:rsidR="00991179" w:rsidRPr="00E444B3" w:rsidRDefault="00991179" w:rsidP="00051722">
            <w:pPr>
              <w:pStyle w:val="TableText"/>
              <w:keepNext/>
              <w:keepLines/>
            </w:pPr>
            <w:r w:rsidRPr="00E444B3">
              <w:t>Malignant neoplasm metastasis in large intestine</w:t>
            </w:r>
          </w:p>
        </w:tc>
        <w:tc>
          <w:tcPr>
            <w:tcW w:w="3118" w:type="dxa"/>
            <w:tcBorders>
              <w:top w:val="single" w:sz="4" w:space="0" w:color="C2D9BA"/>
              <w:bottom w:val="single" w:sz="4" w:space="0" w:color="C2D9BA"/>
            </w:tcBorders>
            <w:shd w:val="clear" w:color="auto" w:fill="auto"/>
          </w:tcPr>
          <w:p w14:paraId="3CAF3FE2" w14:textId="77777777" w:rsidR="00991179" w:rsidRPr="00E444B3" w:rsidRDefault="00991179" w:rsidP="00051722">
            <w:pPr>
              <w:pStyle w:val="TableText"/>
              <w:keepNext/>
              <w:keepLines/>
            </w:pPr>
            <w:r w:rsidRPr="00E444B3">
              <w:t>Yes</w:t>
            </w:r>
          </w:p>
        </w:tc>
      </w:tr>
      <w:tr w:rsidR="00991179" w14:paraId="3FDA29B8" w14:textId="77777777" w:rsidTr="00051722">
        <w:trPr>
          <w:cantSplit/>
        </w:trPr>
        <w:tc>
          <w:tcPr>
            <w:tcW w:w="1843" w:type="dxa"/>
            <w:tcBorders>
              <w:top w:val="single" w:sz="4" w:space="0" w:color="C2D9BA"/>
              <w:bottom w:val="single" w:sz="4" w:space="0" w:color="C2D9BA"/>
            </w:tcBorders>
            <w:shd w:val="clear" w:color="auto" w:fill="auto"/>
          </w:tcPr>
          <w:p w14:paraId="6F5864C9" w14:textId="77777777" w:rsidR="00991179" w:rsidRPr="00E444B3" w:rsidRDefault="00991179" w:rsidP="000861AF">
            <w:pPr>
              <w:pStyle w:val="TableText"/>
            </w:pPr>
            <w:r w:rsidRPr="00E444B3">
              <w:t>Capecitabine</w:t>
            </w:r>
          </w:p>
        </w:tc>
        <w:tc>
          <w:tcPr>
            <w:tcW w:w="3119" w:type="dxa"/>
            <w:tcBorders>
              <w:top w:val="single" w:sz="4" w:space="0" w:color="C2D9BA"/>
              <w:bottom w:val="single" w:sz="4" w:space="0" w:color="C2D9BA"/>
            </w:tcBorders>
            <w:shd w:val="clear" w:color="auto" w:fill="auto"/>
            <w:vAlign w:val="bottom"/>
          </w:tcPr>
          <w:p w14:paraId="2D1F612A"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27DF62B3" w14:textId="77777777" w:rsidR="00991179" w:rsidRPr="00E444B3" w:rsidRDefault="00991179" w:rsidP="00991179">
            <w:pPr>
              <w:pStyle w:val="TableText"/>
            </w:pPr>
            <w:r w:rsidRPr="00E444B3">
              <w:t>Yes</w:t>
            </w:r>
          </w:p>
        </w:tc>
      </w:tr>
      <w:tr w:rsidR="00991179" w14:paraId="1C643967" w14:textId="77777777" w:rsidTr="00051722">
        <w:trPr>
          <w:cantSplit/>
        </w:trPr>
        <w:tc>
          <w:tcPr>
            <w:tcW w:w="1843" w:type="dxa"/>
            <w:tcBorders>
              <w:top w:val="single" w:sz="4" w:space="0" w:color="C2D9BA"/>
              <w:bottom w:val="single" w:sz="4" w:space="0" w:color="C2D9BA"/>
            </w:tcBorders>
            <w:shd w:val="clear" w:color="auto" w:fill="auto"/>
          </w:tcPr>
          <w:p w14:paraId="2F7F56A1" w14:textId="77777777" w:rsidR="00991179" w:rsidRPr="00E444B3" w:rsidRDefault="00991179" w:rsidP="000861AF">
            <w:pPr>
              <w:pStyle w:val="TableText"/>
            </w:pPr>
            <w:r w:rsidRPr="00E444B3">
              <w:t>Capecitabine</w:t>
            </w:r>
          </w:p>
        </w:tc>
        <w:tc>
          <w:tcPr>
            <w:tcW w:w="3119" w:type="dxa"/>
            <w:tcBorders>
              <w:top w:val="single" w:sz="4" w:space="0" w:color="C2D9BA"/>
              <w:bottom w:val="single" w:sz="4" w:space="0" w:color="C2D9BA"/>
            </w:tcBorders>
            <w:shd w:val="clear" w:color="auto" w:fill="auto"/>
            <w:vAlign w:val="bottom"/>
          </w:tcPr>
          <w:p w14:paraId="432B2FB6" w14:textId="77777777" w:rsidR="00991179" w:rsidRPr="00E444B3" w:rsidRDefault="00991179" w:rsidP="00991179">
            <w:pPr>
              <w:pStyle w:val="TableText"/>
            </w:pPr>
            <w:r w:rsidRPr="00E444B3">
              <w:t>Malignant neoplasms of rectum</w:t>
            </w:r>
          </w:p>
        </w:tc>
        <w:tc>
          <w:tcPr>
            <w:tcW w:w="3118" w:type="dxa"/>
            <w:tcBorders>
              <w:top w:val="single" w:sz="4" w:space="0" w:color="C2D9BA"/>
              <w:bottom w:val="single" w:sz="4" w:space="0" w:color="C2D9BA"/>
            </w:tcBorders>
            <w:shd w:val="clear" w:color="auto" w:fill="auto"/>
          </w:tcPr>
          <w:p w14:paraId="6AD22F0F" w14:textId="77777777" w:rsidR="00991179" w:rsidRPr="00E444B3" w:rsidRDefault="00991179" w:rsidP="00991179">
            <w:pPr>
              <w:pStyle w:val="TableText"/>
            </w:pPr>
            <w:r w:rsidRPr="00E444B3">
              <w:t>Yes</w:t>
            </w:r>
          </w:p>
        </w:tc>
      </w:tr>
      <w:tr w:rsidR="00991179" w14:paraId="48BA172B" w14:textId="77777777" w:rsidTr="00051722">
        <w:trPr>
          <w:cantSplit/>
        </w:trPr>
        <w:tc>
          <w:tcPr>
            <w:tcW w:w="1843" w:type="dxa"/>
            <w:tcBorders>
              <w:top w:val="single" w:sz="4" w:space="0" w:color="C2D9BA"/>
              <w:bottom w:val="single" w:sz="4" w:space="0" w:color="C2D9BA"/>
            </w:tcBorders>
            <w:shd w:val="clear" w:color="auto" w:fill="auto"/>
          </w:tcPr>
          <w:p w14:paraId="4BFAEE12" w14:textId="77777777" w:rsidR="00991179" w:rsidRPr="00E444B3" w:rsidRDefault="00991179" w:rsidP="000861AF">
            <w:pPr>
              <w:pStyle w:val="TableText"/>
            </w:pPr>
            <w:r w:rsidRPr="00E444B3">
              <w:t>Carboplatin</w:t>
            </w:r>
          </w:p>
        </w:tc>
        <w:tc>
          <w:tcPr>
            <w:tcW w:w="3119" w:type="dxa"/>
            <w:tcBorders>
              <w:top w:val="single" w:sz="4" w:space="0" w:color="C2D9BA"/>
              <w:bottom w:val="single" w:sz="4" w:space="0" w:color="C2D9BA"/>
            </w:tcBorders>
            <w:shd w:val="clear" w:color="auto" w:fill="auto"/>
            <w:vAlign w:val="bottom"/>
          </w:tcPr>
          <w:p w14:paraId="748C1794" w14:textId="77777777" w:rsidR="00991179" w:rsidRPr="00E444B3" w:rsidRDefault="00991179" w:rsidP="00991179">
            <w:pPr>
              <w:pStyle w:val="TableText"/>
            </w:pPr>
            <w:r w:rsidRPr="00E444B3">
              <w:t>Other specified carcinomas of ovary</w:t>
            </w:r>
          </w:p>
        </w:tc>
        <w:tc>
          <w:tcPr>
            <w:tcW w:w="3118" w:type="dxa"/>
            <w:tcBorders>
              <w:top w:val="single" w:sz="4" w:space="0" w:color="C2D9BA"/>
              <w:bottom w:val="single" w:sz="4" w:space="0" w:color="C2D9BA"/>
            </w:tcBorders>
            <w:shd w:val="clear" w:color="auto" w:fill="auto"/>
          </w:tcPr>
          <w:p w14:paraId="3D719050" w14:textId="77777777" w:rsidR="00991179" w:rsidRPr="00E444B3" w:rsidRDefault="00991179" w:rsidP="00991179">
            <w:pPr>
              <w:pStyle w:val="TableText"/>
            </w:pPr>
            <w:r w:rsidRPr="00E444B3">
              <w:t>Yes</w:t>
            </w:r>
          </w:p>
        </w:tc>
      </w:tr>
      <w:tr w:rsidR="00991179" w14:paraId="6E6456F2" w14:textId="77777777" w:rsidTr="00051722">
        <w:trPr>
          <w:cantSplit/>
        </w:trPr>
        <w:tc>
          <w:tcPr>
            <w:tcW w:w="1843" w:type="dxa"/>
            <w:tcBorders>
              <w:top w:val="single" w:sz="4" w:space="0" w:color="C2D9BA"/>
              <w:bottom w:val="single" w:sz="4" w:space="0" w:color="C2D9BA"/>
            </w:tcBorders>
            <w:shd w:val="clear" w:color="auto" w:fill="auto"/>
          </w:tcPr>
          <w:p w14:paraId="261798C0" w14:textId="77777777" w:rsidR="00991179" w:rsidRPr="00E444B3" w:rsidRDefault="00991179" w:rsidP="000861AF">
            <w:pPr>
              <w:pStyle w:val="TableText"/>
            </w:pPr>
            <w:r w:rsidRPr="00E444B3">
              <w:t>Carboplatin</w:t>
            </w:r>
          </w:p>
        </w:tc>
        <w:tc>
          <w:tcPr>
            <w:tcW w:w="3119" w:type="dxa"/>
            <w:tcBorders>
              <w:top w:val="single" w:sz="4" w:space="0" w:color="C2D9BA"/>
              <w:bottom w:val="single" w:sz="4" w:space="0" w:color="C2D9BA"/>
            </w:tcBorders>
            <w:shd w:val="clear" w:color="auto" w:fill="auto"/>
            <w:vAlign w:val="bottom"/>
          </w:tcPr>
          <w:p w14:paraId="724BC634"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5FFFAB88" w14:textId="77777777" w:rsidR="00991179" w:rsidRPr="00E444B3" w:rsidRDefault="00991179" w:rsidP="00991179">
            <w:pPr>
              <w:pStyle w:val="TableText"/>
            </w:pPr>
            <w:r w:rsidRPr="00E444B3">
              <w:t>Yes</w:t>
            </w:r>
          </w:p>
        </w:tc>
      </w:tr>
      <w:tr w:rsidR="00991179" w14:paraId="28D924AE" w14:textId="77777777" w:rsidTr="00051722">
        <w:trPr>
          <w:cantSplit/>
        </w:trPr>
        <w:tc>
          <w:tcPr>
            <w:tcW w:w="1843" w:type="dxa"/>
            <w:tcBorders>
              <w:top w:val="single" w:sz="4" w:space="0" w:color="C2D9BA"/>
              <w:bottom w:val="single" w:sz="4" w:space="0" w:color="C2D9BA"/>
            </w:tcBorders>
            <w:shd w:val="clear" w:color="auto" w:fill="auto"/>
          </w:tcPr>
          <w:p w14:paraId="1A687A40" w14:textId="77777777" w:rsidR="00991179" w:rsidRPr="00E444B3" w:rsidRDefault="00991179" w:rsidP="000861AF">
            <w:pPr>
              <w:pStyle w:val="TableText"/>
            </w:pPr>
            <w:r w:rsidRPr="00E444B3">
              <w:t>Carboplatin</w:t>
            </w:r>
          </w:p>
        </w:tc>
        <w:tc>
          <w:tcPr>
            <w:tcW w:w="3119" w:type="dxa"/>
            <w:tcBorders>
              <w:top w:val="single" w:sz="4" w:space="0" w:color="C2D9BA"/>
              <w:bottom w:val="single" w:sz="4" w:space="0" w:color="C2D9BA"/>
            </w:tcBorders>
            <w:shd w:val="clear" w:color="auto" w:fill="auto"/>
            <w:vAlign w:val="bottom"/>
          </w:tcPr>
          <w:p w14:paraId="3526B84D" w14:textId="77777777" w:rsidR="00991179" w:rsidRPr="00E444B3" w:rsidRDefault="00991179" w:rsidP="00991179">
            <w:pPr>
              <w:pStyle w:val="TableText"/>
            </w:pPr>
            <w:r w:rsidRPr="00E444B3">
              <w:t>Osteosarcoma of bone and articular cartilage of unspecified sites</w:t>
            </w:r>
          </w:p>
        </w:tc>
        <w:tc>
          <w:tcPr>
            <w:tcW w:w="3118" w:type="dxa"/>
            <w:tcBorders>
              <w:top w:val="single" w:sz="4" w:space="0" w:color="C2D9BA"/>
              <w:bottom w:val="single" w:sz="4" w:space="0" w:color="C2D9BA"/>
            </w:tcBorders>
            <w:shd w:val="clear" w:color="auto" w:fill="auto"/>
          </w:tcPr>
          <w:p w14:paraId="29792DA7" w14:textId="77777777" w:rsidR="00991179" w:rsidRPr="00E444B3" w:rsidRDefault="00991179" w:rsidP="00991179">
            <w:pPr>
              <w:pStyle w:val="TableText"/>
            </w:pPr>
            <w:r w:rsidRPr="00E444B3">
              <w:t>Yes</w:t>
            </w:r>
          </w:p>
        </w:tc>
      </w:tr>
      <w:tr w:rsidR="00991179" w14:paraId="4E65AF66" w14:textId="77777777" w:rsidTr="00051722">
        <w:trPr>
          <w:cantSplit/>
        </w:trPr>
        <w:tc>
          <w:tcPr>
            <w:tcW w:w="1843" w:type="dxa"/>
            <w:tcBorders>
              <w:top w:val="single" w:sz="4" w:space="0" w:color="C2D9BA"/>
              <w:bottom w:val="single" w:sz="4" w:space="0" w:color="C2D9BA"/>
            </w:tcBorders>
            <w:shd w:val="clear" w:color="auto" w:fill="auto"/>
          </w:tcPr>
          <w:p w14:paraId="2D60E5DA" w14:textId="77777777" w:rsidR="00991179" w:rsidRPr="00E444B3" w:rsidRDefault="00991179" w:rsidP="000861AF">
            <w:pPr>
              <w:pStyle w:val="TableText"/>
            </w:pPr>
            <w:r w:rsidRPr="00E444B3">
              <w:t>Carboplatin</w:t>
            </w:r>
          </w:p>
        </w:tc>
        <w:tc>
          <w:tcPr>
            <w:tcW w:w="3119" w:type="dxa"/>
            <w:tcBorders>
              <w:top w:val="single" w:sz="4" w:space="0" w:color="C2D9BA"/>
              <w:bottom w:val="single" w:sz="4" w:space="0" w:color="C2D9BA"/>
            </w:tcBorders>
            <w:shd w:val="clear" w:color="auto" w:fill="auto"/>
            <w:vAlign w:val="bottom"/>
          </w:tcPr>
          <w:p w14:paraId="795EB056"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409FD2C5" w14:textId="77777777" w:rsidR="00991179" w:rsidRPr="00E444B3" w:rsidRDefault="00991179" w:rsidP="00991179">
            <w:pPr>
              <w:pStyle w:val="TableText"/>
            </w:pPr>
            <w:r w:rsidRPr="00E444B3">
              <w:t>Yes</w:t>
            </w:r>
          </w:p>
        </w:tc>
      </w:tr>
      <w:tr w:rsidR="00991179" w14:paraId="3BBFC220" w14:textId="77777777" w:rsidTr="00051722">
        <w:trPr>
          <w:cantSplit/>
        </w:trPr>
        <w:tc>
          <w:tcPr>
            <w:tcW w:w="1843" w:type="dxa"/>
            <w:tcBorders>
              <w:top w:val="single" w:sz="4" w:space="0" w:color="C2D9BA"/>
              <w:bottom w:val="single" w:sz="4" w:space="0" w:color="C2D9BA"/>
            </w:tcBorders>
            <w:shd w:val="clear" w:color="auto" w:fill="auto"/>
          </w:tcPr>
          <w:p w14:paraId="2E06C21C" w14:textId="77777777" w:rsidR="00991179" w:rsidRPr="00E444B3" w:rsidRDefault="00991179" w:rsidP="000861AF">
            <w:pPr>
              <w:pStyle w:val="TableText"/>
            </w:pPr>
            <w:r w:rsidRPr="00E444B3">
              <w:t>Carboplatin</w:t>
            </w:r>
          </w:p>
        </w:tc>
        <w:tc>
          <w:tcPr>
            <w:tcW w:w="3119" w:type="dxa"/>
            <w:tcBorders>
              <w:top w:val="single" w:sz="4" w:space="0" w:color="C2D9BA"/>
              <w:bottom w:val="single" w:sz="4" w:space="0" w:color="C2D9BA"/>
            </w:tcBorders>
            <w:shd w:val="clear" w:color="auto" w:fill="auto"/>
            <w:vAlign w:val="bottom"/>
          </w:tcPr>
          <w:p w14:paraId="54516EC8" w14:textId="77777777" w:rsidR="00991179" w:rsidRPr="00E444B3" w:rsidRDefault="00991179" w:rsidP="00991179">
            <w:pPr>
              <w:pStyle w:val="TableText"/>
            </w:pPr>
            <w:r w:rsidRPr="00E444B3">
              <w:t>Malignant neoplasms of nasopharynx</w:t>
            </w:r>
          </w:p>
        </w:tc>
        <w:tc>
          <w:tcPr>
            <w:tcW w:w="3118" w:type="dxa"/>
            <w:tcBorders>
              <w:top w:val="single" w:sz="4" w:space="0" w:color="C2D9BA"/>
              <w:bottom w:val="single" w:sz="4" w:space="0" w:color="C2D9BA"/>
            </w:tcBorders>
            <w:shd w:val="clear" w:color="auto" w:fill="auto"/>
          </w:tcPr>
          <w:p w14:paraId="5313DADA" w14:textId="77777777" w:rsidR="00991179" w:rsidRPr="00E444B3" w:rsidRDefault="00991179" w:rsidP="00991179">
            <w:pPr>
              <w:pStyle w:val="TableText"/>
            </w:pPr>
            <w:r w:rsidRPr="00E444B3">
              <w:t>Yes</w:t>
            </w:r>
          </w:p>
        </w:tc>
      </w:tr>
      <w:tr w:rsidR="00991179" w14:paraId="1D19DEA9" w14:textId="77777777" w:rsidTr="00051722">
        <w:trPr>
          <w:cantSplit/>
        </w:trPr>
        <w:tc>
          <w:tcPr>
            <w:tcW w:w="1843" w:type="dxa"/>
            <w:tcBorders>
              <w:top w:val="single" w:sz="4" w:space="0" w:color="C2D9BA"/>
              <w:bottom w:val="single" w:sz="4" w:space="0" w:color="C2D9BA"/>
            </w:tcBorders>
            <w:shd w:val="clear" w:color="auto" w:fill="auto"/>
          </w:tcPr>
          <w:p w14:paraId="468712CD" w14:textId="77777777" w:rsidR="00991179" w:rsidRPr="00E444B3" w:rsidRDefault="00991179" w:rsidP="000861AF">
            <w:pPr>
              <w:pStyle w:val="TableText"/>
            </w:pPr>
            <w:r w:rsidRPr="00E444B3">
              <w:t>Carboplatin</w:t>
            </w:r>
          </w:p>
        </w:tc>
        <w:tc>
          <w:tcPr>
            <w:tcW w:w="3119" w:type="dxa"/>
            <w:tcBorders>
              <w:top w:val="single" w:sz="4" w:space="0" w:color="C2D9BA"/>
              <w:bottom w:val="single" w:sz="4" w:space="0" w:color="C2D9BA"/>
            </w:tcBorders>
            <w:shd w:val="clear" w:color="auto" w:fill="auto"/>
            <w:vAlign w:val="bottom"/>
          </w:tcPr>
          <w:p w14:paraId="46E91FC2" w14:textId="77777777" w:rsidR="00991179" w:rsidRPr="00E444B3" w:rsidRDefault="00991179" w:rsidP="00991179">
            <w:pPr>
              <w:pStyle w:val="TableText"/>
            </w:pPr>
            <w:r w:rsidRPr="00E444B3">
              <w:t>Retinoblastoma</w:t>
            </w:r>
          </w:p>
        </w:tc>
        <w:tc>
          <w:tcPr>
            <w:tcW w:w="3118" w:type="dxa"/>
            <w:tcBorders>
              <w:top w:val="single" w:sz="4" w:space="0" w:color="C2D9BA"/>
              <w:bottom w:val="single" w:sz="4" w:space="0" w:color="C2D9BA"/>
            </w:tcBorders>
            <w:shd w:val="clear" w:color="auto" w:fill="auto"/>
          </w:tcPr>
          <w:p w14:paraId="787434C8" w14:textId="77777777" w:rsidR="00991179" w:rsidRPr="00E444B3" w:rsidRDefault="00991179" w:rsidP="00991179">
            <w:pPr>
              <w:pStyle w:val="TableText"/>
            </w:pPr>
            <w:r w:rsidRPr="00E444B3">
              <w:t>Yes</w:t>
            </w:r>
          </w:p>
        </w:tc>
      </w:tr>
      <w:tr w:rsidR="00991179" w14:paraId="162EA35E" w14:textId="77777777" w:rsidTr="00051722">
        <w:trPr>
          <w:cantSplit/>
        </w:trPr>
        <w:tc>
          <w:tcPr>
            <w:tcW w:w="1843" w:type="dxa"/>
            <w:tcBorders>
              <w:top w:val="single" w:sz="4" w:space="0" w:color="C2D9BA"/>
              <w:bottom w:val="single" w:sz="4" w:space="0" w:color="C2D9BA"/>
            </w:tcBorders>
            <w:shd w:val="clear" w:color="auto" w:fill="auto"/>
          </w:tcPr>
          <w:p w14:paraId="047FB292" w14:textId="77777777" w:rsidR="00991179" w:rsidRPr="00E444B3" w:rsidRDefault="00991179" w:rsidP="000861AF">
            <w:pPr>
              <w:pStyle w:val="TableText"/>
            </w:pPr>
            <w:r w:rsidRPr="00E444B3">
              <w:t>Carboplatin</w:t>
            </w:r>
          </w:p>
        </w:tc>
        <w:tc>
          <w:tcPr>
            <w:tcW w:w="3119" w:type="dxa"/>
            <w:tcBorders>
              <w:top w:val="single" w:sz="4" w:space="0" w:color="C2D9BA"/>
              <w:bottom w:val="single" w:sz="4" w:space="0" w:color="C2D9BA"/>
            </w:tcBorders>
            <w:shd w:val="clear" w:color="auto" w:fill="auto"/>
            <w:vAlign w:val="bottom"/>
          </w:tcPr>
          <w:p w14:paraId="31F22EDB" w14:textId="77777777" w:rsidR="00991179" w:rsidRPr="00E444B3" w:rsidRDefault="00991179" w:rsidP="00991179">
            <w:pPr>
              <w:pStyle w:val="TableText"/>
            </w:pPr>
            <w:r w:rsidRPr="00E444B3">
              <w:t>Malignant neoplasms of cervix uteri</w:t>
            </w:r>
          </w:p>
        </w:tc>
        <w:tc>
          <w:tcPr>
            <w:tcW w:w="3118" w:type="dxa"/>
            <w:tcBorders>
              <w:top w:val="single" w:sz="4" w:space="0" w:color="C2D9BA"/>
              <w:bottom w:val="single" w:sz="4" w:space="0" w:color="C2D9BA"/>
            </w:tcBorders>
            <w:shd w:val="clear" w:color="auto" w:fill="auto"/>
          </w:tcPr>
          <w:p w14:paraId="32FC5AA8" w14:textId="77777777" w:rsidR="00991179" w:rsidRPr="00E444B3" w:rsidRDefault="00991179" w:rsidP="00991179">
            <w:pPr>
              <w:pStyle w:val="TableText"/>
            </w:pPr>
            <w:r w:rsidRPr="00E444B3">
              <w:t>Yes</w:t>
            </w:r>
          </w:p>
        </w:tc>
      </w:tr>
      <w:tr w:rsidR="00991179" w14:paraId="0DE982DC" w14:textId="77777777" w:rsidTr="00051722">
        <w:trPr>
          <w:cantSplit/>
        </w:trPr>
        <w:tc>
          <w:tcPr>
            <w:tcW w:w="1843" w:type="dxa"/>
            <w:tcBorders>
              <w:top w:val="single" w:sz="4" w:space="0" w:color="C2D9BA"/>
              <w:bottom w:val="single" w:sz="4" w:space="0" w:color="C2D9BA"/>
            </w:tcBorders>
            <w:shd w:val="clear" w:color="auto" w:fill="auto"/>
          </w:tcPr>
          <w:p w14:paraId="163E19CE" w14:textId="77777777" w:rsidR="00991179" w:rsidRPr="00E444B3" w:rsidRDefault="00991179" w:rsidP="000861AF">
            <w:pPr>
              <w:pStyle w:val="TableText"/>
            </w:pPr>
            <w:r w:rsidRPr="00E444B3">
              <w:t>Chlorambucil</w:t>
            </w:r>
          </w:p>
        </w:tc>
        <w:tc>
          <w:tcPr>
            <w:tcW w:w="3119" w:type="dxa"/>
            <w:tcBorders>
              <w:top w:val="single" w:sz="4" w:space="0" w:color="C2D9BA"/>
              <w:bottom w:val="single" w:sz="4" w:space="0" w:color="C2D9BA"/>
            </w:tcBorders>
            <w:shd w:val="clear" w:color="auto" w:fill="auto"/>
          </w:tcPr>
          <w:p w14:paraId="6770A057" w14:textId="77777777" w:rsidR="00991179" w:rsidRPr="00E444B3" w:rsidRDefault="00991179" w:rsidP="00991179">
            <w:pPr>
              <w:pStyle w:val="TableText"/>
            </w:pPr>
            <w:r w:rsidRPr="00E444B3">
              <w:t>Chronic lymphocytic leukaemia or small lymphocytic lymphoma</w:t>
            </w:r>
          </w:p>
        </w:tc>
        <w:tc>
          <w:tcPr>
            <w:tcW w:w="3118" w:type="dxa"/>
            <w:tcBorders>
              <w:top w:val="single" w:sz="4" w:space="0" w:color="C2D9BA"/>
              <w:bottom w:val="single" w:sz="4" w:space="0" w:color="C2D9BA"/>
            </w:tcBorders>
            <w:shd w:val="clear" w:color="auto" w:fill="auto"/>
          </w:tcPr>
          <w:p w14:paraId="66C425C2" w14:textId="77777777" w:rsidR="00991179" w:rsidRPr="00E444B3" w:rsidRDefault="00991179" w:rsidP="00991179">
            <w:pPr>
              <w:pStyle w:val="TableText"/>
            </w:pPr>
            <w:r w:rsidRPr="00E444B3">
              <w:t>Yes</w:t>
            </w:r>
          </w:p>
        </w:tc>
      </w:tr>
      <w:tr w:rsidR="00991179" w14:paraId="43CA90B2" w14:textId="77777777" w:rsidTr="00051722">
        <w:trPr>
          <w:cantSplit/>
        </w:trPr>
        <w:tc>
          <w:tcPr>
            <w:tcW w:w="1843" w:type="dxa"/>
            <w:tcBorders>
              <w:top w:val="single" w:sz="4" w:space="0" w:color="C2D9BA"/>
              <w:bottom w:val="single" w:sz="4" w:space="0" w:color="C2D9BA"/>
            </w:tcBorders>
            <w:shd w:val="clear" w:color="auto" w:fill="auto"/>
          </w:tcPr>
          <w:p w14:paraId="524DDD4E" w14:textId="77777777" w:rsidR="00991179" w:rsidRPr="00E444B3" w:rsidRDefault="00991179" w:rsidP="000861AF">
            <w:pPr>
              <w:pStyle w:val="TableText"/>
            </w:pPr>
            <w:r w:rsidRPr="00E444B3">
              <w:t>Cisplatin</w:t>
            </w:r>
          </w:p>
        </w:tc>
        <w:tc>
          <w:tcPr>
            <w:tcW w:w="3119" w:type="dxa"/>
            <w:tcBorders>
              <w:top w:val="single" w:sz="4" w:space="0" w:color="C2D9BA"/>
              <w:bottom w:val="single" w:sz="4" w:space="0" w:color="C2D9BA"/>
            </w:tcBorders>
            <w:shd w:val="clear" w:color="auto" w:fill="auto"/>
          </w:tcPr>
          <w:p w14:paraId="102FD9B2" w14:textId="77777777" w:rsidR="00991179" w:rsidRPr="00E444B3" w:rsidRDefault="00991179" w:rsidP="00991179">
            <w:pPr>
              <w:pStyle w:val="TableText"/>
            </w:pPr>
            <w:r w:rsidRPr="00E444B3">
              <w:t>Other specified malignant neoplasms of the ovary</w:t>
            </w:r>
          </w:p>
        </w:tc>
        <w:tc>
          <w:tcPr>
            <w:tcW w:w="3118" w:type="dxa"/>
            <w:tcBorders>
              <w:top w:val="single" w:sz="4" w:space="0" w:color="C2D9BA"/>
              <w:bottom w:val="single" w:sz="4" w:space="0" w:color="C2D9BA"/>
            </w:tcBorders>
            <w:shd w:val="clear" w:color="auto" w:fill="auto"/>
          </w:tcPr>
          <w:p w14:paraId="16BF4BC5" w14:textId="77777777" w:rsidR="00991179" w:rsidRPr="00E444B3" w:rsidRDefault="00991179" w:rsidP="00991179">
            <w:pPr>
              <w:pStyle w:val="TableText"/>
            </w:pPr>
            <w:r w:rsidRPr="00E444B3">
              <w:t>Yes</w:t>
            </w:r>
          </w:p>
        </w:tc>
      </w:tr>
      <w:tr w:rsidR="00991179" w14:paraId="02818515" w14:textId="77777777" w:rsidTr="00051722">
        <w:trPr>
          <w:cantSplit/>
        </w:trPr>
        <w:tc>
          <w:tcPr>
            <w:tcW w:w="1843" w:type="dxa"/>
            <w:tcBorders>
              <w:top w:val="single" w:sz="4" w:space="0" w:color="C2D9BA"/>
              <w:bottom w:val="single" w:sz="4" w:space="0" w:color="C2D9BA"/>
            </w:tcBorders>
            <w:shd w:val="clear" w:color="auto" w:fill="auto"/>
          </w:tcPr>
          <w:p w14:paraId="4D1DC51F" w14:textId="77777777" w:rsidR="00991179" w:rsidRPr="00E444B3" w:rsidRDefault="00991179" w:rsidP="000861AF">
            <w:pPr>
              <w:pStyle w:val="TableText"/>
            </w:pPr>
            <w:r w:rsidRPr="00E444B3">
              <w:t>Cisplatin</w:t>
            </w:r>
          </w:p>
        </w:tc>
        <w:tc>
          <w:tcPr>
            <w:tcW w:w="3119" w:type="dxa"/>
            <w:tcBorders>
              <w:top w:val="single" w:sz="4" w:space="0" w:color="C2D9BA"/>
              <w:bottom w:val="single" w:sz="4" w:space="0" w:color="C2D9BA"/>
            </w:tcBorders>
            <w:shd w:val="clear" w:color="auto" w:fill="auto"/>
            <w:vAlign w:val="bottom"/>
          </w:tcPr>
          <w:p w14:paraId="0A20028B" w14:textId="77777777" w:rsidR="00991179" w:rsidRPr="00E444B3" w:rsidRDefault="00991179" w:rsidP="00991179">
            <w:pPr>
              <w:pStyle w:val="TableText"/>
            </w:pPr>
            <w:r w:rsidRPr="00E444B3">
              <w:t>Osteosarcoma of bone and articular cartilage of unspecified sites</w:t>
            </w:r>
          </w:p>
        </w:tc>
        <w:tc>
          <w:tcPr>
            <w:tcW w:w="3118" w:type="dxa"/>
            <w:tcBorders>
              <w:top w:val="single" w:sz="4" w:space="0" w:color="C2D9BA"/>
              <w:bottom w:val="single" w:sz="4" w:space="0" w:color="C2D9BA"/>
            </w:tcBorders>
            <w:shd w:val="clear" w:color="auto" w:fill="auto"/>
          </w:tcPr>
          <w:p w14:paraId="090E3E87" w14:textId="77777777" w:rsidR="00991179" w:rsidRPr="00E444B3" w:rsidRDefault="00991179" w:rsidP="00991179">
            <w:pPr>
              <w:pStyle w:val="TableText"/>
            </w:pPr>
            <w:r w:rsidRPr="00E444B3">
              <w:t>Yes</w:t>
            </w:r>
          </w:p>
        </w:tc>
      </w:tr>
      <w:tr w:rsidR="00991179" w14:paraId="49525720" w14:textId="77777777" w:rsidTr="00051722">
        <w:trPr>
          <w:cantSplit/>
        </w:trPr>
        <w:tc>
          <w:tcPr>
            <w:tcW w:w="1843" w:type="dxa"/>
            <w:tcBorders>
              <w:top w:val="single" w:sz="4" w:space="0" w:color="C2D9BA"/>
              <w:bottom w:val="single" w:sz="4" w:space="0" w:color="C2D9BA"/>
            </w:tcBorders>
            <w:shd w:val="clear" w:color="auto" w:fill="auto"/>
          </w:tcPr>
          <w:p w14:paraId="3DDB2768" w14:textId="77777777" w:rsidR="00991179" w:rsidRPr="00E444B3" w:rsidRDefault="00991179" w:rsidP="000861AF">
            <w:pPr>
              <w:pStyle w:val="TableText"/>
            </w:pPr>
            <w:r w:rsidRPr="00E444B3">
              <w:t>Cisplatin</w:t>
            </w:r>
          </w:p>
        </w:tc>
        <w:tc>
          <w:tcPr>
            <w:tcW w:w="3119" w:type="dxa"/>
            <w:tcBorders>
              <w:top w:val="single" w:sz="4" w:space="0" w:color="C2D9BA"/>
              <w:bottom w:val="single" w:sz="4" w:space="0" w:color="C2D9BA"/>
            </w:tcBorders>
            <w:shd w:val="clear" w:color="auto" w:fill="auto"/>
            <w:vAlign w:val="bottom"/>
          </w:tcPr>
          <w:p w14:paraId="1B83A424" w14:textId="77777777" w:rsidR="00991179" w:rsidRPr="00E444B3" w:rsidRDefault="00991179" w:rsidP="00991179">
            <w:pPr>
              <w:pStyle w:val="TableText"/>
            </w:pPr>
            <w:r w:rsidRPr="00E444B3">
              <w:t>Germ cell tumour of testis</w:t>
            </w:r>
          </w:p>
        </w:tc>
        <w:tc>
          <w:tcPr>
            <w:tcW w:w="3118" w:type="dxa"/>
            <w:tcBorders>
              <w:top w:val="single" w:sz="4" w:space="0" w:color="C2D9BA"/>
              <w:bottom w:val="single" w:sz="4" w:space="0" w:color="C2D9BA"/>
            </w:tcBorders>
            <w:shd w:val="clear" w:color="auto" w:fill="auto"/>
          </w:tcPr>
          <w:p w14:paraId="243CBE04" w14:textId="77777777" w:rsidR="00991179" w:rsidRPr="00E444B3" w:rsidRDefault="00991179" w:rsidP="00991179">
            <w:pPr>
              <w:pStyle w:val="TableText"/>
            </w:pPr>
            <w:r w:rsidRPr="00E444B3">
              <w:t>Yes</w:t>
            </w:r>
          </w:p>
        </w:tc>
      </w:tr>
      <w:tr w:rsidR="00991179" w14:paraId="33D9C18A" w14:textId="77777777" w:rsidTr="00051722">
        <w:trPr>
          <w:cantSplit/>
        </w:trPr>
        <w:tc>
          <w:tcPr>
            <w:tcW w:w="1843" w:type="dxa"/>
            <w:tcBorders>
              <w:top w:val="single" w:sz="4" w:space="0" w:color="C2D9BA"/>
              <w:bottom w:val="single" w:sz="4" w:space="0" w:color="C2D9BA"/>
            </w:tcBorders>
            <w:shd w:val="clear" w:color="auto" w:fill="auto"/>
          </w:tcPr>
          <w:p w14:paraId="76E53EE3" w14:textId="77777777" w:rsidR="00991179" w:rsidRPr="00E444B3" w:rsidRDefault="00991179" w:rsidP="000861AF">
            <w:pPr>
              <w:pStyle w:val="TableText"/>
            </w:pPr>
            <w:r w:rsidRPr="00E444B3">
              <w:t>Cisplatin</w:t>
            </w:r>
          </w:p>
        </w:tc>
        <w:tc>
          <w:tcPr>
            <w:tcW w:w="3119" w:type="dxa"/>
            <w:tcBorders>
              <w:top w:val="single" w:sz="4" w:space="0" w:color="C2D9BA"/>
              <w:bottom w:val="single" w:sz="4" w:space="0" w:color="C2D9BA"/>
            </w:tcBorders>
            <w:shd w:val="clear" w:color="auto" w:fill="auto"/>
            <w:vAlign w:val="bottom"/>
          </w:tcPr>
          <w:p w14:paraId="53AA899E"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506E55AE" w14:textId="77777777" w:rsidR="00991179" w:rsidRPr="00E444B3" w:rsidRDefault="00991179" w:rsidP="00991179">
            <w:pPr>
              <w:pStyle w:val="TableText"/>
            </w:pPr>
            <w:r w:rsidRPr="00E444B3">
              <w:t>Yes</w:t>
            </w:r>
          </w:p>
        </w:tc>
      </w:tr>
      <w:tr w:rsidR="00991179" w14:paraId="444043B0" w14:textId="77777777" w:rsidTr="00051722">
        <w:trPr>
          <w:cantSplit/>
        </w:trPr>
        <w:tc>
          <w:tcPr>
            <w:tcW w:w="1843" w:type="dxa"/>
            <w:tcBorders>
              <w:top w:val="single" w:sz="4" w:space="0" w:color="C2D9BA"/>
              <w:bottom w:val="single" w:sz="4" w:space="0" w:color="C2D9BA"/>
            </w:tcBorders>
            <w:shd w:val="clear" w:color="auto" w:fill="auto"/>
          </w:tcPr>
          <w:p w14:paraId="43E28FFE" w14:textId="77777777" w:rsidR="00991179" w:rsidRPr="00E444B3" w:rsidRDefault="00991179" w:rsidP="000861AF">
            <w:pPr>
              <w:pStyle w:val="TableText"/>
            </w:pPr>
            <w:r w:rsidRPr="00E444B3">
              <w:t>Cisplatin</w:t>
            </w:r>
          </w:p>
        </w:tc>
        <w:tc>
          <w:tcPr>
            <w:tcW w:w="3119" w:type="dxa"/>
            <w:tcBorders>
              <w:top w:val="single" w:sz="4" w:space="0" w:color="C2D9BA"/>
              <w:bottom w:val="single" w:sz="4" w:space="0" w:color="C2D9BA"/>
            </w:tcBorders>
            <w:shd w:val="clear" w:color="auto" w:fill="auto"/>
            <w:vAlign w:val="bottom"/>
          </w:tcPr>
          <w:p w14:paraId="65BADA57" w14:textId="77777777" w:rsidR="00991179" w:rsidRPr="00E444B3" w:rsidRDefault="00991179" w:rsidP="00991179">
            <w:pPr>
              <w:pStyle w:val="TableText"/>
            </w:pPr>
            <w:r w:rsidRPr="00E444B3">
              <w:t>Squamous cell carcinoma of oropharynx</w:t>
            </w:r>
          </w:p>
        </w:tc>
        <w:tc>
          <w:tcPr>
            <w:tcW w:w="3118" w:type="dxa"/>
            <w:tcBorders>
              <w:top w:val="single" w:sz="4" w:space="0" w:color="C2D9BA"/>
              <w:bottom w:val="single" w:sz="4" w:space="0" w:color="C2D9BA"/>
            </w:tcBorders>
            <w:shd w:val="clear" w:color="auto" w:fill="auto"/>
          </w:tcPr>
          <w:p w14:paraId="4C5717FE" w14:textId="77777777" w:rsidR="00991179" w:rsidRPr="00E444B3" w:rsidRDefault="00991179" w:rsidP="00991179">
            <w:pPr>
              <w:pStyle w:val="TableText"/>
            </w:pPr>
            <w:r w:rsidRPr="00E444B3">
              <w:t>Yes</w:t>
            </w:r>
          </w:p>
        </w:tc>
      </w:tr>
      <w:tr w:rsidR="00991179" w14:paraId="20D12A1B" w14:textId="77777777" w:rsidTr="00051722">
        <w:trPr>
          <w:cantSplit/>
        </w:trPr>
        <w:tc>
          <w:tcPr>
            <w:tcW w:w="1843" w:type="dxa"/>
            <w:tcBorders>
              <w:top w:val="single" w:sz="4" w:space="0" w:color="C2D9BA"/>
              <w:bottom w:val="single" w:sz="4" w:space="0" w:color="C2D9BA"/>
            </w:tcBorders>
            <w:shd w:val="clear" w:color="auto" w:fill="auto"/>
          </w:tcPr>
          <w:p w14:paraId="70719DA9" w14:textId="77777777" w:rsidR="00991179" w:rsidRPr="00E444B3" w:rsidRDefault="00991179" w:rsidP="000861AF">
            <w:pPr>
              <w:pStyle w:val="TableText"/>
            </w:pPr>
            <w:r w:rsidRPr="00E444B3">
              <w:t>Cisplatin</w:t>
            </w:r>
          </w:p>
        </w:tc>
        <w:tc>
          <w:tcPr>
            <w:tcW w:w="3119" w:type="dxa"/>
            <w:tcBorders>
              <w:top w:val="single" w:sz="4" w:space="0" w:color="C2D9BA"/>
              <w:bottom w:val="single" w:sz="4" w:space="0" w:color="C2D9BA"/>
            </w:tcBorders>
            <w:shd w:val="clear" w:color="auto" w:fill="auto"/>
            <w:vAlign w:val="bottom"/>
          </w:tcPr>
          <w:p w14:paraId="51BA5DB8" w14:textId="77777777" w:rsidR="00991179" w:rsidRPr="00E444B3" w:rsidRDefault="00991179" w:rsidP="00991179">
            <w:pPr>
              <w:pStyle w:val="TableText"/>
            </w:pPr>
            <w:r w:rsidRPr="00E444B3">
              <w:t>Malignant neoplasms of cervix uteri</w:t>
            </w:r>
          </w:p>
        </w:tc>
        <w:tc>
          <w:tcPr>
            <w:tcW w:w="3118" w:type="dxa"/>
            <w:tcBorders>
              <w:top w:val="single" w:sz="4" w:space="0" w:color="C2D9BA"/>
              <w:bottom w:val="single" w:sz="4" w:space="0" w:color="C2D9BA"/>
            </w:tcBorders>
            <w:shd w:val="clear" w:color="auto" w:fill="auto"/>
          </w:tcPr>
          <w:p w14:paraId="75AA4976" w14:textId="77777777" w:rsidR="00991179" w:rsidRPr="00E444B3" w:rsidRDefault="00991179" w:rsidP="00991179">
            <w:pPr>
              <w:pStyle w:val="TableText"/>
            </w:pPr>
            <w:r w:rsidRPr="00E444B3">
              <w:t>Yes</w:t>
            </w:r>
          </w:p>
        </w:tc>
      </w:tr>
      <w:tr w:rsidR="00991179" w14:paraId="675BCBCC" w14:textId="77777777" w:rsidTr="00051722">
        <w:trPr>
          <w:cantSplit/>
        </w:trPr>
        <w:tc>
          <w:tcPr>
            <w:tcW w:w="1843" w:type="dxa"/>
            <w:tcBorders>
              <w:top w:val="single" w:sz="4" w:space="0" w:color="C2D9BA"/>
              <w:bottom w:val="single" w:sz="4" w:space="0" w:color="C2D9BA"/>
            </w:tcBorders>
            <w:shd w:val="clear" w:color="auto" w:fill="auto"/>
          </w:tcPr>
          <w:p w14:paraId="13491990" w14:textId="77777777" w:rsidR="00991179" w:rsidRPr="00E444B3" w:rsidRDefault="00991179" w:rsidP="000861AF">
            <w:pPr>
              <w:pStyle w:val="TableText"/>
            </w:pPr>
            <w:r w:rsidRPr="00E444B3">
              <w:t>Cisplatin</w:t>
            </w:r>
          </w:p>
        </w:tc>
        <w:tc>
          <w:tcPr>
            <w:tcW w:w="3119" w:type="dxa"/>
            <w:tcBorders>
              <w:top w:val="single" w:sz="4" w:space="0" w:color="C2D9BA"/>
              <w:bottom w:val="single" w:sz="4" w:space="0" w:color="C2D9BA"/>
            </w:tcBorders>
            <w:shd w:val="clear" w:color="auto" w:fill="auto"/>
            <w:vAlign w:val="bottom"/>
          </w:tcPr>
          <w:p w14:paraId="76667549" w14:textId="77777777" w:rsidR="00991179" w:rsidRPr="00E444B3" w:rsidRDefault="00991179" w:rsidP="00991179">
            <w:pPr>
              <w:pStyle w:val="TableText"/>
            </w:pPr>
            <w:r w:rsidRPr="00E444B3">
              <w:t>Malignant neoplasms of nasopharynx</w:t>
            </w:r>
          </w:p>
        </w:tc>
        <w:tc>
          <w:tcPr>
            <w:tcW w:w="3118" w:type="dxa"/>
            <w:tcBorders>
              <w:top w:val="single" w:sz="4" w:space="0" w:color="C2D9BA"/>
              <w:bottom w:val="single" w:sz="4" w:space="0" w:color="C2D9BA"/>
            </w:tcBorders>
            <w:shd w:val="clear" w:color="auto" w:fill="auto"/>
          </w:tcPr>
          <w:p w14:paraId="53AE78C4" w14:textId="77777777" w:rsidR="00991179" w:rsidRPr="00E444B3" w:rsidRDefault="00991179" w:rsidP="00991179">
            <w:pPr>
              <w:pStyle w:val="TableText"/>
            </w:pPr>
            <w:r w:rsidRPr="00E444B3">
              <w:t>Yes</w:t>
            </w:r>
          </w:p>
        </w:tc>
      </w:tr>
      <w:tr w:rsidR="00991179" w14:paraId="524A81D9" w14:textId="77777777" w:rsidTr="00051722">
        <w:trPr>
          <w:cantSplit/>
        </w:trPr>
        <w:tc>
          <w:tcPr>
            <w:tcW w:w="1843" w:type="dxa"/>
            <w:tcBorders>
              <w:top w:val="single" w:sz="4" w:space="0" w:color="C2D9BA"/>
              <w:bottom w:val="single" w:sz="4" w:space="0" w:color="C2D9BA"/>
            </w:tcBorders>
            <w:shd w:val="clear" w:color="auto" w:fill="auto"/>
          </w:tcPr>
          <w:p w14:paraId="47A62DB8"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4D34D92A" w14:textId="77777777" w:rsidR="00991179" w:rsidRPr="00E444B3" w:rsidRDefault="00991179" w:rsidP="00991179">
            <w:pPr>
              <w:pStyle w:val="TableText"/>
            </w:pPr>
            <w:r w:rsidRPr="00E444B3">
              <w:t>Malignant trophoblastic neoplasms of placenta</w:t>
            </w:r>
          </w:p>
        </w:tc>
        <w:tc>
          <w:tcPr>
            <w:tcW w:w="3118" w:type="dxa"/>
            <w:tcBorders>
              <w:top w:val="single" w:sz="4" w:space="0" w:color="C2D9BA"/>
              <w:bottom w:val="single" w:sz="4" w:space="0" w:color="C2D9BA"/>
            </w:tcBorders>
            <w:shd w:val="clear" w:color="auto" w:fill="auto"/>
          </w:tcPr>
          <w:p w14:paraId="7F7BFA9E" w14:textId="77777777" w:rsidR="00991179" w:rsidRPr="00E444B3" w:rsidRDefault="00991179" w:rsidP="00991179">
            <w:pPr>
              <w:pStyle w:val="TableText"/>
            </w:pPr>
            <w:r w:rsidRPr="00E444B3">
              <w:t>Yes</w:t>
            </w:r>
          </w:p>
        </w:tc>
      </w:tr>
      <w:tr w:rsidR="00991179" w14:paraId="42E2FEB2" w14:textId="77777777" w:rsidTr="00051722">
        <w:trPr>
          <w:cantSplit/>
        </w:trPr>
        <w:tc>
          <w:tcPr>
            <w:tcW w:w="1843" w:type="dxa"/>
            <w:tcBorders>
              <w:top w:val="single" w:sz="4" w:space="0" w:color="C2D9BA"/>
              <w:bottom w:val="single" w:sz="4" w:space="0" w:color="C2D9BA"/>
            </w:tcBorders>
            <w:shd w:val="clear" w:color="auto" w:fill="auto"/>
          </w:tcPr>
          <w:p w14:paraId="0F6444D1"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14B0B762" w14:textId="77777777" w:rsidR="00991179" w:rsidRPr="00E444B3" w:rsidRDefault="00991179" w:rsidP="00991179">
            <w:pPr>
              <w:pStyle w:val="TableText"/>
            </w:pPr>
            <w:r w:rsidRPr="00E444B3">
              <w:t>Ewing sarcoma of bone and articular cartilage of unspecified sites</w:t>
            </w:r>
          </w:p>
        </w:tc>
        <w:tc>
          <w:tcPr>
            <w:tcW w:w="3118" w:type="dxa"/>
            <w:tcBorders>
              <w:top w:val="single" w:sz="4" w:space="0" w:color="C2D9BA"/>
              <w:bottom w:val="single" w:sz="4" w:space="0" w:color="C2D9BA"/>
            </w:tcBorders>
            <w:shd w:val="clear" w:color="auto" w:fill="auto"/>
          </w:tcPr>
          <w:p w14:paraId="5A77D995" w14:textId="77777777" w:rsidR="00991179" w:rsidRPr="00E444B3" w:rsidRDefault="00991179" w:rsidP="00991179">
            <w:pPr>
              <w:pStyle w:val="TableText"/>
            </w:pPr>
            <w:r w:rsidRPr="00E444B3">
              <w:t>Yes</w:t>
            </w:r>
          </w:p>
        </w:tc>
      </w:tr>
      <w:tr w:rsidR="00991179" w14:paraId="330B8F36" w14:textId="77777777" w:rsidTr="00051722">
        <w:trPr>
          <w:cantSplit/>
        </w:trPr>
        <w:tc>
          <w:tcPr>
            <w:tcW w:w="1843" w:type="dxa"/>
            <w:tcBorders>
              <w:top w:val="single" w:sz="4" w:space="0" w:color="C2D9BA"/>
              <w:bottom w:val="single" w:sz="4" w:space="0" w:color="C2D9BA"/>
            </w:tcBorders>
            <w:shd w:val="clear" w:color="auto" w:fill="auto"/>
          </w:tcPr>
          <w:p w14:paraId="1951DD24"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749D65D2" w14:textId="77777777" w:rsidR="00991179" w:rsidRPr="00E444B3" w:rsidRDefault="00991179" w:rsidP="00991179">
            <w:pPr>
              <w:pStyle w:val="TableText"/>
            </w:pPr>
            <w:r w:rsidRPr="00E444B3">
              <w:t>Follicular lymphoma</w:t>
            </w:r>
          </w:p>
        </w:tc>
        <w:tc>
          <w:tcPr>
            <w:tcW w:w="3118" w:type="dxa"/>
            <w:tcBorders>
              <w:top w:val="single" w:sz="4" w:space="0" w:color="C2D9BA"/>
              <w:bottom w:val="single" w:sz="4" w:space="0" w:color="C2D9BA"/>
            </w:tcBorders>
            <w:shd w:val="clear" w:color="auto" w:fill="auto"/>
          </w:tcPr>
          <w:p w14:paraId="55582EE3" w14:textId="77777777" w:rsidR="00991179" w:rsidRPr="00E444B3" w:rsidRDefault="00991179" w:rsidP="00991179">
            <w:pPr>
              <w:pStyle w:val="TableText"/>
            </w:pPr>
            <w:r w:rsidRPr="00E444B3">
              <w:t>Yes</w:t>
            </w:r>
          </w:p>
        </w:tc>
      </w:tr>
      <w:tr w:rsidR="00991179" w14:paraId="337A8F49" w14:textId="77777777" w:rsidTr="00051722">
        <w:trPr>
          <w:cantSplit/>
        </w:trPr>
        <w:tc>
          <w:tcPr>
            <w:tcW w:w="1843" w:type="dxa"/>
            <w:tcBorders>
              <w:top w:val="single" w:sz="4" w:space="0" w:color="C2D9BA"/>
              <w:bottom w:val="single" w:sz="4" w:space="0" w:color="C2D9BA"/>
            </w:tcBorders>
            <w:shd w:val="clear" w:color="auto" w:fill="auto"/>
          </w:tcPr>
          <w:p w14:paraId="5D81CECD"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57E7738D"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6548C355" w14:textId="77777777" w:rsidR="00991179" w:rsidRPr="00E444B3" w:rsidRDefault="00991179" w:rsidP="00991179">
            <w:pPr>
              <w:pStyle w:val="TableText"/>
            </w:pPr>
            <w:r w:rsidRPr="00E444B3">
              <w:t>Yes</w:t>
            </w:r>
          </w:p>
        </w:tc>
      </w:tr>
      <w:tr w:rsidR="00991179" w14:paraId="55E8AF19" w14:textId="77777777" w:rsidTr="00051722">
        <w:trPr>
          <w:cantSplit/>
        </w:trPr>
        <w:tc>
          <w:tcPr>
            <w:tcW w:w="1843" w:type="dxa"/>
            <w:tcBorders>
              <w:top w:val="single" w:sz="4" w:space="0" w:color="C2D9BA"/>
              <w:bottom w:val="single" w:sz="4" w:space="0" w:color="C2D9BA"/>
            </w:tcBorders>
            <w:shd w:val="clear" w:color="auto" w:fill="auto"/>
          </w:tcPr>
          <w:p w14:paraId="7FD7C393"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1376D95D"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517D7B1C" w14:textId="77777777" w:rsidR="00991179" w:rsidRPr="00E444B3" w:rsidRDefault="00991179" w:rsidP="00991179">
            <w:pPr>
              <w:pStyle w:val="TableText"/>
            </w:pPr>
            <w:r w:rsidRPr="00E444B3">
              <w:t>Yes</w:t>
            </w:r>
          </w:p>
        </w:tc>
      </w:tr>
      <w:tr w:rsidR="00991179" w14:paraId="728D6D79" w14:textId="77777777" w:rsidTr="00051722">
        <w:trPr>
          <w:cantSplit/>
        </w:trPr>
        <w:tc>
          <w:tcPr>
            <w:tcW w:w="1843" w:type="dxa"/>
            <w:tcBorders>
              <w:top w:val="single" w:sz="4" w:space="0" w:color="C2D9BA"/>
              <w:bottom w:val="single" w:sz="4" w:space="0" w:color="C2D9BA"/>
            </w:tcBorders>
            <w:shd w:val="clear" w:color="auto" w:fill="auto"/>
          </w:tcPr>
          <w:p w14:paraId="5A922853"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3421D49D" w14:textId="77777777" w:rsidR="00991179" w:rsidRPr="00E444B3" w:rsidRDefault="00991179" w:rsidP="00991179">
            <w:pPr>
              <w:pStyle w:val="TableText"/>
            </w:pPr>
            <w:r w:rsidRPr="00E444B3">
              <w:t>Chronic lymphocytic leukaemia or small lymphocytic lymphoma</w:t>
            </w:r>
          </w:p>
        </w:tc>
        <w:tc>
          <w:tcPr>
            <w:tcW w:w="3118" w:type="dxa"/>
            <w:tcBorders>
              <w:top w:val="single" w:sz="4" w:space="0" w:color="C2D9BA"/>
              <w:bottom w:val="single" w:sz="4" w:space="0" w:color="C2D9BA"/>
            </w:tcBorders>
            <w:shd w:val="clear" w:color="auto" w:fill="auto"/>
          </w:tcPr>
          <w:p w14:paraId="10E66A6C" w14:textId="77777777" w:rsidR="00991179" w:rsidRPr="00E444B3" w:rsidRDefault="00991179" w:rsidP="00991179">
            <w:pPr>
              <w:pStyle w:val="TableText"/>
            </w:pPr>
            <w:r w:rsidRPr="00E444B3">
              <w:t>Yes</w:t>
            </w:r>
          </w:p>
        </w:tc>
      </w:tr>
      <w:tr w:rsidR="00991179" w14:paraId="00D1995A" w14:textId="77777777" w:rsidTr="00051722">
        <w:trPr>
          <w:cantSplit/>
        </w:trPr>
        <w:tc>
          <w:tcPr>
            <w:tcW w:w="1843" w:type="dxa"/>
            <w:tcBorders>
              <w:top w:val="single" w:sz="4" w:space="0" w:color="C2D9BA"/>
              <w:bottom w:val="single" w:sz="4" w:space="0" w:color="C2D9BA"/>
            </w:tcBorders>
            <w:shd w:val="clear" w:color="auto" w:fill="auto"/>
          </w:tcPr>
          <w:p w14:paraId="36ADBCA9"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422B630E"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1583EAC1" w14:textId="77777777" w:rsidR="00991179" w:rsidRPr="00E444B3" w:rsidRDefault="00991179" w:rsidP="00991179">
            <w:pPr>
              <w:pStyle w:val="TableText"/>
            </w:pPr>
            <w:r w:rsidRPr="00E444B3">
              <w:t>Yes</w:t>
            </w:r>
          </w:p>
        </w:tc>
      </w:tr>
      <w:tr w:rsidR="00991179" w14:paraId="72797F90" w14:textId="77777777" w:rsidTr="00051722">
        <w:trPr>
          <w:cantSplit/>
        </w:trPr>
        <w:tc>
          <w:tcPr>
            <w:tcW w:w="1843" w:type="dxa"/>
            <w:tcBorders>
              <w:top w:val="single" w:sz="4" w:space="0" w:color="C2D9BA"/>
              <w:bottom w:val="single" w:sz="4" w:space="0" w:color="C2D9BA"/>
            </w:tcBorders>
            <w:shd w:val="clear" w:color="auto" w:fill="auto"/>
          </w:tcPr>
          <w:p w14:paraId="03F4BDC2"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5F206776" w14:textId="77777777" w:rsidR="00991179" w:rsidRPr="00E444B3" w:rsidRDefault="00991179" w:rsidP="00991179">
            <w:pPr>
              <w:pStyle w:val="TableText"/>
            </w:pPr>
            <w:r w:rsidRPr="00E444B3">
              <w:t>Rhabdomyosarcoma primary site</w:t>
            </w:r>
          </w:p>
        </w:tc>
        <w:tc>
          <w:tcPr>
            <w:tcW w:w="3118" w:type="dxa"/>
            <w:tcBorders>
              <w:top w:val="single" w:sz="4" w:space="0" w:color="C2D9BA"/>
              <w:bottom w:val="single" w:sz="4" w:space="0" w:color="C2D9BA"/>
            </w:tcBorders>
            <w:shd w:val="clear" w:color="auto" w:fill="auto"/>
          </w:tcPr>
          <w:p w14:paraId="792DF0BD" w14:textId="77777777" w:rsidR="00991179" w:rsidRPr="00E444B3" w:rsidRDefault="00991179" w:rsidP="00991179">
            <w:pPr>
              <w:pStyle w:val="TableText"/>
            </w:pPr>
            <w:r w:rsidRPr="00E444B3">
              <w:t>Yes</w:t>
            </w:r>
          </w:p>
        </w:tc>
      </w:tr>
      <w:tr w:rsidR="00991179" w14:paraId="493CC621" w14:textId="77777777" w:rsidTr="00051722">
        <w:trPr>
          <w:cantSplit/>
        </w:trPr>
        <w:tc>
          <w:tcPr>
            <w:tcW w:w="1843" w:type="dxa"/>
            <w:tcBorders>
              <w:top w:val="single" w:sz="4" w:space="0" w:color="C2D9BA"/>
              <w:bottom w:val="single" w:sz="4" w:space="0" w:color="C2D9BA"/>
            </w:tcBorders>
            <w:shd w:val="clear" w:color="auto" w:fill="auto"/>
          </w:tcPr>
          <w:p w14:paraId="3A1FAFB9" w14:textId="77777777" w:rsidR="00991179" w:rsidRPr="00E444B3" w:rsidRDefault="00991179" w:rsidP="00051722">
            <w:pPr>
              <w:pStyle w:val="TableText"/>
              <w:keepNext/>
            </w:pPr>
            <w:r w:rsidRPr="00E444B3">
              <w:lastRenderedPageBreak/>
              <w:t>Cyclophosphamide</w:t>
            </w:r>
          </w:p>
        </w:tc>
        <w:tc>
          <w:tcPr>
            <w:tcW w:w="3119" w:type="dxa"/>
            <w:tcBorders>
              <w:top w:val="single" w:sz="4" w:space="0" w:color="C2D9BA"/>
              <w:bottom w:val="single" w:sz="4" w:space="0" w:color="C2D9BA"/>
            </w:tcBorders>
            <w:shd w:val="clear" w:color="auto" w:fill="auto"/>
            <w:vAlign w:val="bottom"/>
          </w:tcPr>
          <w:p w14:paraId="6CA52226" w14:textId="77777777" w:rsidR="00991179" w:rsidRPr="00E444B3" w:rsidRDefault="00991179" w:rsidP="00051722">
            <w:pPr>
              <w:pStyle w:val="TableText"/>
              <w:keepNext/>
            </w:pPr>
            <w:r w:rsidRPr="00E444B3">
              <w:t>Hodgkin lymphoma</w:t>
            </w:r>
          </w:p>
        </w:tc>
        <w:tc>
          <w:tcPr>
            <w:tcW w:w="3118" w:type="dxa"/>
            <w:tcBorders>
              <w:top w:val="single" w:sz="4" w:space="0" w:color="C2D9BA"/>
              <w:bottom w:val="single" w:sz="4" w:space="0" w:color="C2D9BA"/>
            </w:tcBorders>
            <w:shd w:val="clear" w:color="auto" w:fill="auto"/>
          </w:tcPr>
          <w:p w14:paraId="161BF2C2" w14:textId="77777777" w:rsidR="00991179" w:rsidRPr="00E444B3" w:rsidRDefault="00991179" w:rsidP="00051722">
            <w:pPr>
              <w:pStyle w:val="TableText"/>
              <w:keepNext/>
            </w:pPr>
            <w:r w:rsidRPr="00E444B3">
              <w:t>Yes</w:t>
            </w:r>
          </w:p>
        </w:tc>
      </w:tr>
      <w:tr w:rsidR="00991179" w14:paraId="5824261F" w14:textId="77777777" w:rsidTr="00051722">
        <w:trPr>
          <w:cantSplit/>
        </w:trPr>
        <w:tc>
          <w:tcPr>
            <w:tcW w:w="1843" w:type="dxa"/>
            <w:tcBorders>
              <w:top w:val="single" w:sz="4" w:space="0" w:color="C2D9BA"/>
              <w:bottom w:val="single" w:sz="4" w:space="0" w:color="C2D9BA"/>
            </w:tcBorders>
            <w:shd w:val="clear" w:color="auto" w:fill="auto"/>
          </w:tcPr>
          <w:p w14:paraId="3B89CF08" w14:textId="77777777" w:rsidR="00991179" w:rsidRPr="00E444B3" w:rsidRDefault="00991179" w:rsidP="00051722">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30D84717" w14:textId="77777777" w:rsidR="00991179" w:rsidRPr="00E444B3" w:rsidRDefault="00991179" w:rsidP="00051722">
            <w:pPr>
              <w:pStyle w:val="TableText"/>
            </w:pPr>
            <w:r w:rsidRPr="00E444B3">
              <w:t>Plasma cell myeloma</w:t>
            </w:r>
          </w:p>
        </w:tc>
        <w:tc>
          <w:tcPr>
            <w:tcW w:w="3118" w:type="dxa"/>
            <w:tcBorders>
              <w:top w:val="single" w:sz="4" w:space="0" w:color="C2D9BA"/>
              <w:bottom w:val="single" w:sz="4" w:space="0" w:color="C2D9BA"/>
            </w:tcBorders>
            <w:shd w:val="clear" w:color="auto" w:fill="auto"/>
          </w:tcPr>
          <w:p w14:paraId="742C0762" w14:textId="77777777" w:rsidR="00991179" w:rsidRPr="00E444B3" w:rsidRDefault="00991179" w:rsidP="00051722">
            <w:pPr>
              <w:pStyle w:val="TableText"/>
            </w:pPr>
            <w:r w:rsidRPr="00E444B3">
              <w:t>Yes</w:t>
            </w:r>
          </w:p>
        </w:tc>
      </w:tr>
      <w:tr w:rsidR="00991179" w14:paraId="183B10FB" w14:textId="77777777" w:rsidTr="00051722">
        <w:trPr>
          <w:cantSplit/>
        </w:trPr>
        <w:tc>
          <w:tcPr>
            <w:tcW w:w="1843" w:type="dxa"/>
            <w:tcBorders>
              <w:top w:val="single" w:sz="4" w:space="0" w:color="C2D9BA"/>
              <w:bottom w:val="single" w:sz="4" w:space="0" w:color="C2D9BA"/>
            </w:tcBorders>
            <w:shd w:val="clear" w:color="auto" w:fill="auto"/>
          </w:tcPr>
          <w:p w14:paraId="7DD76646"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4B7B84AA" w14:textId="77777777" w:rsidR="00991179" w:rsidRPr="00E444B3" w:rsidRDefault="00991179" w:rsidP="00991179">
            <w:pPr>
              <w:pStyle w:val="TableText"/>
            </w:pPr>
            <w:r w:rsidRPr="00E444B3">
              <w:t>Burkitt lymphoma including Burkitt leukaemia</w:t>
            </w:r>
          </w:p>
        </w:tc>
        <w:tc>
          <w:tcPr>
            <w:tcW w:w="3118" w:type="dxa"/>
            <w:tcBorders>
              <w:top w:val="single" w:sz="4" w:space="0" w:color="C2D9BA"/>
              <w:bottom w:val="single" w:sz="4" w:space="0" w:color="C2D9BA"/>
            </w:tcBorders>
            <w:shd w:val="clear" w:color="auto" w:fill="auto"/>
          </w:tcPr>
          <w:p w14:paraId="5C9D43B3" w14:textId="77777777" w:rsidR="00991179" w:rsidRPr="00E444B3" w:rsidRDefault="00991179" w:rsidP="00991179">
            <w:pPr>
              <w:pStyle w:val="TableText"/>
            </w:pPr>
            <w:r w:rsidRPr="00E444B3">
              <w:t>Yes</w:t>
            </w:r>
          </w:p>
        </w:tc>
      </w:tr>
      <w:tr w:rsidR="00991179" w14:paraId="69C40283" w14:textId="77777777" w:rsidTr="00051722">
        <w:trPr>
          <w:cantSplit/>
        </w:trPr>
        <w:tc>
          <w:tcPr>
            <w:tcW w:w="1843" w:type="dxa"/>
            <w:tcBorders>
              <w:top w:val="single" w:sz="4" w:space="0" w:color="C2D9BA"/>
              <w:bottom w:val="single" w:sz="4" w:space="0" w:color="C2D9BA"/>
            </w:tcBorders>
            <w:shd w:val="clear" w:color="auto" w:fill="auto"/>
          </w:tcPr>
          <w:p w14:paraId="2D0736B1" w14:textId="77777777" w:rsidR="00991179" w:rsidRPr="00E444B3" w:rsidRDefault="00991179" w:rsidP="000861AF">
            <w:pPr>
              <w:pStyle w:val="TableText"/>
            </w:pPr>
            <w:r w:rsidRPr="00E444B3">
              <w:t>Cyclophosphamide</w:t>
            </w:r>
          </w:p>
        </w:tc>
        <w:tc>
          <w:tcPr>
            <w:tcW w:w="3119" w:type="dxa"/>
            <w:tcBorders>
              <w:top w:val="single" w:sz="4" w:space="0" w:color="C2D9BA"/>
              <w:bottom w:val="single" w:sz="4" w:space="0" w:color="C2D9BA"/>
            </w:tcBorders>
            <w:shd w:val="clear" w:color="auto" w:fill="auto"/>
            <w:vAlign w:val="bottom"/>
          </w:tcPr>
          <w:p w14:paraId="08C9DF0C" w14:textId="77777777" w:rsidR="00991179" w:rsidRPr="00E444B3" w:rsidRDefault="00991179" w:rsidP="00991179">
            <w:pPr>
              <w:pStyle w:val="TableText"/>
            </w:pPr>
            <w:r w:rsidRPr="00E444B3">
              <w:t>Diffuse large B-cell lymphomas</w:t>
            </w:r>
          </w:p>
        </w:tc>
        <w:tc>
          <w:tcPr>
            <w:tcW w:w="3118" w:type="dxa"/>
            <w:tcBorders>
              <w:top w:val="single" w:sz="4" w:space="0" w:color="C2D9BA"/>
              <w:bottom w:val="single" w:sz="4" w:space="0" w:color="C2D9BA"/>
            </w:tcBorders>
            <w:shd w:val="clear" w:color="auto" w:fill="auto"/>
          </w:tcPr>
          <w:p w14:paraId="437E926C" w14:textId="77777777" w:rsidR="00991179" w:rsidRPr="00E444B3" w:rsidRDefault="00991179" w:rsidP="00991179">
            <w:pPr>
              <w:pStyle w:val="TableText"/>
            </w:pPr>
            <w:r w:rsidRPr="00E444B3">
              <w:t>Yes</w:t>
            </w:r>
          </w:p>
        </w:tc>
      </w:tr>
      <w:tr w:rsidR="00991179" w14:paraId="581A99A9" w14:textId="77777777" w:rsidTr="00051722">
        <w:trPr>
          <w:cantSplit/>
        </w:trPr>
        <w:tc>
          <w:tcPr>
            <w:tcW w:w="1843" w:type="dxa"/>
            <w:tcBorders>
              <w:top w:val="single" w:sz="4" w:space="0" w:color="C2D9BA"/>
              <w:bottom w:val="single" w:sz="4" w:space="0" w:color="C2D9BA"/>
            </w:tcBorders>
            <w:shd w:val="clear" w:color="auto" w:fill="auto"/>
          </w:tcPr>
          <w:p w14:paraId="1FA14E28" w14:textId="77777777" w:rsidR="00991179" w:rsidRPr="00E444B3" w:rsidRDefault="00991179" w:rsidP="000861AF">
            <w:pPr>
              <w:pStyle w:val="TableText"/>
            </w:pPr>
            <w:r w:rsidRPr="00E444B3">
              <w:t>Cytarabine</w:t>
            </w:r>
          </w:p>
        </w:tc>
        <w:tc>
          <w:tcPr>
            <w:tcW w:w="3119" w:type="dxa"/>
            <w:tcBorders>
              <w:top w:val="single" w:sz="4" w:space="0" w:color="C2D9BA"/>
              <w:bottom w:val="single" w:sz="4" w:space="0" w:color="C2D9BA"/>
            </w:tcBorders>
            <w:shd w:val="clear" w:color="auto" w:fill="auto"/>
            <w:vAlign w:val="bottom"/>
          </w:tcPr>
          <w:p w14:paraId="0A4023F5" w14:textId="77777777" w:rsidR="00991179" w:rsidRPr="00E444B3" w:rsidRDefault="00991179" w:rsidP="00991179">
            <w:pPr>
              <w:pStyle w:val="TableText"/>
            </w:pPr>
            <w:r w:rsidRPr="00E444B3">
              <w:t>Burkitt lymphoma</w:t>
            </w:r>
            <w:r>
              <w:t>,</w:t>
            </w:r>
            <w:r w:rsidRPr="00E444B3">
              <w:t xml:space="preserve"> including Burkitt leukaemia</w:t>
            </w:r>
          </w:p>
        </w:tc>
        <w:tc>
          <w:tcPr>
            <w:tcW w:w="3118" w:type="dxa"/>
            <w:tcBorders>
              <w:top w:val="single" w:sz="4" w:space="0" w:color="C2D9BA"/>
              <w:bottom w:val="single" w:sz="4" w:space="0" w:color="C2D9BA"/>
            </w:tcBorders>
            <w:shd w:val="clear" w:color="auto" w:fill="auto"/>
          </w:tcPr>
          <w:p w14:paraId="59B03629" w14:textId="77777777" w:rsidR="00991179" w:rsidRPr="00E444B3" w:rsidRDefault="00991179" w:rsidP="00991179">
            <w:pPr>
              <w:pStyle w:val="TableText"/>
            </w:pPr>
            <w:r w:rsidRPr="00E444B3">
              <w:t>Yes</w:t>
            </w:r>
          </w:p>
        </w:tc>
      </w:tr>
      <w:tr w:rsidR="00991179" w14:paraId="48DB6A0E" w14:textId="77777777" w:rsidTr="00051722">
        <w:trPr>
          <w:cantSplit/>
        </w:trPr>
        <w:tc>
          <w:tcPr>
            <w:tcW w:w="1843" w:type="dxa"/>
            <w:tcBorders>
              <w:top w:val="single" w:sz="4" w:space="0" w:color="C2D9BA"/>
              <w:bottom w:val="single" w:sz="4" w:space="0" w:color="C2D9BA"/>
            </w:tcBorders>
            <w:shd w:val="clear" w:color="auto" w:fill="auto"/>
          </w:tcPr>
          <w:p w14:paraId="0F85CF46" w14:textId="77777777" w:rsidR="00991179" w:rsidRPr="00E444B3" w:rsidRDefault="00991179" w:rsidP="000861AF">
            <w:pPr>
              <w:pStyle w:val="TableText"/>
            </w:pPr>
            <w:r w:rsidRPr="00E444B3">
              <w:t>Cytarabine</w:t>
            </w:r>
          </w:p>
        </w:tc>
        <w:tc>
          <w:tcPr>
            <w:tcW w:w="3119" w:type="dxa"/>
            <w:tcBorders>
              <w:top w:val="single" w:sz="4" w:space="0" w:color="C2D9BA"/>
              <w:bottom w:val="single" w:sz="4" w:space="0" w:color="C2D9BA"/>
            </w:tcBorders>
            <w:shd w:val="clear" w:color="auto" w:fill="auto"/>
            <w:vAlign w:val="bottom"/>
          </w:tcPr>
          <w:p w14:paraId="1B6D72F8" w14:textId="77777777" w:rsidR="00991179" w:rsidRPr="00E444B3" w:rsidRDefault="00991179" w:rsidP="00991179">
            <w:pPr>
              <w:pStyle w:val="TableText"/>
            </w:pPr>
            <w:r w:rsidRPr="00E444B3">
              <w:t>Lymphoid leukaemia, NOS</w:t>
            </w:r>
            <w:r>
              <w:t>*</w:t>
            </w:r>
          </w:p>
        </w:tc>
        <w:tc>
          <w:tcPr>
            <w:tcW w:w="3118" w:type="dxa"/>
            <w:tcBorders>
              <w:top w:val="single" w:sz="4" w:space="0" w:color="C2D9BA"/>
              <w:bottom w:val="single" w:sz="4" w:space="0" w:color="C2D9BA"/>
            </w:tcBorders>
            <w:shd w:val="clear" w:color="auto" w:fill="auto"/>
          </w:tcPr>
          <w:p w14:paraId="50E052F5" w14:textId="77777777" w:rsidR="00991179" w:rsidRPr="00E444B3" w:rsidRDefault="00991179" w:rsidP="00991179">
            <w:pPr>
              <w:pStyle w:val="TableText"/>
            </w:pPr>
            <w:r w:rsidRPr="00E444B3">
              <w:t>Yes</w:t>
            </w:r>
          </w:p>
        </w:tc>
      </w:tr>
      <w:tr w:rsidR="00991179" w14:paraId="25812906" w14:textId="77777777" w:rsidTr="00051722">
        <w:trPr>
          <w:cantSplit/>
        </w:trPr>
        <w:tc>
          <w:tcPr>
            <w:tcW w:w="1843" w:type="dxa"/>
            <w:tcBorders>
              <w:top w:val="single" w:sz="4" w:space="0" w:color="C2D9BA"/>
              <w:bottom w:val="single" w:sz="4" w:space="0" w:color="C2D9BA"/>
            </w:tcBorders>
            <w:shd w:val="clear" w:color="auto" w:fill="auto"/>
          </w:tcPr>
          <w:p w14:paraId="248067E4" w14:textId="77777777" w:rsidR="00991179" w:rsidRPr="00E444B3" w:rsidRDefault="00991179" w:rsidP="000861AF">
            <w:pPr>
              <w:pStyle w:val="TableText"/>
            </w:pPr>
            <w:r w:rsidRPr="00E444B3">
              <w:t>Cytarabine</w:t>
            </w:r>
          </w:p>
        </w:tc>
        <w:tc>
          <w:tcPr>
            <w:tcW w:w="3119" w:type="dxa"/>
            <w:tcBorders>
              <w:top w:val="single" w:sz="4" w:space="0" w:color="C2D9BA"/>
              <w:bottom w:val="single" w:sz="4" w:space="0" w:color="C2D9BA"/>
            </w:tcBorders>
            <w:shd w:val="clear" w:color="auto" w:fill="auto"/>
            <w:vAlign w:val="bottom"/>
          </w:tcPr>
          <w:p w14:paraId="6D1E5045" w14:textId="77777777" w:rsidR="00991179" w:rsidRPr="00E444B3" w:rsidRDefault="00991179" w:rsidP="00991179">
            <w:pPr>
              <w:pStyle w:val="TableText"/>
            </w:pPr>
            <w:r w:rsidRPr="00E444B3">
              <w:t>Acute myeloid leukaemia with recurrent genetic abnormalities</w:t>
            </w:r>
          </w:p>
        </w:tc>
        <w:tc>
          <w:tcPr>
            <w:tcW w:w="3118" w:type="dxa"/>
            <w:tcBorders>
              <w:top w:val="single" w:sz="4" w:space="0" w:color="C2D9BA"/>
              <w:bottom w:val="single" w:sz="4" w:space="0" w:color="C2D9BA"/>
            </w:tcBorders>
            <w:shd w:val="clear" w:color="auto" w:fill="auto"/>
          </w:tcPr>
          <w:p w14:paraId="3EFA5AFB" w14:textId="77777777" w:rsidR="00991179" w:rsidRPr="00E444B3" w:rsidRDefault="00991179" w:rsidP="00991179">
            <w:pPr>
              <w:pStyle w:val="TableText"/>
            </w:pPr>
            <w:r w:rsidRPr="00E444B3">
              <w:t>Yes</w:t>
            </w:r>
          </w:p>
        </w:tc>
      </w:tr>
      <w:tr w:rsidR="00991179" w14:paraId="6A083698" w14:textId="77777777" w:rsidTr="00051722">
        <w:trPr>
          <w:cantSplit/>
        </w:trPr>
        <w:tc>
          <w:tcPr>
            <w:tcW w:w="1843" w:type="dxa"/>
            <w:tcBorders>
              <w:top w:val="single" w:sz="4" w:space="0" w:color="C2D9BA"/>
              <w:bottom w:val="single" w:sz="4" w:space="0" w:color="C2D9BA"/>
            </w:tcBorders>
            <w:shd w:val="clear" w:color="auto" w:fill="auto"/>
          </w:tcPr>
          <w:p w14:paraId="670F9CD9" w14:textId="77777777" w:rsidR="00991179" w:rsidRPr="00E444B3" w:rsidRDefault="00991179" w:rsidP="000861AF">
            <w:pPr>
              <w:pStyle w:val="TableText"/>
            </w:pPr>
            <w:r w:rsidRPr="00E444B3">
              <w:t>Cytarabine</w:t>
            </w:r>
          </w:p>
        </w:tc>
        <w:tc>
          <w:tcPr>
            <w:tcW w:w="3119" w:type="dxa"/>
            <w:tcBorders>
              <w:top w:val="single" w:sz="4" w:space="0" w:color="C2D9BA"/>
              <w:bottom w:val="single" w:sz="4" w:space="0" w:color="C2D9BA"/>
            </w:tcBorders>
            <w:shd w:val="clear" w:color="auto" w:fill="auto"/>
            <w:vAlign w:val="bottom"/>
          </w:tcPr>
          <w:p w14:paraId="5D013095" w14:textId="77777777" w:rsidR="00991179" w:rsidRPr="00E444B3" w:rsidRDefault="00991179" w:rsidP="00991179">
            <w:pPr>
              <w:pStyle w:val="TableText"/>
            </w:pPr>
            <w:r w:rsidRPr="00E444B3">
              <w:t>Myeloid leukaemia</w:t>
            </w:r>
          </w:p>
        </w:tc>
        <w:tc>
          <w:tcPr>
            <w:tcW w:w="3118" w:type="dxa"/>
            <w:tcBorders>
              <w:top w:val="single" w:sz="4" w:space="0" w:color="C2D9BA"/>
              <w:bottom w:val="single" w:sz="4" w:space="0" w:color="C2D9BA"/>
            </w:tcBorders>
            <w:shd w:val="clear" w:color="auto" w:fill="auto"/>
          </w:tcPr>
          <w:p w14:paraId="11B1B8B8" w14:textId="77777777" w:rsidR="00991179" w:rsidRPr="00E444B3" w:rsidRDefault="00991179" w:rsidP="00991179">
            <w:pPr>
              <w:pStyle w:val="TableText"/>
            </w:pPr>
            <w:r w:rsidRPr="00E444B3">
              <w:t>Yes</w:t>
            </w:r>
          </w:p>
        </w:tc>
      </w:tr>
      <w:tr w:rsidR="00991179" w14:paraId="7BF8A132" w14:textId="77777777" w:rsidTr="00051722">
        <w:trPr>
          <w:cantSplit/>
        </w:trPr>
        <w:tc>
          <w:tcPr>
            <w:tcW w:w="1843" w:type="dxa"/>
            <w:tcBorders>
              <w:top w:val="single" w:sz="4" w:space="0" w:color="C2D9BA"/>
              <w:bottom w:val="single" w:sz="4" w:space="0" w:color="C2D9BA"/>
            </w:tcBorders>
            <w:shd w:val="clear" w:color="auto" w:fill="auto"/>
          </w:tcPr>
          <w:p w14:paraId="5823578F" w14:textId="77777777" w:rsidR="00991179" w:rsidRPr="00E444B3" w:rsidRDefault="00991179" w:rsidP="000861AF">
            <w:pPr>
              <w:pStyle w:val="TableText"/>
            </w:pPr>
            <w:r w:rsidRPr="00E444B3">
              <w:t>Dacarbazine</w:t>
            </w:r>
          </w:p>
        </w:tc>
        <w:tc>
          <w:tcPr>
            <w:tcW w:w="3119" w:type="dxa"/>
            <w:tcBorders>
              <w:top w:val="single" w:sz="4" w:space="0" w:color="C2D9BA"/>
              <w:bottom w:val="single" w:sz="4" w:space="0" w:color="C2D9BA"/>
            </w:tcBorders>
            <w:shd w:val="clear" w:color="auto" w:fill="auto"/>
          </w:tcPr>
          <w:p w14:paraId="5EE2E9D4" w14:textId="77777777" w:rsidR="00991179" w:rsidRPr="00E444B3" w:rsidRDefault="00991179" w:rsidP="00991179">
            <w:pPr>
              <w:pStyle w:val="TableText"/>
            </w:pPr>
            <w:r w:rsidRPr="00E444B3">
              <w:t>Hodgkin lymphoma</w:t>
            </w:r>
          </w:p>
        </w:tc>
        <w:tc>
          <w:tcPr>
            <w:tcW w:w="3118" w:type="dxa"/>
            <w:tcBorders>
              <w:top w:val="single" w:sz="4" w:space="0" w:color="C2D9BA"/>
              <w:bottom w:val="single" w:sz="4" w:space="0" w:color="C2D9BA"/>
            </w:tcBorders>
            <w:shd w:val="clear" w:color="auto" w:fill="auto"/>
          </w:tcPr>
          <w:p w14:paraId="423164E6" w14:textId="77777777" w:rsidR="00991179" w:rsidRPr="00E444B3" w:rsidRDefault="00991179" w:rsidP="00991179">
            <w:pPr>
              <w:pStyle w:val="TableText"/>
            </w:pPr>
            <w:r w:rsidRPr="00E444B3">
              <w:t>Yes</w:t>
            </w:r>
          </w:p>
        </w:tc>
      </w:tr>
      <w:tr w:rsidR="00991179" w14:paraId="215CB06D" w14:textId="77777777" w:rsidTr="00051722">
        <w:trPr>
          <w:cantSplit/>
        </w:trPr>
        <w:tc>
          <w:tcPr>
            <w:tcW w:w="1843" w:type="dxa"/>
            <w:tcBorders>
              <w:top w:val="single" w:sz="4" w:space="0" w:color="C2D9BA"/>
              <w:bottom w:val="single" w:sz="4" w:space="0" w:color="C2D9BA"/>
            </w:tcBorders>
            <w:shd w:val="clear" w:color="auto" w:fill="auto"/>
          </w:tcPr>
          <w:p w14:paraId="0C4CEC9C" w14:textId="77777777" w:rsidR="00991179" w:rsidRPr="00E444B3" w:rsidRDefault="00991179" w:rsidP="000861AF">
            <w:pPr>
              <w:pStyle w:val="TableText"/>
            </w:pPr>
            <w:r w:rsidRPr="00E444B3">
              <w:t>Dactinomycin</w:t>
            </w:r>
          </w:p>
        </w:tc>
        <w:tc>
          <w:tcPr>
            <w:tcW w:w="3119" w:type="dxa"/>
            <w:tcBorders>
              <w:top w:val="single" w:sz="4" w:space="0" w:color="C2D9BA"/>
              <w:bottom w:val="single" w:sz="4" w:space="0" w:color="C2D9BA"/>
            </w:tcBorders>
            <w:shd w:val="clear" w:color="auto" w:fill="auto"/>
            <w:vAlign w:val="bottom"/>
          </w:tcPr>
          <w:p w14:paraId="7E1DD072" w14:textId="77777777" w:rsidR="00991179" w:rsidRPr="00E444B3" w:rsidRDefault="00991179" w:rsidP="00991179">
            <w:pPr>
              <w:pStyle w:val="TableText"/>
            </w:pPr>
            <w:r w:rsidRPr="00E444B3">
              <w:t>Malignant trophoblastic neoplasms of placenta</w:t>
            </w:r>
          </w:p>
        </w:tc>
        <w:tc>
          <w:tcPr>
            <w:tcW w:w="3118" w:type="dxa"/>
            <w:tcBorders>
              <w:top w:val="single" w:sz="4" w:space="0" w:color="C2D9BA"/>
              <w:bottom w:val="single" w:sz="4" w:space="0" w:color="C2D9BA"/>
            </w:tcBorders>
            <w:shd w:val="clear" w:color="auto" w:fill="auto"/>
          </w:tcPr>
          <w:p w14:paraId="58D292F5" w14:textId="77777777" w:rsidR="00991179" w:rsidRPr="00E444B3" w:rsidRDefault="00991179" w:rsidP="00991179">
            <w:pPr>
              <w:pStyle w:val="TableText"/>
            </w:pPr>
            <w:r w:rsidRPr="00E444B3">
              <w:t>Yes</w:t>
            </w:r>
          </w:p>
        </w:tc>
      </w:tr>
      <w:tr w:rsidR="00991179" w14:paraId="1B30CB30" w14:textId="77777777" w:rsidTr="00051722">
        <w:trPr>
          <w:cantSplit/>
        </w:trPr>
        <w:tc>
          <w:tcPr>
            <w:tcW w:w="1843" w:type="dxa"/>
            <w:tcBorders>
              <w:top w:val="single" w:sz="4" w:space="0" w:color="C2D9BA"/>
              <w:bottom w:val="single" w:sz="4" w:space="0" w:color="C2D9BA"/>
            </w:tcBorders>
            <w:shd w:val="clear" w:color="auto" w:fill="auto"/>
          </w:tcPr>
          <w:p w14:paraId="7BE8FCE4" w14:textId="77777777" w:rsidR="00991179" w:rsidRPr="00E444B3" w:rsidRDefault="00991179" w:rsidP="000861AF">
            <w:pPr>
              <w:pStyle w:val="TableText"/>
            </w:pPr>
            <w:r w:rsidRPr="00E444B3">
              <w:t>Dactinomycin</w:t>
            </w:r>
          </w:p>
        </w:tc>
        <w:tc>
          <w:tcPr>
            <w:tcW w:w="3119" w:type="dxa"/>
            <w:tcBorders>
              <w:top w:val="single" w:sz="4" w:space="0" w:color="C2D9BA"/>
              <w:bottom w:val="single" w:sz="4" w:space="0" w:color="C2D9BA"/>
            </w:tcBorders>
            <w:shd w:val="clear" w:color="auto" w:fill="auto"/>
            <w:vAlign w:val="bottom"/>
          </w:tcPr>
          <w:p w14:paraId="343AB8FB" w14:textId="77777777" w:rsidR="00991179" w:rsidRPr="00E444B3" w:rsidRDefault="00991179" w:rsidP="00991179">
            <w:pPr>
              <w:pStyle w:val="TableText"/>
            </w:pPr>
            <w:r w:rsidRPr="00E444B3">
              <w:t>Malignant neoplasms of kidney, except renal pelvis</w:t>
            </w:r>
          </w:p>
        </w:tc>
        <w:tc>
          <w:tcPr>
            <w:tcW w:w="3118" w:type="dxa"/>
            <w:tcBorders>
              <w:top w:val="single" w:sz="4" w:space="0" w:color="C2D9BA"/>
              <w:bottom w:val="single" w:sz="4" w:space="0" w:color="C2D9BA"/>
            </w:tcBorders>
            <w:shd w:val="clear" w:color="auto" w:fill="auto"/>
          </w:tcPr>
          <w:p w14:paraId="4BD73C4A" w14:textId="77777777" w:rsidR="00991179" w:rsidRPr="00E444B3" w:rsidRDefault="00991179" w:rsidP="00991179">
            <w:pPr>
              <w:pStyle w:val="TableText"/>
            </w:pPr>
            <w:r w:rsidRPr="00E444B3">
              <w:t>Yes</w:t>
            </w:r>
          </w:p>
        </w:tc>
      </w:tr>
      <w:tr w:rsidR="00991179" w14:paraId="39EF2EF3" w14:textId="77777777" w:rsidTr="00051722">
        <w:trPr>
          <w:cantSplit/>
        </w:trPr>
        <w:tc>
          <w:tcPr>
            <w:tcW w:w="1843" w:type="dxa"/>
            <w:tcBorders>
              <w:top w:val="single" w:sz="4" w:space="0" w:color="C2D9BA"/>
              <w:bottom w:val="single" w:sz="4" w:space="0" w:color="C2D9BA"/>
            </w:tcBorders>
            <w:shd w:val="clear" w:color="auto" w:fill="auto"/>
          </w:tcPr>
          <w:p w14:paraId="39EF9DEB" w14:textId="77777777" w:rsidR="00991179" w:rsidRPr="00E444B3" w:rsidRDefault="00991179" w:rsidP="000861AF">
            <w:pPr>
              <w:pStyle w:val="TableText"/>
            </w:pPr>
            <w:r w:rsidRPr="00E444B3">
              <w:t>Dactinomycin</w:t>
            </w:r>
          </w:p>
        </w:tc>
        <w:tc>
          <w:tcPr>
            <w:tcW w:w="3119" w:type="dxa"/>
            <w:tcBorders>
              <w:top w:val="single" w:sz="4" w:space="0" w:color="C2D9BA"/>
              <w:bottom w:val="single" w:sz="4" w:space="0" w:color="C2D9BA"/>
            </w:tcBorders>
            <w:shd w:val="clear" w:color="auto" w:fill="auto"/>
            <w:vAlign w:val="bottom"/>
          </w:tcPr>
          <w:p w14:paraId="388A2407" w14:textId="77777777" w:rsidR="00991179" w:rsidRPr="00E444B3" w:rsidRDefault="00991179" w:rsidP="00991179">
            <w:pPr>
              <w:pStyle w:val="TableText"/>
            </w:pPr>
            <w:r w:rsidRPr="00E444B3">
              <w:t>Rhabdomyosarcoma primary site</w:t>
            </w:r>
          </w:p>
        </w:tc>
        <w:tc>
          <w:tcPr>
            <w:tcW w:w="3118" w:type="dxa"/>
            <w:tcBorders>
              <w:top w:val="single" w:sz="4" w:space="0" w:color="C2D9BA"/>
              <w:bottom w:val="single" w:sz="4" w:space="0" w:color="C2D9BA"/>
            </w:tcBorders>
            <w:shd w:val="clear" w:color="auto" w:fill="auto"/>
          </w:tcPr>
          <w:p w14:paraId="2694EA59" w14:textId="77777777" w:rsidR="00991179" w:rsidRPr="00E444B3" w:rsidRDefault="00991179" w:rsidP="00991179">
            <w:pPr>
              <w:pStyle w:val="TableText"/>
            </w:pPr>
            <w:r w:rsidRPr="00E444B3">
              <w:t>Yes</w:t>
            </w:r>
          </w:p>
        </w:tc>
      </w:tr>
      <w:tr w:rsidR="00991179" w14:paraId="0847CBC2" w14:textId="77777777" w:rsidTr="00051722">
        <w:trPr>
          <w:cantSplit/>
        </w:trPr>
        <w:tc>
          <w:tcPr>
            <w:tcW w:w="1843" w:type="dxa"/>
            <w:tcBorders>
              <w:top w:val="single" w:sz="4" w:space="0" w:color="C2D9BA"/>
              <w:bottom w:val="single" w:sz="4" w:space="0" w:color="C2D9BA"/>
            </w:tcBorders>
            <w:shd w:val="clear" w:color="auto" w:fill="auto"/>
          </w:tcPr>
          <w:p w14:paraId="27E8F938" w14:textId="77777777" w:rsidR="00991179" w:rsidRPr="00E444B3" w:rsidRDefault="00991179" w:rsidP="000861AF">
            <w:pPr>
              <w:pStyle w:val="TableText"/>
            </w:pPr>
            <w:r w:rsidRPr="00E444B3">
              <w:t>Dasatinib</w:t>
            </w:r>
          </w:p>
        </w:tc>
        <w:tc>
          <w:tcPr>
            <w:tcW w:w="3119" w:type="dxa"/>
            <w:tcBorders>
              <w:top w:val="single" w:sz="4" w:space="0" w:color="C2D9BA"/>
              <w:bottom w:val="single" w:sz="4" w:space="0" w:color="C2D9BA"/>
            </w:tcBorders>
            <w:shd w:val="clear" w:color="auto" w:fill="auto"/>
            <w:vAlign w:val="bottom"/>
          </w:tcPr>
          <w:p w14:paraId="2FADA420" w14:textId="77777777" w:rsidR="00991179" w:rsidRPr="00E444B3" w:rsidRDefault="00991179" w:rsidP="00991179">
            <w:pPr>
              <w:pStyle w:val="TableText"/>
            </w:pPr>
            <w:r w:rsidRPr="00E444B3">
              <w:t>Chronic myeloid leukaemia, NOS</w:t>
            </w:r>
          </w:p>
        </w:tc>
        <w:tc>
          <w:tcPr>
            <w:tcW w:w="3118" w:type="dxa"/>
            <w:tcBorders>
              <w:top w:val="single" w:sz="4" w:space="0" w:color="C2D9BA"/>
              <w:bottom w:val="single" w:sz="4" w:space="0" w:color="C2D9BA"/>
            </w:tcBorders>
            <w:shd w:val="clear" w:color="auto" w:fill="auto"/>
          </w:tcPr>
          <w:p w14:paraId="337E1DBE" w14:textId="77777777" w:rsidR="00991179" w:rsidRPr="00E444B3" w:rsidRDefault="00991179" w:rsidP="00991179">
            <w:pPr>
              <w:pStyle w:val="TableText"/>
            </w:pPr>
            <w:r w:rsidRPr="00E444B3">
              <w:t>Yes</w:t>
            </w:r>
          </w:p>
        </w:tc>
      </w:tr>
      <w:tr w:rsidR="00991179" w14:paraId="5D7FD8CA" w14:textId="77777777" w:rsidTr="00051722">
        <w:trPr>
          <w:cantSplit/>
        </w:trPr>
        <w:tc>
          <w:tcPr>
            <w:tcW w:w="1843" w:type="dxa"/>
            <w:tcBorders>
              <w:top w:val="single" w:sz="4" w:space="0" w:color="C2D9BA"/>
              <w:bottom w:val="single" w:sz="4" w:space="0" w:color="C2D9BA"/>
            </w:tcBorders>
            <w:shd w:val="clear" w:color="auto" w:fill="auto"/>
          </w:tcPr>
          <w:p w14:paraId="45607AC3" w14:textId="77777777" w:rsidR="00991179" w:rsidRPr="00E444B3" w:rsidRDefault="00991179" w:rsidP="000861AF">
            <w:pPr>
              <w:pStyle w:val="TableText"/>
            </w:pPr>
            <w:r w:rsidRPr="00E444B3">
              <w:t>Daunorubicin</w:t>
            </w:r>
          </w:p>
        </w:tc>
        <w:tc>
          <w:tcPr>
            <w:tcW w:w="3119" w:type="dxa"/>
            <w:tcBorders>
              <w:top w:val="single" w:sz="4" w:space="0" w:color="C2D9BA"/>
              <w:bottom w:val="single" w:sz="4" w:space="0" w:color="C2D9BA"/>
            </w:tcBorders>
            <w:shd w:val="clear" w:color="auto" w:fill="auto"/>
            <w:vAlign w:val="bottom"/>
          </w:tcPr>
          <w:p w14:paraId="215267E7" w14:textId="77777777" w:rsidR="00991179" w:rsidRPr="00E444B3" w:rsidRDefault="00991179" w:rsidP="00991179">
            <w:pPr>
              <w:pStyle w:val="TableText"/>
            </w:pPr>
            <w:r w:rsidRPr="00E444B3">
              <w:t>Acute myeloid leukaemia with recurrent genetic abnormalities</w:t>
            </w:r>
          </w:p>
        </w:tc>
        <w:tc>
          <w:tcPr>
            <w:tcW w:w="3118" w:type="dxa"/>
            <w:tcBorders>
              <w:top w:val="single" w:sz="4" w:space="0" w:color="C2D9BA"/>
              <w:bottom w:val="single" w:sz="4" w:space="0" w:color="C2D9BA"/>
            </w:tcBorders>
            <w:shd w:val="clear" w:color="auto" w:fill="auto"/>
          </w:tcPr>
          <w:p w14:paraId="7168D352" w14:textId="77777777" w:rsidR="00991179" w:rsidRPr="00E444B3" w:rsidRDefault="00991179" w:rsidP="00991179">
            <w:pPr>
              <w:pStyle w:val="TableText"/>
            </w:pPr>
            <w:r w:rsidRPr="00E444B3">
              <w:t>Yes</w:t>
            </w:r>
          </w:p>
        </w:tc>
      </w:tr>
      <w:tr w:rsidR="00991179" w14:paraId="018E83E2" w14:textId="77777777" w:rsidTr="00051722">
        <w:trPr>
          <w:cantSplit/>
        </w:trPr>
        <w:tc>
          <w:tcPr>
            <w:tcW w:w="1843" w:type="dxa"/>
            <w:tcBorders>
              <w:top w:val="single" w:sz="4" w:space="0" w:color="C2D9BA"/>
              <w:bottom w:val="single" w:sz="4" w:space="0" w:color="C2D9BA"/>
            </w:tcBorders>
            <w:shd w:val="clear" w:color="auto" w:fill="auto"/>
          </w:tcPr>
          <w:p w14:paraId="0CAC9BB9" w14:textId="77777777" w:rsidR="00991179" w:rsidRPr="00E444B3" w:rsidRDefault="00991179" w:rsidP="000861AF">
            <w:pPr>
              <w:pStyle w:val="TableText"/>
            </w:pPr>
            <w:r w:rsidRPr="00E444B3">
              <w:t>Daunorubicin</w:t>
            </w:r>
          </w:p>
        </w:tc>
        <w:tc>
          <w:tcPr>
            <w:tcW w:w="3119" w:type="dxa"/>
            <w:tcBorders>
              <w:top w:val="single" w:sz="4" w:space="0" w:color="C2D9BA"/>
              <w:bottom w:val="single" w:sz="4" w:space="0" w:color="C2D9BA"/>
            </w:tcBorders>
            <w:shd w:val="clear" w:color="auto" w:fill="auto"/>
            <w:vAlign w:val="bottom"/>
          </w:tcPr>
          <w:p w14:paraId="54DEAF9E"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7E042F10" w14:textId="77777777" w:rsidR="00991179" w:rsidRPr="00E444B3" w:rsidRDefault="00991179" w:rsidP="00991179">
            <w:pPr>
              <w:pStyle w:val="TableText"/>
            </w:pPr>
            <w:r w:rsidRPr="00E444B3">
              <w:t>Yes</w:t>
            </w:r>
          </w:p>
        </w:tc>
      </w:tr>
      <w:tr w:rsidR="00991179" w14:paraId="7DA77FAD" w14:textId="77777777" w:rsidTr="00051722">
        <w:trPr>
          <w:cantSplit/>
        </w:trPr>
        <w:tc>
          <w:tcPr>
            <w:tcW w:w="1843" w:type="dxa"/>
            <w:tcBorders>
              <w:top w:val="single" w:sz="4" w:space="0" w:color="C2D9BA"/>
              <w:bottom w:val="single" w:sz="4" w:space="0" w:color="C2D9BA"/>
            </w:tcBorders>
            <w:shd w:val="clear" w:color="auto" w:fill="auto"/>
          </w:tcPr>
          <w:p w14:paraId="53662D5F" w14:textId="77777777" w:rsidR="00991179" w:rsidRPr="00E444B3" w:rsidRDefault="00991179" w:rsidP="000861AF">
            <w:pPr>
              <w:pStyle w:val="TableText"/>
            </w:pPr>
            <w:r w:rsidRPr="00E444B3">
              <w:t>Daunorubicin</w:t>
            </w:r>
          </w:p>
        </w:tc>
        <w:tc>
          <w:tcPr>
            <w:tcW w:w="3119" w:type="dxa"/>
            <w:tcBorders>
              <w:top w:val="single" w:sz="4" w:space="0" w:color="C2D9BA"/>
              <w:bottom w:val="single" w:sz="4" w:space="0" w:color="C2D9BA"/>
            </w:tcBorders>
            <w:shd w:val="clear" w:color="auto" w:fill="auto"/>
            <w:vAlign w:val="bottom"/>
          </w:tcPr>
          <w:p w14:paraId="11E77F2A" w14:textId="77777777" w:rsidR="00991179" w:rsidRPr="00E444B3" w:rsidRDefault="00991179" w:rsidP="00991179">
            <w:pPr>
              <w:pStyle w:val="TableText"/>
            </w:pPr>
            <w:r w:rsidRPr="00E444B3">
              <w:t>Myeloid leukaemia</w:t>
            </w:r>
          </w:p>
        </w:tc>
        <w:tc>
          <w:tcPr>
            <w:tcW w:w="3118" w:type="dxa"/>
            <w:tcBorders>
              <w:top w:val="single" w:sz="4" w:space="0" w:color="C2D9BA"/>
              <w:bottom w:val="single" w:sz="4" w:space="0" w:color="C2D9BA"/>
            </w:tcBorders>
            <w:shd w:val="clear" w:color="auto" w:fill="auto"/>
          </w:tcPr>
          <w:p w14:paraId="7906318A" w14:textId="77777777" w:rsidR="00991179" w:rsidRPr="00E444B3" w:rsidRDefault="00991179" w:rsidP="00991179">
            <w:pPr>
              <w:pStyle w:val="TableText"/>
            </w:pPr>
            <w:r w:rsidRPr="00E444B3">
              <w:t>Yes</w:t>
            </w:r>
          </w:p>
        </w:tc>
      </w:tr>
      <w:tr w:rsidR="00991179" w14:paraId="30731F68" w14:textId="77777777" w:rsidTr="00051722">
        <w:trPr>
          <w:cantSplit/>
        </w:trPr>
        <w:tc>
          <w:tcPr>
            <w:tcW w:w="1843" w:type="dxa"/>
            <w:tcBorders>
              <w:top w:val="single" w:sz="4" w:space="0" w:color="C2D9BA"/>
              <w:bottom w:val="single" w:sz="4" w:space="0" w:color="C2D9BA"/>
            </w:tcBorders>
            <w:shd w:val="clear" w:color="auto" w:fill="auto"/>
          </w:tcPr>
          <w:p w14:paraId="1DDA1C7E" w14:textId="77777777" w:rsidR="00991179" w:rsidRPr="00E444B3" w:rsidRDefault="00991179" w:rsidP="000861AF">
            <w:pPr>
              <w:pStyle w:val="TableText"/>
            </w:pPr>
            <w:r w:rsidRPr="00E444B3">
              <w:t>Docetaxel</w:t>
            </w:r>
          </w:p>
        </w:tc>
        <w:tc>
          <w:tcPr>
            <w:tcW w:w="3119" w:type="dxa"/>
            <w:tcBorders>
              <w:top w:val="single" w:sz="4" w:space="0" w:color="C2D9BA"/>
              <w:bottom w:val="single" w:sz="4" w:space="0" w:color="C2D9BA"/>
            </w:tcBorders>
            <w:shd w:val="clear" w:color="auto" w:fill="auto"/>
            <w:vAlign w:val="bottom"/>
          </w:tcPr>
          <w:p w14:paraId="5383BF00" w14:textId="77777777" w:rsidR="00991179" w:rsidRPr="00E444B3" w:rsidRDefault="00991179" w:rsidP="00991179">
            <w:pPr>
              <w:pStyle w:val="TableText"/>
            </w:pPr>
            <w:r w:rsidRPr="00E444B3">
              <w:t>Malignant neoplasms of prostate</w:t>
            </w:r>
          </w:p>
        </w:tc>
        <w:tc>
          <w:tcPr>
            <w:tcW w:w="3118" w:type="dxa"/>
            <w:tcBorders>
              <w:top w:val="single" w:sz="4" w:space="0" w:color="C2D9BA"/>
              <w:bottom w:val="single" w:sz="4" w:space="0" w:color="C2D9BA"/>
            </w:tcBorders>
            <w:shd w:val="clear" w:color="auto" w:fill="auto"/>
          </w:tcPr>
          <w:p w14:paraId="004349CE" w14:textId="77777777" w:rsidR="00991179" w:rsidRPr="00E444B3" w:rsidRDefault="00991179" w:rsidP="00991179">
            <w:pPr>
              <w:pStyle w:val="TableText"/>
            </w:pPr>
            <w:r w:rsidRPr="00E444B3">
              <w:t>Yes</w:t>
            </w:r>
          </w:p>
        </w:tc>
      </w:tr>
      <w:tr w:rsidR="00991179" w14:paraId="0F55CDDF" w14:textId="77777777" w:rsidTr="00051722">
        <w:trPr>
          <w:cantSplit/>
        </w:trPr>
        <w:tc>
          <w:tcPr>
            <w:tcW w:w="1843" w:type="dxa"/>
            <w:tcBorders>
              <w:top w:val="single" w:sz="4" w:space="0" w:color="C2D9BA"/>
              <w:bottom w:val="single" w:sz="4" w:space="0" w:color="C2D9BA"/>
            </w:tcBorders>
            <w:shd w:val="clear" w:color="auto" w:fill="auto"/>
          </w:tcPr>
          <w:p w14:paraId="4B889BC5" w14:textId="77777777" w:rsidR="00991179" w:rsidRPr="00E444B3" w:rsidRDefault="00991179" w:rsidP="000861AF">
            <w:pPr>
              <w:pStyle w:val="TableText"/>
            </w:pPr>
            <w:r w:rsidRPr="00E444B3">
              <w:t>Docetaxel</w:t>
            </w:r>
          </w:p>
        </w:tc>
        <w:tc>
          <w:tcPr>
            <w:tcW w:w="3119" w:type="dxa"/>
            <w:tcBorders>
              <w:top w:val="single" w:sz="4" w:space="0" w:color="C2D9BA"/>
              <w:bottom w:val="single" w:sz="4" w:space="0" w:color="C2D9BA"/>
            </w:tcBorders>
            <w:shd w:val="clear" w:color="auto" w:fill="auto"/>
            <w:vAlign w:val="bottom"/>
          </w:tcPr>
          <w:p w14:paraId="52CCA543"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0FECED3C" w14:textId="77777777" w:rsidR="00991179" w:rsidRPr="00E444B3" w:rsidRDefault="00991179" w:rsidP="00991179">
            <w:pPr>
              <w:pStyle w:val="TableText"/>
            </w:pPr>
            <w:r w:rsidRPr="00E444B3">
              <w:t>Yes</w:t>
            </w:r>
          </w:p>
        </w:tc>
      </w:tr>
      <w:tr w:rsidR="00991179" w14:paraId="63A8FD8E" w14:textId="77777777" w:rsidTr="00051722">
        <w:trPr>
          <w:cantSplit/>
        </w:trPr>
        <w:tc>
          <w:tcPr>
            <w:tcW w:w="1843" w:type="dxa"/>
            <w:tcBorders>
              <w:top w:val="single" w:sz="4" w:space="0" w:color="C2D9BA"/>
              <w:bottom w:val="single" w:sz="4" w:space="0" w:color="C2D9BA"/>
            </w:tcBorders>
            <w:shd w:val="clear" w:color="auto" w:fill="auto"/>
          </w:tcPr>
          <w:p w14:paraId="69C7AAE4" w14:textId="77777777" w:rsidR="00991179" w:rsidRPr="00E444B3" w:rsidRDefault="00991179" w:rsidP="000861AF">
            <w:pPr>
              <w:pStyle w:val="TableText"/>
            </w:pPr>
            <w:r w:rsidRPr="00E444B3">
              <w:t>Docetaxel</w:t>
            </w:r>
          </w:p>
        </w:tc>
        <w:tc>
          <w:tcPr>
            <w:tcW w:w="3119" w:type="dxa"/>
            <w:tcBorders>
              <w:top w:val="single" w:sz="4" w:space="0" w:color="C2D9BA"/>
              <w:bottom w:val="single" w:sz="4" w:space="0" w:color="C2D9BA"/>
            </w:tcBorders>
            <w:shd w:val="clear" w:color="auto" w:fill="auto"/>
            <w:vAlign w:val="bottom"/>
          </w:tcPr>
          <w:p w14:paraId="2BF3E697"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46E1E8B3" w14:textId="77777777" w:rsidR="00991179" w:rsidRPr="00E444B3" w:rsidRDefault="00991179" w:rsidP="00991179">
            <w:pPr>
              <w:pStyle w:val="TableText"/>
            </w:pPr>
            <w:r w:rsidRPr="00E444B3">
              <w:t>Yes</w:t>
            </w:r>
          </w:p>
        </w:tc>
      </w:tr>
      <w:tr w:rsidR="00991179" w14:paraId="536B20BE" w14:textId="77777777" w:rsidTr="00051722">
        <w:trPr>
          <w:cantSplit/>
        </w:trPr>
        <w:tc>
          <w:tcPr>
            <w:tcW w:w="1843" w:type="dxa"/>
            <w:tcBorders>
              <w:top w:val="single" w:sz="4" w:space="0" w:color="C2D9BA"/>
              <w:bottom w:val="single" w:sz="4" w:space="0" w:color="C2D9BA"/>
            </w:tcBorders>
            <w:shd w:val="clear" w:color="auto" w:fill="auto"/>
          </w:tcPr>
          <w:p w14:paraId="65142B51"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51CEB07F"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0155CB76" w14:textId="77777777" w:rsidR="00991179" w:rsidRPr="00E444B3" w:rsidRDefault="00991179" w:rsidP="00991179">
            <w:pPr>
              <w:pStyle w:val="TableText"/>
            </w:pPr>
            <w:r w:rsidRPr="00E444B3">
              <w:t>Yes</w:t>
            </w:r>
          </w:p>
        </w:tc>
      </w:tr>
      <w:tr w:rsidR="00991179" w14:paraId="1F437DDD" w14:textId="77777777" w:rsidTr="00051722">
        <w:trPr>
          <w:cantSplit/>
        </w:trPr>
        <w:tc>
          <w:tcPr>
            <w:tcW w:w="1843" w:type="dxa"/>
            <w:tcBorders>
              <w:top w:val="single" w:sz="4" w:space="0" w:color="C2D9BA"/>
              <w:bottom w:val="single" w:sz="4" w:space="0" w:color="C2D9BA"/>
            </w:tcBorders>
            <w:shd w:val="clear" w:color="auto" w:fill="auto"/>
          </w:tcPr>
          <w:p w14:paraId="4FD3FFAD"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13046F4F" w14:textId="77777777" w:rsidR="00991179" w:rsidRPr="00E444B3" w:rsidRDefault="00991179" w:rsidP="00991179">
            <w:pPr>
              <w:pStyle w:val="TableText"/>
            </w:pPr>
            <w:r w:rsidRPr="00E444B3">
              <w:t>Hodgkin lymphoma</w:t>
            </w:r>
          </w:p>
        </w:tc>
        <w:tc>
          <w:tcPr>
            <w:tcW w:w="3118" w:type="dxa"/>
            <w:tcBorders>
              <w:top w:val="single" w:sz="4" w:space="0" w:color="C2D9BA"/>
              <w:bottom w:val="single" w:sz="4" w:space="0" w:color="C2D9BA"/>
            </w:tcBorders>
            <w:shd w:val="clear" w:color="auto" w:fill="auto"/>
          </w:tcPr>
          <w:p w14:paraId="2C2EECE9" w14:textId="77777777" w:rsidR="00991179" w:rsidRPr="00E444B3" w:rsidRDefault="00991179" w:rsidP="00991179">
            <w:pPr>
              <w:pStyle w:val="TableText"/>
            </w:pPr>
            <w:r w:rsidRPr="00E444B3">
              <w:t>Yes</w:t>
            </w:r>
          </w:p>
        </w:tc>
      </w:tr>
      <w:tr w:rsidR="00991179" w14:paraId="54AA65D5" w14:textId="77777777" w:rsidTr="00051722">
        <w:trPr>
          <w:cantSplit/>
        </w:trPr>
        <w:tc>
          <w:tcPr>
            <w:tcW w:w="1843" w:type="dxa"/>
            <w:tcBorders>
              <w:top w:val="single" w:sz="4" w:space="0" w:color="C2D9BA"/>
              <w:bottom w:val="single" w:sz="4" w:space="0" w:color="C2D9BA"/>
            </w:tcBorders>
            <w:shd w:val="clear" w:color="auto" w:fill="auto"/>
          </w:tcPr>
          <w:p w14:paraId="7B404B3E"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6C93800F"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71A4A713" w14:textId="77777777" w:rsidR="00991179" w:rsidRPr="00E444B3" w:rsidRDefault="00991179" w:rsidP="00991179">
            <w:pPr>
              <w:pStyle w:val="TableText"/>
            </w:pPr>
            <w:r w:rsidRPr="00E444B3">
              <w:t>Yes</w:t>
            </w:r>
          </w:p>
        </w:tc>
      </w:tr>
      <w:tr w:rsidR="00991179" w14:paraId="010974E0" w14:textId="77777777" w:rsidTr="00051722">
        <w:trPr>
          <w:cantSplit/>
        </w:trPr>
        <w:tc>
          <w:tcPr>
            <w:tcW w:w="1843" w:type="dxa"/>
            <w:tcBorders>
              <w:top w:val="single" w:sz="4" w:space="0" w:color="C2D9BA"/>
              <w:bottom w:val="single" w:sz="4" w:space="0" w:color="C2D9BA"/>
            </w:tcBorders>
            <w:shd w:val="clear" w:color="auto" w:fill="auto"/>
          </w:tcPr>
          <w:p w14:paraId="281185CE"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4346F91E" w14:textId="77777777" w:rsidR="00991179" w:rsidRPr="00E444B3" w:rsidRDefault="00991179" w:rsidP="00991179">
            <w:pPr>
              <w:pStyle w:val="TableText"/>
            </w:pPr>
            <w:r w:rsidRPr="00E444B3">
              <w:t>Burkitt lymphoma including Burkitt leukaemia</w:t>
            </w:r>
          </w:p>
        </w:tc>
        <w:tc>
          <w:tcPr>
            <w:tcW w:w="3118" w:type="dxa"/>
            <w:tcBorders>
              <w:top w:val="single" w:sz="4" w:space="0" w:color="C2D9BA"/>
              <w:bottom w:val="single" w:sz="4" w:space="0" w:color="C2D9BA"/>
            </w:tcBorders>
            <w:shd w:val="clear" w:color="auto" w:fill="auto"/>
          </w:tcPr>
          <w:p w14:paraId="14CFC01A" w14:textId="77777777" w:rsidR="00991179" w:rsidRPr="00E444B3" w:rsidRDefault="00991179" w:rsidP="00991179">
            <w:pPr>
              <w:pStyle w:val="TableText"/>
            </w:pPr>
            <w:r w:rsidRPr="00E444B3">
              <w:t>Yes</w:t>
            </w:r>
          </w:p>
        </w:tc>
      </w:tr>
      <w:tr w:rsidR="00991179" w14:paraId="194E7439" w14:textId="77777777" w:rsidTr="00051722">
        <w:trPr>
          <w:cantSplit/>
        </w:trPr>
        <w:tc>
          <w:tcPr>
            <w:tcW w:w="1843" w:type="dxa"/>
            <w:tcBorders>
              <w:top w:val="single" w:sz="4" w:space="0" w:color="C2D9BA"/>
              <w:bottom w:val="single" w:sz="4" w:space="0" w:color="C2D9BA"/>
            </w:tcBorders>
            <w:shd w:val="clear" w:color="auto" w:fill="auto"/>
          </w:tcPr>
          <w:p w14:paraId="62D5572A"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2D7DE364" w14:textId="77777777" w:rsidR="00991179" w:rsidRPr="00E444B3" w:rsidRDefault="00991179" w:rsidP="00991179">
            <w:pPr>
              <w:pStyle w:val="TableText"/>
            </w:pPr>
            <w:r w:rsidRPr="00E444B3">
              <w:t>Malignant neoplasms of kidney, except renal pelvis</w:t>
            </w:r>
          </w:p>
        </w:tc>
        <w:tc>
          <w:tcPr>
            <w:tcW w:w="3118" w:type="dxa"/>
            <w:tcBorders>
              <w:top w:val="single" w:sz="4" w:space="0" w:color="C2D9BA"/>
              <w:bottom w:val="single" w:sz="4" w:space="0" w:color="C2D9BA"/>
            </w:tcBorders>
            <w:shd w:val="clear" w:color="auto" w:fill="auto"/>
          </w:tcPr>
          <w:p w14:paraId="51893F4E" w14:textId="77777777" w:rsidR="00991179" w:rsidRPr="00E444B3" w:rsidRDefault="00991179" w:rsidP="00991179">
            <w:pPr>
              <w:pStyle w:val="TableText"/>
            </w:pPr>
            <w:r w:rsidRPr="00E444B3">
              <w:t>Yes</w:t>
            </w:r>
          </w:p>
        </w:tc>
      </w:tr>
      <w:tr w:rsidR="00991179" w14:paraId="3A7A8011" w14:textId="77777777" w:rsidTr="00051722">
        <w:trPr>
          <w:cantSplit/>
        </w:trPr>
        <w:tc>
          <w:tcPr>
            <w:tcW w:w="1843" w:type="dxa"/>
            <w:tcBorders>
              <w:top w:val="single" w:sz="4" w:space="0" w:color="C2D9BA"/>
              <w:bottom w:val="single" w:sz="4" w:space="0" w:color="C2D9BA"/>
            </w:tcBorders>
            <w:shd w:val="clear" w:color="auto" w:fill="auto"/>
          </w:tcPr>
          <w:p w14:paraId="71CD5CDC"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6E705FED" w14:textId="77777777" w:rsidR="00991179" w:rsidRPr="00E444B3" w:rsidRDefault="00991179" w:rsidP="00991179">
            <w:pPr>
              <w:pStyle w:val="TableText"/>
            </w:pPr>
            <w:r w:rsidRPr="00E444B3">
              <w:t>Ewing sarcoma of bone and articular cartilage of unspecified sites</w:t>
            </w:r>
          </w:p>
        </w:tc>
        <w:tc>
          <w:tcPr>
            <w:tcW w:w="3118" w:type="dxa"/>
            <w:tcBorders>
              <w:top w:val="single" w:sz="4" w:space="0" w:color="C2D9BA"/>
              <w:bottom w:val="single" w:sz="4" w:space="0" w:color="C2D9BA"/>
            </w:tcBorders>
            <w:shd w:val="clear" w:color="auto" w:fill="auto"/>
          </w:tcPr>
          <w:p w14:paraId="681CF89D" w14:textId="77777777" w:rsidR="00991179" w:rsidRPr="00E444B3" w:rsidRDefault="00991179" w:rsidP="00991179">
            <w:pPr>
              <w:pStyle w:val="TableText"/>
            </w:pPr>
            <w:r w:rsidRPr="00E444B3">
              <w:t>Yes</w:t>
            </w:r>
          </w:p>
        </w:tc>
      </w:tr>
      <w:tr w:rsidR="00991179" w14:paraId="2D43E0FF" w14:textId="77777777" w:rsidTr="00051722">
        <w:trPr>
          <w:cantSplit/>
        </w:trPr>
        <w:tc>
          <w:tcPr>
            <w:tcW w:w="1843" w:type="dxa"/>
            <w:tcBorders>
              <w:top w:val="single" w:sz="4" w:space="0" w:color="C2D9BA"/>
              <w:bottom w:val="single" w:sz="4" w:space="0" w:color="C2D9BA"/>
            </w:tcBorders>
            <w:shd w:val="clear" w:color="auto" w:fill="auto"/>
          </w:tcPr>
          <w:p w14:paraId="088FEEA3"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14C28A41" w14:textId="77777777" w:rsidR="00991179" w:rsidRPr="00E444B3" w:rsidRDefault="00991179" w:rsidP="00991179">
            <w:pPr>
              <w:pStyle w:val="TableText"/>
            </w:pPr>
            <w:r w:rsidRPr="00E444B3">
              <w:t>Follicular lymphoma</w:t>
            </w:r>
          </w:p>
        </w:tc>
        <w:tc>
          <w:tcPr>
            <w:tcW w:w="3118" w:type="dxa"/>
            <w:tcBorders>
              <w:top w:val="single" w:sz="4" w:space="0" w:color="C2D9BA"/>
              <w:bottom w:val="single" w:sz="4" w:space="0" w:color="C2D9BA"/>
            </w:tcBorders>
            <w:shd w:val="clear" w:color="auto" w:fill="auto"/>
          </w:tcPr>
          <w:p w14:paraId="063EAB72" w14:textId="77777777" w:rsidR="00991179" w:rsidRPr="00E444B3" w:rsidRDefault="00991179" w:rsidP="00991179">
            <w:pPr>
              <w:pStyle w:val="TableText"/>
            </w:pPr>
            <w:r w:rsidRPr="00E444B3">
              <w:t>Yes</w:t>
            </w:r>
          </w:p>
        </w:tc>
      </w:tr>
      <w:tr w:rsidR="00991179" w14:paraId="53C3F5E4" w14:textId="77777777" w:rsidTr="00051722">
        <w:trPr>
          <w:cantSplit/>
        </w:trPr>
        <w:tc>
          <w:tcPr>
            <w:tcW w:w="1843" w:type="dxa"/>
            <w:tcBorders>
              <w:top w:val="single" w:sz="4" w:space="0" w:color="C2D9BA"/>
              <w:bottom w:val="single" w:sz="4" w:space="0" w:color="C2D9BA"/>
            </w:tcBorders>
            <w:shd w:val="clear" w:color="auto" w:fill="auto"/>
          </w:tcPr>
          <w:p w14:paraId="201B7366"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5826E4F3" w14:textId="77777777" w:rsidR="00991179" w:rsidRPr="00E444B3" w:rsidRDefault="00991179" w:rsidP="00991179">
            <w:pPr>
              <w:pStyle w:val="TableText"/>
            </w:pPr>
            <w:r w:rsidRPr="00E444B3">
              <w:t>Osteosarcoma of bone and articular cartilage of unspecified sites</w:t>
            </w:r>
          </w:p>
        </w:tc>
        <w:tc>
          <w:tcPr>
            <w:tcW w:w="3118" w:type="dxa"/>
            <w:tcBorders>
              <w:top w:val="single" w:sz="4" w:space="0" w:color="C2D9BA"/>
              <w:bottom w:val="single" w:sz="4" w:space="0" w:color="C2D9BA"/>
            </w:tcBorders>
            <w:shd w:val="clear" w:color="auto" w:fill="auto"/>
          </w:tcPr>
          <w:p w14:paraId="672A1066" w14:textId="77777777" w:rsidR="00991179" w:rsidRPr="00E444B3" w:rsidRDefault="00991179" w:rsidP="00991179">
            <w:pPr>
              <w:pStyle w:val="TableText"/>
            </w:pPr>
            <w:r w:rsidRPr="00E444B3">
              <w:t>Yes</w:t>
            </w:r>
          </w:p>
        </w:tc>
      </w:tr>
      <w:tr w:rsidR="00991179" w14:paraId="2A49656B" w14:textId="77777777" w:rsidTr="00051722">
        <w:trPr>
          <w:cantSplit/>
        </w:trPr>
        <w:tc>
          <w:tcPr>
            <w:tcW w:w="1843" w:type="dxa"/>
            <w:tcBorders>
              <w:top w:val="single" w:sz="4" w:space="0" w:color="C2D9BA"/>
              <w:bottom w:val="single" w:sz="4" w:space="0" w:color="C2D9BA"/>
            </w:tcBorders>
            <w:shd w:val="clear" w:color="auto" w:fill="auto"/>
          </w:tcPr>
          <w:p w14:paraId="1FBD07B1"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31DCDF4D"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016F6A30" w14:textId="77777777" w:rsidR="00991179" w:rsidRPr="00E444B3" w:rsidRDefault="00991179" w:rsidP="00991179">
            <w:pPr>
              <w:pStyle w:val="TableText"/>
            </w:pPr>
            <w:r w:rsidRPr="00E444B3">
              <w:t>Yes</w:t>
            </w:r>
          </w:p>
        </w:tc>
      </w:tr>
      <w:tr w:rsidR="00991179" w14:paraId="0B929483" w14:textId="77777777" w:rsidTr="00051722">
        <w:trPr>
          <w:cantSplit/>
        </w:trPr>
        <w:tc>
          <w:tcPr>
            <w:tcW w:w="1843" w:type="dxa"/>
            <w:tcBorders>
              <w:top w:val="single" w:sz="4" w:space="0" w:color="C2D9BA"/>
              <w:bottom w:val="single" w:sz="4" w:space="0" w:color="C2D9BA"/>
            </w:tcBorders>
            <w:shd w:val="clear" w:color="auto" w:fill="auto"/>
          </w:tcPr>
          <w:p w14:paraId="5CC47344" w14:textId="77777777" w:rsidR="00991179" w:rsidRPr="00E444B3" w:rsidRDefault="00991179" w:rsidP="00051722">
            <w:pPr>
              <w:pStyle w:val="TableText"/>
              <w:keepNext/>
            </w:pPr>
            <w:r w:rsidRPr="00E444B3">
              <w:lastRenderedPageBreak/>
              <w:t>Doxorubicin</w:t>
            </w:r>
          </w:p>
        </w:tc>
        <w:tc>
          <w:tcPr>
            <w:tcW w:w="3119" w:type="dxa"/>
            <w:tcBorders>
              <w:top w:val="single" w:sz="4" w:space="0" w:color="C2D9BA"/>
              <w:bottom w:val="single" w:sz="4" w:space="0" w:color="C2D9BA"/>
            </w:tcBorders>
            <w:shd w:val="clear" w:color="auto" w:fill="auto"/>
            <w:vAlign w:val="bottom"/>
          </w:tcPr>
          <w:p w14:paraId="7786E249" w14:textId="77777777" w:rsidR="00991179" w:rsidRPr="00E444B3" w:rsidRDefault="00991179" w:rsidP="00051722">
            <w:pPr>
              <w:pStyle w:val="TableText"/>
              <w:keepNext/>
            </w:pPr>
            <w:r w:rsidRPr="00E444B3">
              <w:t>Plasma cell myeloma</w:t>
            </w:r>
          </w:p>
        </w:tc>
        <w:tc>
          <w:tcPr>
            <w:tcW w:w="3118" w:type="dxa"/>
            <w:tcBorders>
              <w:top w:val="single" w:sz="4" w:space="0" w:color="C2D9BA"/>
              <w:bottom w:val="single" w:sz="4" w:space="0" w:color="C2D9BA"/>
            </w:tcBorders>
            <w:shd w:val="clear" w:color="auto" w:fill="auto"/>
          </w:tcPr>
          <w:p w14:paraId="0CA4064E" w14:textId="77777777" w:rsidR="00991179" w:rsidRPr="00E444B3" w:rsidRDefault="00991179" w:rsidP="00051722">
            <w:pPr>
              <w:pStyle w:val="TableText"/>
              <w:keepNext/>
            </w:pPr>
            <w:r w:rsidRPr="00E444B3">
              <w:t>Yes</w:t>
            </w:r>
          </w:p>
        </w:tc>
      </w:tr>
      <w:tr w:rsidR="00991179" w14:paraId="1C4652CC" w14:textId="77777777" w:rsidTr="00051722">
        <w:trPr>
          <w:cantSplit/>
        </w:trPr>
        <w:tc>
          <w:tcPr>
            <w:tcW w:w="1843" w:type="dxa"/>
            <w:tcBorders>
              <w:top w:val="single" w:sz="4" w:space="0" w:color="C2D9BA"/>
              <w:bottom w:val="single" w:sz="4" w:space="0" w:color="C2D9BA"/>
            </w:tcBorders>
            <w:shd w:val="clear" w:color="auto" w:fill="auto"/>
          </w:tcPr>
          <w:p w14:paraId="11582595" w14:textId="77777777" w:rsidR="00991179" w:rsidRPr="00E444B3" w:rsidRDefault="00991179" w:rsidP="00051722">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7DA67D3F" w14:textId="77777777" w:rsidR="00991179" w:rsidRPr="00E444B3" w:rsidRDefault="00991179" w:rsidP="00051722">
            <w:pPr>
              <w:pStyle w:val="TableText"/>
            </w:pPr>
            <w:r w:rsidRPr="00E444B3">
              <w:t>Kaposi sarcoma of unspecified primary site</w:t>
            </w:r>
          </w:p>
        </w:tc>
        <w:tc>
          <w:tcPr>
            <w:tcW w:w="3118" w:type="dxa"/>
            <w:tcBorders>
              <w:top w:val="single" w:sz="4" w:space="0" w:color="C2D9BA"/>
              <w:bottom w:val="single" w:sz="4" w:space="0" w:color="C2D9BA"/>
            </w:tcBorders>
            <w:shd w:val="clear" w:color="auto" w:fill="auto"/>
          </w:tcPr>
          <w:p w14:paraId="771FDBF6" w14:textId="77777777" w:rsidR="00991179" w:rsidRPr="00E444B3" w:rsidRDefault="00991179" w:rsidP="00051722">
            <w:pPr>
              <w:pStyle w:val="TableText"/>
            </w:pPr>
            <w:r w:rsidRPr="00E444B3">
              <w:t>Yes</w:t>
            </w:r>
          </w:p>
        </w:tc>
      </w:tr>
      <w:tr w:rsidR="00991179" w14:paraId="31EC992A" w14:textId="77777777" w:rsidTr="00051722">
        <w:trPr>
          <w:cantSplit/>
        </w:trPr>
        <w:tc>
          <w:tcPr>
            <w:tcW w:w="1843" w:type="dxa"/>
            <w:tcBorders>
              <w:top w:val="single" w:sz="4" w:space="0" w:color="C2D9BA"/>
              <w:bottom w:val="single" w:sz="4" w:space="0" w:color="C2D9BA"/>
            </w:tcBorders>
            <w:shd w:val="clear" w:color="auto" w:fill="auto"/>
          </w:tcPr>
          <w:p w14:paraId="50E31B46" w14:textId="77777777" w:rsidR="00991179" w:rsidRPr="00E444B3" w:rsidRDefault="00991179" w:rsidP="000861AF">
            <w:pPr>
              <w:pStyle w:val="TableText"/>
            </w:pPr>
            <w:r w:rsidRPr="00E444B3">
              <w:t>Doxorubicin</w:t>
            </w:r>
          </w:p>
        </w:tc>
        <w:tc>
          <w:tcPr>
            <w:tcW w:w="3119" w:type="dxa"/>
            <w:tcBorders>
              <w:top w:val="single" w:sz="4" w:space="0" w:color="C2D9BA"/>
              <w:bottom w:val="single" w:sz="4" w:space="0" w:color="C2D9BA"/>
            </w:tcBorders>
            <w:shd w:val="clear" w:color="auto" w:fill="auto"/>
            <w:vAlign w:val="bottom"/>
          </w:tcPr>
          <w:p w14:paraId="339A2AFE" w14:textId="77777777" w:rsidR="00991179" w:rsidRPr="00E444B3" w:rsidRDefault="00991179" w:rsidP="00991179">
            <w:pPr>
              <w:pStyle w:val="TableText"/>
            </w:pPr>
            <w:r w:rsidRPr="00E444B3">
              <w:t>Diffuse large B-cell lymphomas</w:t>
            </w:r>
          </w:p>
        </w:tc>
        <w:tc>
          <w:tcPr>
            <w:tcW w:w="3118" w:type="dxa"/>
            <w:tcBorders>
              <w:top w:val="single" w:sz="4" w:space="0" w:color="C2D9BA"/>
              <w:bottom w:val="single" w:sz="4" w:space="0" w:color="C2D9BA"/>
            </w:tcBorders>
            <w:shd w:val="clear" w:color="auto" w:fill="auto"/>
          </w:tcPr>
          <w:p w14:paraId="3C700E97" w14:textId="77777777" w:rsidR="00991179" w:rsidRPr="00E444B3" w:rsidRDefault="00991179" w:rsidP="00991179">
            <w:pPr>
              <w:pStyle w:val="TableText"/>
            </w:pPr>
            <w:r w:rsidRPr="00E444B3">
              <w:t>Yes</w:t>
            </w:r>
          </w:p>
        </w:tc>
      </w:tr>
      <w:tr w:rsidR="00991179" w14:paraId="1CED1EB8" w14:textId="77777777" w:rsidTr="00051722">
        <w:trPr>
          <w:cantSplit/>
        </w:trPr>
        <w:tc>
          <w:tcPr>
            <w:tcW w:w="1843" w:type="dxa"/>
            <w:tcBorders>
              <w:top w:val="single" w:sz="4" w:space="0" w:color="C2D9BA"/>
              <w:bottom w:val="single" w:sz="4" w:space="0" w:color="C2D9BA"/>
            </w:tcBorders>
            <w:shd w:val="clear" w:color="auto" w:fill="auto"/>
          </w:tcPr>
          <w:p w14:paraId="5CBC9FB8" w14:textId="77777777" w:rsidR="00991179" w:rsidRPr="00E444B3" w:rsidRDefault="00991179" w:rsidP="000861AF">
            <w:pPr>
              <w:pStyle w:val="TableText"/>
            </w:pPr>
            <w:r w:rsidRPr="00E444B3">
              <w:t>Erlotinib</w:t>
            </w:r>
          </w:p>
        </w:tc>
        <w:tc>
          <w:tcPr>
            <w:tcW w:w="3119" w:type="dxa"/>
            <w:tcBorders>
              <w:top w:val="single" w:sz="4" w:space="0" w:color="C2D9BA"/>
              <w:bottom w:val="single" w:sz="4" w:space="0" w:color="C2D9BA"/>
            </w:tcBorders>
            <w:shd w:val="clear" w:color="auto" w:fill="auto"/>
            <w:vAlign w:val="bottom"/>
          </w:tcPr>
          <w:p w14:paraId="4B485047"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303C85FE" w14:textId="77777777" w:rsidR="00991179" w:rsidRPr="00E444B3" w:rsidRDefault="00991179" w:rsidP="00991179">
            <w:pPr>
              <w:pStyle w:val="TableText"/>
            </w:pPr>
            <w:r w:rsidRPr="00E444B3">
              <w:t>Yes</w:t>
            </w:r>
          </w:p>
        </w:tc>
      </w:tr>
      <w:tr w:rsidR="00991179" w14:paraId="0ACB6387" w14:textId="77777777" w:rsidTr="00051722">
        <w:trPr>
          <w:cantSplit/>
        </w:trPr>
        <w:tc>
          <w:tcPr>
            <w:tcW w:w="1843" w:type="dxa"/>
            <w:tcBorders>
              <w:top w:val="single" w:sz="4" w:space="0" w:color="C2D9BA"/>
              <w:bottom w:val="single" w:sz="4" w:space="0" w:color="C2D9BA"/>
            </w:tcBorders>
            <w:shd w:val="clear" w:color="auto" w:fill="auto"/>
          </w:tcPr>
          <w:p w14:paraId="4FC02A39"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1A209B16"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6FEA4E51" w14:textId="77777777" w:rsidR="00991179" w:rsidRPr="00E444B3" w:rsidRDefault="00991179" w:rsidP="00991179">
            <w:pPr>
              <w:pStyle w:val="TableText"/>
            </w:pPr>
            <w:r w:rsidRPr="00E444B3">
              <w:t>Yes</w:t>
            </w:r>
          </w:p>
        </w:tc>
      </w:tr>
      <w:tr w:rsidR="00991179" w14:paraId="47AA3449" w14:textId="77777777" w:rsidTr="00051722">
        <w:trPr>
          <w:cantSplit/>
        </w:trPr>
        <w:tc>
          <w:tcPr>
            <w:tcW w:w="1843" w:type="dxa"/>
            <w:tcBorders>
              <w:top w:val="single" w:sz="4" w:space="0" w:color="C2D9BA"/>
              <w:bottom w:val="single" w:sz="4" w:space="0" w:color="C2D9BA"/>
            </w:tcBorders>
            <w:shd w:val="clear" w:color="auto" w:fill="auto"/>
          </w:tcPr>
          <w:p w14:paraId="37B5ED50"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595DE38A" w14:textId="77777777" w:rsidR="00991179" w:rsidRPr="00E444B3" w:rsidRDefault="00991179" w:rsidP="00991179">
            <w:pPr>
              <w:pStyle w:val="TableText"/>
            </w:pPr>
            <w:r w:rsidRPr="00E444B3">
              <w:t>Malignant trophoblastic neoplasms of placenta</w:t>
            </w:r>
          </w:p>
        </w:tc>
        <w:tc>
          <w:tcPr>
            <w:tcW w:w="3118" w:type="dxa"/>
            <w:tcBorders>
              <w:top w:val="single" w:sz="4" w:space="0" w:color="C2D9BA"/>
              <w:bottom w:val="single" w:sz="4" w:space="0" w:color="C2D9BA"/>
            </w:tcBorders>
            <w:shd w:val="clear" w:color="auto" w:fill="auto"/>
          </w:tcPr>
          <w:p w14:paraId="01EEF7EF" w14:textId="77777777" w:rsidR="00991179" w:rsidRPr="00E444B3" w:rsidRDefault="00991179" w:rsidP="00991179">
            <w:pPr>
              <w:pStyle w:val="TableText"/>
            </w:pPr>
            <w:r w:rsidRPr="00E444B3">
              <w:t>Yes</w:t>
            </w:r>
          </w:p>
        </w:tc>
      </w:tr>
      <w:tr w:rsidR="00991179" w14:paraId="59FF48C0" w14:textId="77777777" w:rsidTr="00051722">
        <w:trPr>
          <w:cantSplit/>
        </w:trPr>
        <w:tc>
          <w:tcPr>
            <w:tcW w:w="1843" w:type="dxa"/>
            <w:tcBorders>
              <w:top w:val="single" w:sz="4" w:space="0" w:color="C2D9BA"/>
              <w:bottom w:val="single" w:sz="4" w:space="0" w:color="C2D9BA"/>
            </w:tcBorders>
            <w:shd w:val="clear" w:color="auto" w:fill="auto"/>
          </w:tcPr>
          <w:p w14:paraId="67A4B1A8"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34406268" w14:textId="77777777" w:rsidR="00991179" w:rsidRPr="00E444B3" w:rsidRDefault="00991179" w:rsidP="00991179">
            <w:pPr>
              <w:pStyle w:val="TableText"/>
            </w:pPr>
            <w:r w:rsidRPr="00E444B3">
              <w:t>Germ cell tumour of testis</w:t>
            </w:r>
          </w:p>
        </w:tc>
        <w:tc>
          <w:tcPr>
            <w:tcW w:w="3118" w:type="dxa"/>
            <w:tcBorders>
              <w:top w:val="single" w:sz="4" w:space="0" w:color="C2D9BA"/>
              <w:bottom w:val="single" w:sz="4" w:space="0" w:color="C2D9BA"/>
            </w:tcBorders>
            <w:shd w:val="clear" w:color="auto" w:fill="auto"/>
          </w:tcPr>
          <w:p w14:paraId="250C0A99" w14:textId="77777777" w:rsidR="00991179" w:rsidRPr="00E444B3" w:rsidRDefault="00991179" w:rsidP="00991179">
            <w:pPr>
              <w:pStyle w:val="TableText"/>
            </w:pPr>
            <w:r w:rsidRPr="00E444B3">
              <w:t>Yes</w:t>
            </w:r>
          </w:p>
        </w:tc>
      </w:tr>
      <w:tr w:rsidR="00991179" w14:paraId="16D506FE" w14:textId="77777777" w:rsidTr="00051722">
        <w:trPr>
          <w:cantSplit/>
        </w:trPr>
        <w:tc>
          <w:tcPr>
            <w:tcW w:w="1843" w:type="dxa"/>
            <w:tcBorders>
              <w:top w:val="single" w:sz="4" w:space="0" w:color="C2D9BA"/>
              <w:bottom w:val="single" w:sz="4" w:space="0" w:color="C2D9BA"/>
            </w:tcBorders>
            <w:shd w:val="clear" w:color="auto" w:fill="auto"/>
          </w:tcPr>
          <w:p w14:paraId="3196DE4B"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03DAB658" w14:textId="77777777" w:rsidR="00991179" w:rsidRPr="00E444B3" w:rsidRDefault="00991179" w:rsidP="00991179">
            <w:pPr>
              <w:pStyle w:val="TableText"/>
            </w:pPr>
            <w:r w:rsidRPr="00E444B3">
              <w:t>Hodgkin lymphoma</w:t>
            </w:r>
          </w:p>
        </w:tc>
        <w:tc>
          <w:tcPr>
            <w:tcW w:w="3118" w:type="dxa"/>
            <w:tcBorders>
              <w:top w:val="single" w:sz="4" w:space="0" w:color="C2D9BA"/>
              <w:bottom w:val="single" w:sz="4" w:space="0" w:color="C2D9BA"/>
            </w:tcBorders>
            <w:shd w:val="clear" w:color="auto" w:fill="auto"/>
          </w:tcPr>
          <w:p w14:paraId="7892124D" w14:textId="77777777" w:rsidR="00991179" w:rsidRPr="00E444B3" w:rsidRDefault="00991179" w:rsidP="00991179">
            <w:pPr>
              <w:pStyle w:val="TableText"/>
            </w:pPr>
            <w:r w:rsidRPr="00E444B3">
              <w:t>Yes</w:t>
            </w:r>
          </w:p>
        </w:tc>
      </w:tr>
      <w:tr w:rsidR="00991179" w14:paraId="484021B2" w14:textId="77777777" w:rsidTr="00051722">
        <w:trPr>
          <w:cantSplit/>
        </w:trPr>
        <w:tc>
          <w:tcPr>
            <w:tcW w:w="1843" w:type="dxa"/>
            <w:tcBorders>
              <w:top w:val="single" w:sz="4" w:space="0" w:color="C2D9BA"/>
              <w:bottom w:val="single" w:sz="4" w:space="0" w:color="C2D9BA"/>
            </w:tcBorders>
            <w:shd w:val="clear" w:color="auto" w:fill="auto"/>
          </w:tcPr>
          <w:p w14:paraId="0579EADC"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3133B052" w14:textId="77777777" w:rsidR="00991179" w:rsidRPr="00E444B3" w:rsidRDefault="00991179" w:rsidP="00991179">
            <w:pPr>
              <w:pStyle w:val="TableText"/>
            </w:pPr>
            <w:r w:rsidRPr="00E444B3">
              <w:t>Other specified malignant neoplasms of the ovary</w:t>
            </w:r>
          </w:p>
        </w:tc>
        <w:tc>
          <w:tcPr>
            <w:tcW w:w="3118" w:type="dxa"/>
            <w:tcBorders>
              <w:top w:val="single" w:sz="4" w:space="0" w:color="C2D9BA"/>
              <w:bottom w:val="single" w:sz="4" w:space="0" w:color="C2D9BA"/>
            </w:tcBorders>
            <w:shd w:val="clear" w:color="auto" w:fill="auto"/>
          </w:tcPr>
          <w:p w14:paraId="27000EAF" w14:textId="77777777" w:rsidR="00991179" w:rsidRPr="00E444B3" w:rsidRDefault="00991179" w:rsidP="00991179">
            <w:pPr>
              <w:pStyle w:val="TableText"/>
            </w:pPr>
            <w:r w:rsidRPr="00E444B3">
              <w:t>Yes</w:t>
            </w:r>
          </w:p>
        </w:tc>
      </w:tr>
      <w:tr w:rsidR="00991179" w14:paraId="14E91D3C" w14:textId="77777777" w:rsidTr="00051722">
        <w:trPr>
          <w:cantSplit/>
        </w:trPr>
        <w:tc>
          <w:tcPr>
            <w:tcW w:w="1843" w:type="dxa"/>
            <w:tcBorders>
              <w:top w:val="single" w:sz="4" w:space="0" w:color="C2D9BA"/>
              <w:bottom w:val="single" w:sz="4" w:space="0" w:color="C2D9BA"/>
            </w:tcBorders>
            <w:shd w:val="clear" w:color="auto" w:fill="auto"/>
          </w:tcPr>
          <w:p w14:paraId="5F598680"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0889B85E" w14:textId="77777777" w:rsidR="00991179" w:rsidRPr="00E444B3" w:rsidRDefault="00991179" w:rsidP="00991179">
            <w:pPr>
              <w:pStyle w:val="TableText"/>
            </w:pPr>
            <w:r w:rsidRPr="00E444B3">
              <w:t>Burkitt lymphoma</w:t>
            </w:r>
            <w:r>
              <w:t>,</w:t>
            </w:r>
            <w:r w:rsidRPr="00E444B3">
              <w:t xml:space="preserve"> including Burkitt leukaemia</w:t>
            </w:r>
          </w:p>
        </w:tc>
        <w:tc>
          <w:tcPr>
            <w:tcW w:w="3118" w:type="dxa"/>
            <w:tcBorders>
              <w:top w:val="single" w:sz="4" w:space="0" w:color="C2D9BA"/>
              <w:bottom w:val="single" w:sz="4" w:space="0" w:color="C2D9BA"/>
            </w:tcBorders>
            <w:shd w:val="clear" w:color="auto" w:fill="auto"/>
          </w:tcPr>
          <w:p w14:paraId="267295CA" w14:textId="77777777" w:rsidR="00991179" w:rsidRPr="00E444B3" w:rsidRDefault="00991179" w:rsidP="00991179">
            <w:pPr>
              <w:pStyle w:val="TableText"/>
            </w:pPr>
            <w:r w:rsidRPr="00E444B3">
              <w:t>Yes</w:t>
            </w:r>
          </w:p>
        </w:tc>
      </w:tr>
      <w:tr w:rsidR="00991179" w14:paraId="6FCFCAE9" w14:textId="77777777" w:rsidTr="00051722">
        <w:trPr>
          <w:cantSplit/>
        </w:trPr>
        <w:tc>
          <w:tcPr>
            <w:tcW w:w="1843" w:type="dxa"/>
            <w:tcBorders>
              <w:top w:val="single" w:sz="4" w:space="0" w:color="C2D9BA"/>
              <w:bottom w:val="single" w:sz="4" w:space="0" w:color="C2D9BA"/>
            </w:tcBorders>
            <w:shd w:val="clear" w:color="auto" w:fill="auto"/>
          </w:tcPr>
          <w:p w14:paraId="4E1338C6"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5275E3B0" w14:textId="77777777" w:rsidR="00991179" w:rsidRPr="00E444B3" w:rsidRDefault="00991179" w:rsidP="00991179">
            <w:pPr>
              <w:pStyle w:val="TableText"/>
            </w:pPr>
            <w:r w:rsidRPr="00E444B3">
              <w:t>Ewing sarcoma of bone and articular cartilage of unspecified sites</w:t>
            </w:r>
          </w:p>
        </w:tc>
        <w:tc>
          <w:tcPr>
            <w:tcW w:w="3118" w:type="dxa"/>
            <w:tcBorders>
              <w:top w:val="single" w:sz="4" w:space="0" w:color="C2D9BA"/>
              <w:bottom w:val="single" w:sz="4" w:space="0" w:color="C2D9BA"/>
            </w:tcBorders>
            <w:shd w:val="clear" w:color="auto" w:fill="auto"/>
          </w:tcPr>
          <w:p w14:paraId="0FACB606" w14:textId="77777777" w:rsidR="00991179" w:rsidRPr="00E444B3" w:rsidRDefault="00991179" w:rsidP="00991179">
            <w:pPr>
              <w:pStyle w:val="TableText"/>
            </w:pPr>
            <w:r w:rsidRPr="00E444B3">
              <w:t>Yes</w:t>
            </w:r>
          </w:p>
        </w:tc>
      </w:tr>
      <w:tr w:rsidR="00991179" w14:paraId="1A8C76BB" w14:textId="77777777" w:rsidTr="00051722">
        <w:trPr>
          <w:cantSplit/>
        </w:trPr>
        <w:tc>
          <w:tcPr>
            <w:tcW w:w="1843" w:type="dxa"/>
            <w:tcBorders>
              <w:top w:val="single" w:sz="4" w:space="0" w:color="C2D9BA"/>
              <w:bottom w:val="single" w:sz="4" w:space="0" w:color="C2D9BA"/>
            </w:tcBorders>
            <w:shd w:val="clear" w:color="auto" w:fill="auto"/>
          </w:tcPr>
          <w:p w14:paraId="11A83878"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7D8B15C1"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5BCE75DD" w14:textId="77777777" w:rsidR="00991179" w:rsidRPr="00E444B3" w:rsidRDefault="00991179" w:rsidP="00991179">
            <w:pPr>
              <w:pStyle w:val="TableText"/>
            </w:pPr>
            <w:r w:rsidRPr="00E444B3">
              <w:t>Yes</w:t>
            </w:r>
          </w:p>
        </w:tc>
      </w:tr>
      <w:tr w:rsidR="00991179" w14:paraId="31A42604" w14:textId="77777777" w:rsidTr="00051722">
        <w:trPr>
          <w:cantSplit/>
        </w:trPr>
        <w:tc>
          <w:tcPr>
            <w:tcW w:w="1843" w:type="dxa"/>
            <w:tcBorders>
              <w:top w:val="single" w:sz="4" w:space="0" w:color="C2D9BA"/>
              <w:bottom w:val="single" w:sz="4" w:space="0" w:color="C2D9BA"/>
            </w:tcBorders>
            <w:shd w:val="clear" w:color="auto" w:fill="auto"/>
          </w:tcPr>
          <w:p w14:paraId="19B39670" w14:textId="77777777" w:rsidR="00991179" w:rsidRPr="00E444B3" w:rsidRDefault="00991179" w:rsidP="000861AF">
            <w:pPr>
              <w:pStyle w:val="TableText"/>
            </w:pPr>
            <w:r w:rsidRPr="00E444B3">
              <w:t>Etoposide</w:t>
            </w:r>
          </w:p>
        </w:tc>
        <w:tc>
          <w:tcPr>
            <w:tcW w:w="3119" w:type="dxa"/>
            <w:tcBorders>
              <w:top w:val="single" w:sz="4" w:space="0" w:color="C2D9BA"/>
              <w:bottom w:val="single" w:sz="4" w:space="0" w:color="C2D9BA"/>
            </w:tcBorders>
            <w:shd w:val="clear" w:color="auto" w:fill="auto"/>
            <w:vAlign w:val="bottom"/>
          </w:tcPr>
          <w:p w14:paraId="199F0A80" w14:textId="77777777" w:rsidR="00991179" w:rsidRPr="00E444B3" w:rsidRDefault="00991179" w:rsidP="00991179">
            <w:pPr>
              <w:pStyle w:val="TableText"/>
            </w:pPr>
            <w:r w:rsidRPr="00E444B3">
              <w:t>Retinoblastoma</w:t>
            </w:r>
          </w:p>
        </w:tc>
        <w:tc>
          <w:tcPr>
            <w:tcW w:w="3118" w:type="dxa"/>
            <w:tcBorders>
              <w:top w:val="single" w:sz="4" w:space="0" w:color="C2D9BA"/>
              <w:bottom w:val="single" w:sz="4" w:space="0" w:color="C2D9BA"/>
            </w:tcBorders>
            <w:shd w:val="clear" w:color="auto" w:fill="auto"/>
          </w:tcPr>
          <w:p w14:paraId="056292BE" w14:textId="77777777" w:rsidR="00991179" w:rsidRPr="00E444B3" w:rsidRDefault="00991179" w:rsidP="00991179">
            <w:pPr>
              <w:pStyle w:val="TableText"/>
            </w:pPr>
            <w:r w:rsidRPr="00E444B3">
              <w:t>Yes</w:t>
            </w:r>
          </w:p>
        </w:tc>
      </w:tr>
      <w:tr w:rsidR="00991179" w14:paraId="17194390" w14:textId="77777777" w:rsidTr="00051722">
        <w:trPr>
          <w:cantSplit/>
        </w:trPr>
        <w:tc>
          <w:tcPr>
            <w:tcW w:w="1843" w:type="dxa"/>
            <w:tcBorders>
              <w:top w:val="single" w:sz="4" w:space="0" w:color="C2D9BA"/>
              <w:bottom w:val="single" w:sz="4" w:space="0" w:color="C2D9BA"/>
            </w:tcBorders>
            <w:shd w:val="clear" w:color="auto" w:fill="auto"/>
          </w:tcPr>
          <w:p w14:paraId="01533AA1" w14:textId="77777777" w:rsidR="00991179" w:rsidRPr="00E444B3" w:rsidRDefault="00991179" w:rsidP="000861AF">
            <w:pPr>
              <w:pStyle w:val="TableText"/>
            </w:pPr>
            <w:r w:rsidRPr="00E444B3">
              <w:t>Fludarabine</w:t>
            </w:r>
          </w:p>
        </w:tc>
        <w:tc>
          <w:tcPr>
            <w:tcW w:w="3119" w:type="dxa"/>
            <w:tcBorders>
              <w:top w:val="single" w:sz="4" w:space="0" w:color="C2D9BA"/>
              <w:bottom w:val="single" w:sz="4" w:space="0" w:color="C2D9BA"/>
            </w:tcBorders>
            <w:shd w:val="clear" w:color="auto" w:fill="auto"/>
          </w:tcPr>
          <w:p w14:paraId="70FCD76D" w14:textId="77777777" w:rsidR="00991179" w:rsidRPr="00E444B3" w:rsidRDefault="00991179" w:rsidP="00991179">
            <w:pPr>
              <w:pStyle w:val="TableText"/>
            </w:pPr>
            <w:r w:rsidRPr="00E444B3">
              <w:t>Chronic lymphocytic leukaemia or small lymphocytic lymphoma</w:t>
            </w:r>
          </w:p>
        </w:tc>
        <w:tc>
          <w:tcPr>
            <w:tcW w:w="3118" w:type="dxa"/>
            <w:tcBorders>
              <w:top w:val="single" w:sz="4" w:space="0" w:color="C2D9BA"/>
              <w:bottom w:val="single" w:sz="4" w:space="0" w:color="C2D9BA"/>
            </w:tcBorders>
            <w:shd w:val="clear" w:color="auto" w:fill="auto"/>
          </w:tcPr>
          <w:p w14:paraId="2EE15F7E" w14:textId="77777777" w:rsidR="00991179" w:rsidRPr="00E444B3" w:rsidRDefault="00991179" w:rsidP="00991179">
            <w:pPr>
              <w:pStyle w:val="TableText"/>
            </w:pPr>
            <w:r w:rsidRPr="00E444B3">
              <w:t>Yes</w:t>
            </w:r>
          </w:p>
        </w:tc>
      </w:tr>
      <w:tr w:rsidR="00991179" w14:paraId="33B91E3A" w14:textId="77777777" w:rsidTr="00051722">
        <w:trPr>
          <w:cantSplit/>
        </w:trPr>
        <w:tc>
          <w:tcPr>
            <w:tcW w:w="1843" w:type="dxa"/>
            <w:tcBorders>
              <w:top w:val="single" w:sz="4" w:space="0" w:color="C2D9BA"/>
              <w:bottom w:val="single" w:sz="4" w:space="0" w:color="C2D9BA"/>
            </w:tcBorders>
            <w:shd w:val="clear" w:color="auto" w:fill="auto"/>
          </w:tcPr>
          <w:p w14:paraId="3F41962C" w14:textId="77777777" w:rsidR="00991179" w:rsidRPr="00E444B3" w:rsidRDefault="00991179" w:rsidP="000861AF">
            <w:pPr>
              <w:pStyle w:val="TableText"/>
            </w:pPr>
            <w:r w:rsidRPr="00E444B3">
              <w:t>Fluorouracil</w:t>
            </w:r>
          </w:p>
        </w:tc>
        <w:tc>
          <w:tcPr>
            <w:tcW w:w="3119" w:type="dxa"/>
            <w:tcBorders>
              <w:top w:val="single" w:sz="4" w:space="0" w:color="C2D9BA"/>
              <w:bottom w:val="single" w:sz="4" w:space="0" w:color="C2D9BA"/>
            </w:tcBorders>
            <w:shd w:val="clear" w:color="auto" w:fill="auto"/>
          </w:tcPr>
          <w:p w14:paraId="522AEBED"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53A9CA0C" w14:textId="77777777" w:rsidR="00991179" w:rsidRPr="00E444B3" w:rsidRDefault="00991179" w:rsidP="00991179">
            <w:pPr>
              <w:pStyle w:val="TableText"/>
            </w:pPr>
            <w:r w:rsidRPr="00E444B3">
              <w:t>Yes</w:t>
            </w:r>
          </w:p>
        </w:tc>
      </w:tr>
      <w:tr w:rsidR="00991179" w14:paraId="5147DBD2" w14:textId="77777777" w:rsidTr="00051722">
        <w:trPr>
          <w:cantSplit/>
        </w:trPr>
        <w:tc>
          <w:tcPr>
            <w:tcW w:w="1843" w:type="dxa"/>
            <w:tcBorders>
              <w:top w:val="single" w:sz="4" w:space="0" w:color="C2D9BA"/>
              <w:bottom w:val="single" w:sz="4" w:space="0" w:color="C2D9BA"/>
            </w:tcBorders>
            <w:shd w:val="clear" w:color="auto" w:fill="auto"/>
          </w:tcPr>
          <w:p w14:paraId="5FC9782D" w14:textId="77777777" w:rsidR="00991179" w:rsidRPr="00E444B3" w:rsidRDefault="00991179" w:rsidP="000861AF">
            <w:pPr>
              <w:pStyle w:val="TableText"/>
            </w:pPr>
            <w:r w:rsidRPr="00E444B3">
              <w:t>Fluorouracil</w:t>
            </w:r>
          </w:p>
        </w:tc>
        <w:tc>
          <w:tcPr>
            <w:tcW w:w="3119" w:type="dxa"/>
            <w:tcBorders>
              <w:top w:val="single" w:sz="4" w:space="0" w:color="C2D9BA"/>
              <w:bottom w:val="single" w:sz="4" w:space="0" w:color="C2D9BA"/>
            </w:tcBorders>
            <w:shd w:val="clear" w:color="auto" w:fill="auto"/>
            <w:vAlign w:val="bottom"/>
          </w:tcPr>
          <w:p w14:paraId="4F143FC5" w14:textId="77777777" w:rsidR="00991179" w:rsidRPr="00E444B3" w:rsidRDefault="00991179" w:rsidP="00991179">
            <w:pPr>
              <w:pStyle w:val="TableText"/>
            </w:pPr>
            <w:r w:rsidRPr="00E444B3">
              <w:t>Malignant neoplasm metastasis in large intestine</w:t>
            </w:r>
          </w:p>
        </w:tc>
        <w:tc>
          <w:tcPr>
            <w:tcW w:w="3118" w:type="dxa"/>
            <w:tcBorders>
              <w:top w:val="single" w:sz="4" w:space="0" w:color="C2D9BA"/>
              <w:bottom w:val="single" w:sz="4" w:space="0" w:color="C2D9BA"/>
            </w:tcBorders>
            <w:shd w:val="clear" w:color="auto" w:fill="auto"/>
          </w:tcPr>
          <w:p w14:paraId="56DF5835" w14:textId="77777777" w:rsidR="00991179" w:rsidRPr="00E444B3" w:rsidRDefault="00991179" w:rsidP="00991179">
            <w:pPr>
              <w:pStyle w:val="TableText"/>
            </w:pPr>
            <w:r w:rsidRPr="00E444B3">
              <w:t>Yes</w:t>
            </w:r>
          </w:p>
        </w:tc>
      </w:tr>
      <w:tr w:rsidR="00991179" w14:paraId="15BEDD10" w14:textId="77777777" w:rsidTr="00051722">
        <w:trPr>
          <w:cantSplit/>
        </w:trPr>
        <w:tc>
          <w:tcPr>
            <w:tcW w:w="1843" w:type="dxa"/>
            <w:tcBorders>
              <w:top w:val="single" w:sz="4" w:space="0" w:color="C2D9BA"/>
              <w:bottom w:val="single" w:sz="4" w:space="0" w:color="C2D9BA"/>
            </w:tcBorders>
            <w:shd w:val="clear" w:color="auto" w:fill="auto"/>
          </w:tcPr>
          <w:p w14:paraId="4CC8D6B6" w14:textId="77777777" w:rsidR="00991179" w:rsidRPr="00E444B3" w:rsidRDefault="00991179" w:rsidP="000861AF">
            <w:pPr>
              <w:pStyle w:val="TableText"/>
            </w:pPr>
            <w:r w:rsidRPr="00E444B3">
              <w:t>Fluorouracil</w:t>
            </w:r>
          </w:p>
        </w:tc>
        <w:tc>
          <w:tcPr>
            <w:tcW w:w="3119" w:type="dxa"/>
            <w:tcBorders>
              <w:top w:val="single" w:sz="4" w:space="0" w:color="C2D9BA"/>
              <w:bottom w:val="single" w:sz="4" w:space="0" w:color="C2D9BA"/>
            </w:tcBorders>
            <w:shd w:val="clear" w:color="auto" w:fill="auto"/>
            <w:vAlign w:val="bottom"/>
          </w:tcPr>
          <w:p w14:paraId="4FE1F2A3" w14:textId="77777777" w:rsidR="00991179" w:rsidRPr="00E444B3" w:rsidRDefault="00991179" w:rsidP="00991179">
            <w:pPr>
              <w:pStyle w:val="TableText"/>
            </w:pPr>
            <w:r w:rsidRPr="00E444B3">
              <w:t>Malignant neoplasms of rectum</w:t>
            </w:r>
          </w:p>
        </w:tc>
        <w:tc>
          <w:tcPr>
            <w:tcW w:w="3118" w:type="dxa"/>
            <w:tcBorders>
              <w:top w:val="single" w:sz="4" w:space="0" w:color="C2D9BA"/>
              <w:bottom w:val="single" w:sz="4" w:space="0" w:color="C2D9BA"/>
            </w:tcBorders>
            <w:shd w:val="clear" w:color="auto" w:fill="auto"/>
          </w:tcPr>
          <w:p w14:paraId="2A262DFC" w14:textId="77777777" w:rsidR="00991179" w:rsidRPr="00E444B3" w:rsidRDefault="00991179" w:rsidP="00991179">
            <w:pPr>
              <w:pStyle w:val="TableText"/>
            </w:pPr>
            <w:r w:rsidRPr="00E444B3">
              <w:t>Yes</w:t>
            </w:r>
          </w:p>
        </w:tc>
      </w:tr>
      <w:tr w:rsidR="00991179" w14:paraId="3BE0EFCD" w14:textId="77777777" w:rsidTr="00051722">
        <w:trPr>
          <w:cantSplit/>
        </w:trPr>
        <w:tc>
          <w:tcPr>
            <w:tcW w:w="1843" w:type="dxa"/>
            <w:tcBorders>
              <w:top w:val="single" w:sz="4" w:space="0" w:color="C2D9BA"/>
              <w:bottom w:val="single" w:sz="4" w:space="0" w:color="C2D9BA"/>
            </w:tcBorders>
            <w:shd w:val="clear" w:color="auto" w:fill="auto"/>
          </w:tcPr>
          <w:p w14:paraId="56337159" w14:textId="77777777" w:rsidR="00991179" w:rsidRPr="00E444B3" w:rsidRDefault="00991179" w:rsidP="000861AF">
            <w:pPr>
              <w:pStyle w:val="TableText"/>
            </w:pPr>
            <w:r w:rsidRPr="00E444B3">
              <w:t>Fluorouracil</w:t>
            </w:r>
          </w:p>
        </w:tc>
        <w:tc>
          <w:tcPr>
            <w:tcW w:w="3119" w:type="dxa"/>
            <w:tcBorders>
              <w:top w:val="single" w:sz="4" w:space="0" w:color="C2D9BA"/>
              <w:bottom w:val="single" w:sz="4" w:space="0" w:color="C2D9BA"/>
            </w:tcBorders>
            <w:shd w:val="clear" w:color="auto" w:fill="auto"/>
            <w:vAlign w:val="bottom"/>
          </w:tcPr>
          <w:p w14:paraId="0E904890" w14:textId="77777777" w:rsidR="00991179" w:rsidRPr="00E444B3" w:rsidRDefault="00991179" w:rsidP="00991179">
            <w:pPr>
              <w:pStyle w:val="TableText"/>
            </w:pPr>
            <w:r w:rsidRPr="00E444B3">
              <w:t>Malignant neoplasms of colon</w:t>
            </w:r>
          </w:p>
        </w:tc>
        <w:tc>
          <w:tcPr>
            <w:tcW w:w="3118" w:type="dxa"/>
            <w:tcBorders>
              <w:top w:val="single" w:sz="4" w:space="0" w:color="C2D9BA"/>
              <w:bottom w:val="single" w:sz="4" w:space="0" w:color="C2D9BA"/>
            </w:tcBorders>
            <w:shd w:val="clear" w:color="auto" w:fill="auto"/>
          </w:tcPr>
          <w:p w14:paraId="503C7EFF" w14:textId="77777777" w:rsidR="00991179" w:rsidRPr="00E444B3" w:rsidRDefault="00991179" w:rsidP="00991179">
            <w:pPr>
              <w:pStyle w:val="TableText"/>
            </w:pPr>
            <w:r w:rsidRPr="00E444B3">
              <w:t>Yes</w:t>
            </w:r>
          </w:p>
        </w:tc>
      </w:tr>
      <w:tr w:rsidR="00991179" w14:paraId="35CAD905" w14:textId="77777777" w:rsidTr="00051722">
        <w:trPr>
          <w:cantSplit/>
        </w:trPr>
        <w:tc>
          <w:tcPr>
            <w:tcW w:w="1843" w:type="dxa"/>
            <w:tcBorders>
              <w:top w:val="single" w:sz="4" w:space="0" w:color="C2D9BA"/>
              <w:bottom w:val="single" w:sz="4" w:space="0" w:color="C2D9BA"/>
            </w:tcBorders>
            <w:shd w:val="clear" w:color="auto" w:fill="auto"/>
          </w:tcPr>
          <w:p w14:paraId="3F5C6C48" w14:textId="77777777" w:rsidR="00991179" w:rsidRPr="00E444B3" w:rsidRDefault="00991179" w:rsidP="000861AF">
            <w:pPr>
              <w:pStyle w:val="TableText"/>
            </w:pPr>
            <w:r w:rsidRPr="00E444B3">
              <w:t>Fluorouracil</w:t>
            </w:r>
          </w:p>
        </w:tc>
        <w:tc>
          <w:tcPr>
            <w:tcW w:w="3119" w:type="dxa"/>
            <w:tcBorders>
              <w:top w:val="single" w:sz="4" w:space="0" w:color="C2D9BA"/>
              <w:bottom w:val="single" w:sz="4" w:space="0" w:color="C2D9BA"/>
            </w:tcBorders>
            <w:shd w:val="clear" w:color="auto" w:fill="auto"/>
            <w:vAlign w:val="bottom"/>
          </w:tcPr>
          <w:p w14:paraId="57B2D3B5" w14:textId="77777777" w:rsidR="00991179" w:rsidRPr="00E444B3" w:rsidRDefault="00991179" w:rsidP="00991179">
            <w:pPr>
              <w:pStyle w:val="TableText"/>
            </w:pPr>
            <w:r w:rsidRPr="00E444B3">
              <w:t>Malignant neoplasms of nasopharynx</w:t>
            </w:r>
          </w:p>
        </w:tc>
        <w:tc>
          <w:tcPr>
            <w:tcW w:w="3118" w:type="dxa"/>
            <w:tcBorders>
              <w:top w:val="single" w:sz="4" w:space="0" w:color="C2D9BA"/>
              <w:bottom w:val="single" w:sz="4" w:space="0" w:color="C2D9BA"/>
            </w:tcBorders>
            <w:shd w:val="clear" w:color="auto" w:fill="auto"/>
          </w:tcPr>
          <w:p w14:paraId="0270A086" w14:textId="77777777" w:rsidR="00991179" w:rsidRPr="00E444B3" w:rsidRDefault="00991179" w:rsidP="00991179">
            <w:pPr>
              <w:pStyle w:val="TableText"/>
            </w:pPr>
            <w:r w:rsidRPr="00E444B3">
              <w:t>Yes</w:t>
            </w:r>
          </w:p>
        </w:tc>
      </w:tr>
      <w:tr w:rsidR="00991179" w14:paraId="0AEAFB41" w14:textId="77777777" w:rsidTr="00051722">
        <w:trPr>
          <w:cantSplit/>
        </w:trPr>
        <w:tc>
          <w:tcPr>
            <w:tcW w:w="1843" w:type="dxa"/>
            <w:tcBorders>
              <w:top w:val="single" w:sz="4" w:space="0" w:color="C2D9BA"/>
              <w:bottom w:val="single" w:sz="4" w:space="0" w:color="C2D9BA"/>
            </w:tcBorders>
            <w:shd w:val="clear" w:color="auto" w:fill="auto"/>
          </w:tcPr>
          <w:p w14:paraId="41F47254" w14:textId="77777777" w:rsidR="00991179" w:rsidRPr="00E444B3" w:rsidRDefault="00991179" w:rsidP="000861AF">
            <w:pPr>
              <w:pStyle w:val="TableText"/>
            </w:pPr>
            <w:r w:rsidRPr="00E444B3">
              <w:t>Gefitinib</w:t>
            </w:r>
          </w:p>
        </w:tc>
        <w:tc>
          <w:tcPr>
            <w:tcW w:w="3119" w:type="dxa"/>
            <w:tcBorders>
              <w:top w:val="single" w:sz="4" w:space="0" w:color="C2D9BA"/>
              <w:bottom w:val="single" w:sz="4" w:space="0" w:color="C2D9BA"/>
            </w:tcBorders>
            <w:shd w:val="clear" w:color="auto" w:fill="auto"/>
            <w:vAlign w:val="bottom"/>
          </w:tcPr>
          <w:p w14:paraId="59D2E55E"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0AB633B9" w14:textId="77777777" w:rsidR="00991179" w:rsidRPr="00E444B3" w:rsidRDefault="00991179" w:rsidP="00991179">
            <w:pPr>
              <w:pStyle w:val="TableText"/>
            </w:pPr>
            <w:r w:rsidRPr="00E444B3">
              <w:t>Yes</w:t>
            </w:r>
          </w:p>
        </w:tc>
      </w:tr>
      <w:tr w:rsidR="00991179" w14:paraId="650B6194" w14:textId="77777777" w:rsidTr="00051722">
        <w:trPr>
          <w:cantSplit/>
        </w:trPr>
        <w:tc>
          <w:tcPr>
            <w:tcW w:w="1843" w:type="dxa"/>
            <w:tcBorders>
              <w:top w:val="single" w:sz="4" w:space="0" w:color="C2D9BA"/>
              <w:bottom w:val="single" w:sz="4" w:space="0" w:color="C2D9BA"/>
            </w:tcBorders>
            <w:shd w:val="clear" w:color="auto" w:fill="auto"/>
          </w:tcPr>
          <w:p w14:paraId="73B5A52E" w14:textId="77777777" w:rsidR="00991179" w:rsidRPr="00E444B3" w:rsidRDefault="00991179" w:rsidP="000861AF">
            <w:pPr>
              <w:pStyle w:val="TableText"/>
            </w:pPr>
            <w:r w:rsidRPr="00E444B3">
              <w:t>Gemcitabine</w:t>
            </w:r>
          </w:p>
        </w:tc>
        <w:tc>
          <w:tcPr>
            <w:tcW w:w="3119" w:type="dxa"/>
            <w:tcBorders>
              <w:top w:val="single" w:sz="4" w:space="0" w:color="C2D9BA"/>
              <w:bottom w:val="single" w:sz="4" w:space="0" w:color="C2D9BA"/>
            </w:tcBorders>
            <w:shd w:val="clear" w:color="auto" w:fill="auto"/>
            <w:vAlign w:val="bottom"/>
          </w:tcPr>
          <w:p w14:paraId="1A8EDB3C" w14:textId="77777777" w:rsidR="00991179" w:rsidRPr="00E444B3" w:rsidRDefault="00991179" w:rsidP="00991179">
            <w:pPr>
              <w:pStyle w:val="TableText"/>
            </w:pPr>
            <w:r w:rsidRPr="00E444B3">
              <w:t>Other specified carcinomas of ovary</w:t>
            </w:r>
          </w:p>
        </w:tc>
        <w:tc>
          <w:tcPr>
            <w:tcW w:w="3118" w:type="dxa"/>
            <w:tcBorders>
              <w:top w:val="single" w:sz="4" w:space="0" w:color="C2D9BA"/>
              <w:bottom w:val="single" w:sz="4" w:space="0" w:color="C2D9BA"/>
            </w:tcBorders>
            <w:shd w:val="clear" w:color="auto" w:fill="auto"/>
          </w:tcPr>
          <w:p w14:paraId="757D5AA5" w14:textId="77777777" w:rsidR="00991179" w:rsidRPr="00E444B3" w:rsidRDefault="00991179" w:rsidP="00991179">
            <w:pPr>
              <w:pStyle w:val="TableText"/>
            </w:pPr>
            <w:r w:rsidRPr="00E444B3">
              <w:t>Yes</w:t>
            </w:r>
          </w:p>
        </w:tc>
      </w:tr>
      <w:tr w:rsidR="00991179" w14:paraId="264C88BF" w14:textId="77777777" w:rsidTr="00051722">
        <w:trPr>
          <w:cantSplit/>
        </w:trPr>
        <w:tc>
          <w:tcPr>
            <w:tcW w:w="1843" w:type="dxa"/>
            <w:tcBorders>
              <w:top w:val="single" w:sz="4" w:space="0" w:color="C2D9BA"/>
              <w:bottom w:val="single" w:sz="4" w:space="0" w:color="C2D9BA"/>
            </w:tcBorders>
            <w:shd w:val="clear" w:color="auto" w:fill="auto"/>
          </w:tcPr>
          <w:p w14:paraId="00AB4B81" w14:textId="77777777" w:rsidR="00991179" w:rsidRPr="00E444B3" w:rsidRDefault="00991179" w:rsidP="000861AF">
            <w:pPr>
              <w:pStyle w:val="TableText"/>
            </w:pPr>
            <w:r w:rsidRPr="00E444B3">
              <w:t>Gemcitabine</w:t>
            </w:r>
          </w:p>
        </w:tc>
        <w:tc>
          <w:tcPr>
            <w:tcW w:w="3119" w:type="dxa"/>
            <w:tcBorders>
              <w:top w:val="single" w:sz="4" w:space="0" w:color="C2D9BA"/>
              <w:bottom w:val="single" w:sz="4" w:space="0" w:color="C2D9BA"/>
            </w:tcBorders>
            <w:shd w:val="clear" w:color="auto" w:fill="auto"/>
            <w:vAlign w:val="bottom"/>
          </w:tcPr>
          <w:p w14:paraId="467C3415"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25E6E784" w14:textId="77777777" w:rsidR="00991179" w:rsidRPr="00E444B3" w:rsidRDefault="00991179" w:rsidP="00991179">
            <w:pPr>
              <w:pStyle w:val="TableText"/>
            </w:pPr>
            <w:r w:rsidRPr="00E444B3">
              <w:t>Yes</w:t>
            </w:r>
          </w:p>
        </w:tc>
      </w:tr>
      <w:tr w:rsidR="00991179" w14:paraId="526B7F80" w14:textId="77777777" w:rsidTr="00051722">
        <w:trPr>
          <w:cantSplit/>
        </w:trPr>
        <w:tc>
          <w:tcPr>
            <w:tcW w:w="1843" w:type="dxa"/>
            <w:tcBorders>
              <w:top w:val="single" w:sz="4" w:space="0" w:color="C2D9BA"/>
              <w:bottom w:val="single" w:sz="4" w:space="0" w:color="C2D9BA"/>
            </w:tcBorders>
            <w:shd w:val="clear" w:color="auto" w:fill="auto"/>
          </w:tcPr>
          <w:p w14:paraId="6126E066" w14:textId="77777777" w:rsidR="00991179" w:rsidRPr="00E444B3" w:rsidRDefault="00991179" w:rsidP="000861AF">
            <w:pPr>
              <w:pStyle w:val="TableText"/>
            </w:pPr>
            <w:r w:rsidRPr="00E444B3">
              <w:t>Hydro</w:t>
            </w:r>
            <w:r>
              <w:t>x</w:t>
            </w:r>
            <w:r w:rsidRPr="00E444B3">
              <w:t>ycarbamide</w:t>
            </w:r>
          </w:p>
        </w:tc>
        <w:tc>
          <w:tcPr>
            <w:tcW w:w="3119" w:type="dxa"/>
            <w:tcBorders>
              <w:top w:val="single" w:sz="4" w:space="0" w:color="C2D9BA"/>
              <w:bottom w:val="single" w:sz="4" w:space="0" w:color="C2D9BA"/>
            </w:tcBorders>
            <w:shd w:val="clear" w:color="auto" w:fill="auto"/>
          </w:tcPr>
          <w:p w14:paraId="2B7BA12B" w14:textId="77777777" w:rsidR="00991179" w:rsidRPr="00E444B3" w:rsidRDefault="00991179" w:rsidP="00991179">
            <w:pPr>
              <w:pStyle w:val="TableText"/>
            </w:pPr>
            <w:r w:rsidRPr="00E444B3">
              <w:t>Chronic myeloid leukaemia, NOS</w:t>
            </w:r>
          </w:p>
        </w:tc>
        <w:tc>
          <w:tcPr>
            <w:tcW w:w="3118" w:type="dxa"/>
            <w:tcBorders>
              <w:top w:val="single" w:sz="4" w:space="0" w:color="C2D9BA"/>
              <w:bottom w:val="single" w:sz="4" w:space="0" w:color="C2D9BA"/>
            </w:tcBorders>
            <w:shd w:val="clear" w:color="auto" w:fill="auto"/>
          </w:tcPr>
          <w:p w14:paraId="40E2A89E" w14:textId="77777777" w:rsidR="00991179" w:rsidRPr="00E444B3" w:rsidRDefault="00991179" w:rsidP="00991179">
            <w:pPr>
              <w:pStyle w:val="TableText"/>
            </w:pPr>
            <w:r w:rsidRPr="00E444B3">
              <w:t>Yes</w:t>
            </w:r>
          </w:p>
        </w:tc>
      </w:tr>
      <w:tr w:rsidR="00991179" w14:paraId="7EF52A82" w14:textId="77777777" w:rsidTr="00051722">
        <w:trPr>
          <w:cantSplit/>
        </w:trPr>
        <w:tc>
          <w:tcPr>
            <w:tcW w:w="1843" w:type="dxa"/>
            <w:tcBorders>
              <w:top w:val="single" w:sz="4" w:space="0" w:color="C2D9BA"/>
              <w:bottom w:val="single" w:sz="4" w:space="0" w:color="C2D9BA"/>
            </w:tcBorders>
            <w:shd w:val="clear" w:color="auto" w:fill="auto"/>
          </w:tcPr>
          <w:p w14:paraId="010743FF" w14:textId="77777777" w:rsidR="00991179" w:rsidRPr="00E444B3" w:rsidRDefault="00991179" w:rsidP="000861AF">
            <w:pPr>
              <w:pStyle w:val="TableText"/>
            </w:pPr>
            <w:r w:rsidRPr="00E444B3">
              <w:t>Hydrocortisone</w:t>
            </w:r>
          </w:p>
        </w:tc>
        <w:tc>
          <w:tcPr>
            <w:tcW w:w="3119" w:type="dxa"/>
            <w:tcBorders>
              <w:top w:val="single" w:sz="4" w:space="0" w:color="C2D9BA"/>
              <w:bottom w:val="single" w:sz="4" w:space="0" w:color="C2D9BA"/>
            </w:tcBorders>
            <w:shd w:val="clear" w:color="auto" w:fill="auto"/>
          </w:tcPr>
          <w:p w14:paraId="0EC82FBC"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30DBE537" w14:textId="77777777" w:rsidR="00991179" w:rsidRPr="00E444B3" w:rsidRDefault="00991179" w:rsidP="00991179">
            <w:pPr>
              <w:pStyle w:val="TableText"/>
            </w:pPr>
            <w:r w:rsidRPr="00E444B3">
              <w:t>Yes</w:t>
            </w:r>
          </w:p>
        </w:tc>
      </w:tr>
      <w:tr w:rsidR="00991179" w14:paraId="68202854" w14:textId="77777777" w:rsidTr="00051722">
        <w:trPr>
          <w:cantSplit/>
        </w:trPr>
        <w:tc>
          <w:tcPr>
            <w:tcW w:w="1843" w:type="dxa"/>
            <w:tcBorders>
              <w:top w:val="single" w:sz="4" w:space="0" w:color="C2D9BA"/>
              <w:bottom w:val="single" w:sz="4" w:space="0" w:color="C2D9BA"/>
            </w:tcBorders>
            <w:shd w:val="clear" w:color="auto" w:fill="auto"/>
          </w:tcPr>
          <w:p w14:paraId="1E6CB647" w14:textId="77777777" w:rsidR="00991179" w:rsidRPr="00E444B3" w:rsidRDefault="00991179" w:rsidP="000861AF">
            <w:pPr>
              <w:pStyle w:val="TableText"/>
            </w:pPr>
            <w:r w:rsidRPr="00E444B3">
              <w:t>Ifosfamide</w:t>
            </w:r>
          </w:p>
        </w:tc>
        <w:tc>
          <w:tcPr>
            <w:tcW w:w="3119" w:type="dxa"/>
            <w:tcBorders>
              <w:top w:val="single" w:sz="4" w:space="0" w:color="C2D9BA"/>
              <w:bottom w:val="single" w:sz="4" w:space="0" w:color="C2D9BA"/>
            </w:tcBorders>
            <w:shd w:val="clear" w:color="auto" w:fill="auto"/>
            <w:vAlign w:val="bottom"/>
          </w:tcPr>
          <w:p w14:paraId="4B997305" w14:textId="77777777" w:rsidR="00991179" w:rsidRPr="00E444B3" w:rsidRDefault="00991179" w:rsidP="00991179">
            <w:pPr>
              <w:pStyle w:val="TableText"/>
            </w:pPr>
            <w:r w:rsidRPr="00E444B3">
              <w:t>Other specified malignant neoplasms of the ovary</w:t>
            </w:r>
          </w:p>
        </w:tc>
        <w:tc>
          <w:tcPr>
            <w:tcW w:w="3118" w:type="dxa"/>
            <w:tcBorders>
              <w:top w:val="single" w:sz="4" w:space="0" w:color="C2D9BA"/>
              <w:bottom w:val="single" w:sz="4" w:space="0" w:color="C2D9BA"/>
            </w:tcBorders>
            <w:shd w:val="clear" w:color="auto" w:fill="auto"/>
          </w:tcPr>
          <w:p w14:paraId="58DE6D9E" w14:textId="77777777" w:rsidR="00991179" w:rsidRPr="00E444B3" w:rsidRDefault="00991179" w:rsidP="00991179">
            <w:pPr>
              <w:pStyle w:val="TableText"/>
            </w:pPr>
            <w:r w:rsidRPr="00E444B3">
              <w:t>Yes</w:t>
            </w:r>
          </w:p>
        </w:tc>
      </w:tr>
      <w:tr w:rsidR="00991179" w14:paraId="3982075A" w14:textId="77777777" w:rsidTr="00051722">
        <w:trPr>
          <w:cantSplit/>
        </w:trPr>
        <w:tc>
          <w:tcPr>
            <w:tcW w:w="1843" w:type="dxa"/>
            <w:tcBorders>
              <w:top w:val="single" w:sz="4" w:space="0" w:color="C2D9BA"/>
              <w:bottom w:val="single" w:sz="4" w:space="0" w:color="C2D9BA"/>
            </w:tcBorders>
            <w:shd w:val="clear" w:color="auto" w:fill="auto"/>
          </w:tcPr>
          <w:p w14:paraId="34B807DE" w14:textId="77777777" w:rsidR="00991179" w:rsidRPr="00E444B3" w:rsidRDefault="00991179" w:rsidP="000861AF">
            <w:pPr>
              <w:pStyle w:val="TableText"/>
            </w:pPr>
            <w:r w:rsidRPr="00E444B3">
              <w:t>Ifosfamide</w:t>
            </w:r>
          </w:p>
        </w:tc>
        <w:tc>
          <w:tcPr>
            <w:tcW w:w="3119" w:type="dxa"/>
            <w:tcBorders>
              <w:top w:val="single" w:sz="4" w:space="0" w:color="C2D9BA"/>
              <w:bottom w:val="single" w:sz="4" w:space="0" w:color="C2D9BA"/>
            </w:tcBorders>
            <w:shd w:val="clear" w:color="auto" w:fill="auto"/>
            <w:vAlign w:val="bottom"/>
          </w:tcPr>
          <w:p w14:paraId="131291F7" w14:textId="77777777" w:rsidR="00991179" w:rsidRPr="00E444B3" w:rsidRDefault="00991179" w:rsidP="00991179">
            <w:pPr>
              <w:pStyle w:val="TableText"/>
            </w:pPr>
            <w:r w:rsidRPr="00E444B3">
              <w:t>Ewing sarcoma of bone and articular cartilage of unspecified sites</w:t>
            </w:r>
          </w:p>
        </w:tc>
        <w:tc>
          <w:tcPr>
            <w:tcW w:w="3118" w:type="dxa"/>
            <w:tcBorders>
              <w:top w:val="single" w:sz="4" w:space="0" w:color="C2D9BA"/>
              <w:bottom w:val="single" w:sz="4" w:space="0" w:color="C2D9BA"/>
            </w:tcBorders>
            <w:shd w:val="clear" w:color="auto" w:fill="auto"/>
          </w:tcPr>
          <w:p w14:paraId="4A765AB1" w14:textId="77777777" w:rsidR="00991179" w:rsidRPr="00E444B3" w:rsidRDefault="00991179" w:rsidP="00991179">
            <w:pPr>
              <w:pStyle w:val="TableText"/>
            </w:pPr>
            <w:r w:rsidRPr="00E444B3">
              <w:t>Yes</w:t>
            </w:r>
          </w:p>
        </w:tc>
      </w:tr>
      <w:tr w:rsidR="00991179" w14:paraId="64D874F3" w14:textId="77777777" w:rsidTr="00051722">
        <w:trPr>
          <w:cantSplit/>
        </w:trPr>
        <w:tc>
          <w:tcPr>
            <w:tcW w:w="1843" w:type="dxa"/>
            <w:tcBorders>
              <w:top w:val="single" w:sz="4" w:space="0" w:color="C2D9BA"/>
              <w:bottom w:val="single" w:sz="4" w:space="0" w:color="C2D9BA"/>
            </w:tcBorders>
            <w:shd w:val="clear" w:color="auto" w:fill="auto"/>
          </w:tcPr>
          <w:p w14:paraId="4C60D35F" w14:textId="77777777" w:rsidR="00991179" w:rsidRPr="00E444B3" w:rsidRDefault="00991179" w:rsidP="00051722">
            <w:pPr>
              <w:pStyle w:val="TableText"/>
              <w:keepNext/>
            </w:pPr>
            <w:r w:rsidRPr="00E444B3">
              <w:lastRenderedPageBreak/>
              <w:t>Ifosfamide</w:t>
            </w:r>
          </w:p>
        </w:tc>
        <w:tc>
          <w:tcPr>
            <w:tcW w:w="3119" w:type="dxa"/>
            <w:tcBorders>
              <w:top w:val="single" w:sz="4" w:space="0" w:color="C2D9BA"/>
              <w:bottom w:val="single" w:sz="4" w:space="0" w:color="C2D9BA"/>
            </w:tcBorders>
            <w:shd w:val="clear" w:color="auto" w:fill="auto"/>
            <w:vAlign w:val="bottom"/>
          </w:tcPr>
          <w:p w14:paraId="3999CEE2" w14:textId="77777777" w:rsidR="00991179" w:rsidRPr="00E444B3" w:rsidRDefault="00991179" w:rsidP="00051722">
            <w:pPr>
              <w:pStyle w:val="TableText"/>
              <w:keepNext/>
            </w:pPr>
            <w:r w:rsidRPr="00E444B3">
              <w:t>Germ cell tumour of testis</w:t>
            </w:r>
          </w:p>
        </w:tc>
        <w:tc>
          <w:tcPr>
            <w:tcW w:w="3118" w:type="dxa"/>
            <w:tcBorders>
              <w:top w:val="single" w:sz="4" w:space="0" w:color="C2D9BA"/>
              <w:bottom w:val="single" w:sz="4" w:space="0" w:color="C2D9BA"/>
            </w:tcBorders>
            <w:shd w:val="clear" w:color="auto" w:fill="auto"/>
          </w:tcPr>
          <w:p w14:paraId="5CA2991A" w14:textId="77777777" w:rsidR="00991179" w:rsidRPr="00E444B3" w:rsidRDefault="00991179" w:rsidP="00051722">
            <w:pPr>
              <w:pStyle w:val="TableText"/>
              <w:keepNext/>
            </w:pPr>
            <w:r w:rsidRPr="00E444B3">
              <w:t>Yes</w:t>
            </w:r>
          </w:p>
        </w:tc>
      </w:tr>
      <w:tr w:rsidR="00991179" w14:paraId="4E694A2D" w14:textId="77777777" w:rsidTr="00051722">
        <w:trPr>
          <w:cantSplit/>
        </w:trPr>
        <w:tc>
          <w:tcPr>
            <w:tcW w:w="1843" w:type="dxa"/>
            <w:tcBorders>
              <w:top w:val="single" w:sz="4" w:space="0" w:color="C2D9BA"/>
              <w:bottom w:val="single" w:sz="4" w:space="0" w:color="C2D9BA"/>
            </w:tcBorders>
            <w:shd w:val="clear" w:color="auto" w:fill="auto"/>
          </w:tcPr>
          <w:p w14:paraId="5F0B8DCE" w14:textId="77777777" w:rsidR="00991179" w:rsidRPr="00E444B3" w:rsidRDefault="00991179" w:rsidP="00051722">
            <w:pPr>
              <w:pStyle w:val="TableText"/>
            </w:pPr>
            <w:r w:rsidRPr="00E444B3">
              <w:t>Ifosfamide</w:t>
            </w:r>
          </w:p>
        </w:tc>
        <w:tc>
          <w:tcPr>
            <w:tcW w:w="3119" w:type="dxa"/>
            <w:tcBorders>
              <w:top w:val="single" w:sz="4" w:space="0" w:color="C2D9BA"/>
              <w:bottom w:val="single" w:sz="4" w:space="0" w:color="C2D9BA"/>
            </w:tcBorders>
            <w:shd w:val="clear" w:color="auto" w:fill="auto"/>
            <w:vAlign w:val="bottom"/>
          </w:tcPr>
          <w:p w14:paraId="594BF785" w14:textId="77777777" w:rsidR="00991179" w:rsidRPr="00E444B3" w:rsidRDefault="00991179" w:rsidP="00051722">
            <w:pPr>
              <w:pStyle w:val="TableText"/>
            </w:pPr>
            <w:r w:rsidRPr="00E444B3">
              <w:t>Osteosarcoma of bone and articular cartilage of unspecified sites</w:t>
            </w:r>
          </w:p>
        </w:tc>
        <w:tc>
          <w:tcPr>
            <w:tcW w:w="3118" w:type="dxa"/>
            <w:tcBorders>
              <w:top w:val="single" w:sz="4" w:space="0" w:color="C2D9BA"/>
              <w:bottom w:val="single" w:sz="4" w:space="0" w:color="C2D9BA"/>
            </w:tcBorders>
            <w:shd w:val="clear" w:color="auto" w:fill="auto"/>
          </w:tcPr>
          <w:p w14:paraId="5263816E" w14:textId="77777777" w:rsidR="00991179" w:rsidRPr="00E444B3" w:rsidRDefault="00991179" w:rsidP="00051722">
            <w:pPr>
              <w:pStyle w:val="TableText"/>
            </w:pPr>
            <w:r w:rsidRPr="00E444B3">
              <w:t>Yes</w:t>
            </w:r>
          </w:p>
        </w:tc>
      </w:tr>
      <w:tr w:rsidR="00991179" w14:paraId="03CDBE31" w14:textId="77777777" w:rsidTr="00051722">
        <w:trPr>
          <w:cantSplit/>
        </w:trPr>
        <w:tc>
          <w:tcPr>
            <w:tcW w:w="1843" w:type="dxa"/>
            <w:tcBorders>
              <w:top w:val="single" w:sz="4" w:space="0" w:color="C2D9BA"/>
              <w:bottom w:val="single" w:sz="4" w:space="0" w:color="C2D9BA"/>
            </w:tcBorders>
            <w:shd w:val="clear" w:color="auto" w:fill="auto"/>
          </w:tcPr>
          <w:p w14:paraId="384F8BCC" w14:textId="77777777" w:rsidR="00991179" w:rsidRPr="00E444B3" w:rsidRDefault="00991179" w:rsidP="00051722">
            <w:pPr>
              <w:pStyle w:val="TableText"/>
            </w:pPr>
            <w:r w:rsidRPr="00E444B3">
              <w:t>Ifosfamide</w:t>
            </w:r>
          </w:p>
        </w:tc>
        <w:tc>
          <w:tcPr>
            <w:tcW w:w="3119" w:type="dxa"/>
            <w:tcBorders>
              <w:top w:val="single" w:sz="4" w:space="0" w:color="C2D9BA"/>
              <w:bottom w:val="single" w:sz="4" w:space="0" w:color="C2D9BA"/>
            </w:tcBorders>
            <w:shd w:val="clear" w:color="auto" w:fill="auto"/>
            <w:vAlign w:val="bottom"/>
          </w:tcPr>
          <w:p w14:paraId="5EB2D6B7" w14:textId="77777777" w:rsidR="00991179" w:rsidRPr="00E444B3" w:rsidRDefault="00991179" w:rsidP="00051722">
            <w:pPr>
              <w:pStyle w:val="TableText"/>
            </w:pPr>
            <w:r w:rsidRPr="00E444B3">
              <w:t>Rhabdomyosarcoma primary site</w:t>
            </w:r>
          </w:p>
        </w:tc>
        <w:tc>
          <w:tcPr>
            <w:tcW w:w="3118" w:type="dxa"/>
            <w:tcBorders>
              <w:top w:val="single" w:sz="4" w:space="0" w:color="C2D9BA"/>
              <w:bottom w:val="single" w:sz="4" w:space="0" w:color="C2D9BA"/>
            </w:tcBorders>
            <w:shd w:val="clear" w:color="auto" w:fill="auto"/>
          </w:tcPr>
          <w:p w14:paraId="0DE420DF" w14:textId="77777777" w:rsidR="00991179" w:rsidRPr="00E444B3" w:rsidRDefault="00991179" w:rsidP="00051722">
            <w:pPr>
              <w:pStyle w:val="TableText"/>
            </w:pPr>
            <w:r w:rsidRPr="00E444B3">
              <w:t>Yes</w:t>
            </w:r>
          </w:p>
        </w:tc>
      </w:tr>
      <w:tr w:rsidR="00991179" w14:paraId="2E8DC046" w14:textId="77777777" w:rsidTr="00051722">
        <w:trPr>
          <w:cantSplit/>
        </w:trPr>
        <w:tc>
          <w:tcPr>
            <w:tcW w:w="1843" w:type="dxa"/>
            <w:tcBorders>
              <w:top w:val="single" w:sz="4" w:space="0" w:color="C2D9BA"/>
              <w:bottom w:val="single" w:sz="4" w:space="0" w:color="C2D9BA"/>
            </w:tcBorders>
            <w:shd w:val="clear" w:color="auto" w:fill="auto"/>
          </w:tcPr>
          <w:p w14:paraId="0706139A" w14:textId="77777777" w:rsidR="00991179" w:rsidRPr="00E444B3" w:rsidRDefault="00991179" w:rsidP="000861AF">
            <w:pPr>
              <w:pStyle w:val="TableText"/>
            </w:pPr>
            <w:r w:rsidRPr="00E444B3">
              <w:t>Imatinib</w:t>
            </w:r>
          </w:p>
        </w:tc>
        <w:tc>
          <w:tcPr>
            <w:tcW w:w="3119" w:type="dxa"/>
            <w:tcBorders>
              <w:top w:val="single" w:sz="4" w:space="0" w:color="C2D9BA"/>
              <w:bottom w:val="single" w:sz="4" w:space="0" w:color="C2D9BA"/>
            </w:tcBorders>
            <w:shd w:val="clear" w:color="auto" w:fill="auto"/>
            <w:vAlign w:val="bottom"/>
          </w:tcPr>
          <w:p w14:paraId="0F2ABE76" w14:textId="77777777" w:rsidR="00991179" w:rsidRPr="00E444B3" w:rsidRDefault="00991179" w:rsidP="00991179">
            <w:pPr>
              <w:pStyle w:val="TableText"/>
            </w:pPr>
            <w:r w:rsidRPr="00E444B3">
              <w:t>Gastrointestinal stromal tumour of unspecified gastrointestinal sites</w:t>
            </w:r>
          </w:p>
        </w:tc>
        <w:tc>
          <w:tcPr>
            <w:tcW w:w="3118" w:type="dxa"/>
            <w:tcBorders>
              <w:top w:val="single" w:sz="4" w:space="0" w:color="C2D9BA"/>
              <w:bottom w:val="single" w:sz="4" w:space="0" w:color="C2D9BA"/>
            </w:tcBorders>
            <w:shd w:val="clear" w:color="auto" w:fill="auto"/>
          </w:tcPr>
          <w:p w14:paraId="75D95B3A" w14:textId="77777777" w:rsidR="00991179" w:rsidRPr="00E444B3" w:rsidRDefault="00991179" w:rsidP="00991179">
            <w:pPr>
              <w:pStyle w:val="TableText"/>
            </w:pPr>
            <w:r w:rsidRPr="00E444B3">
              <w:t>Yes</w:t>
            </w:r>
          </w:p>
        </w:tc>
      </w:tr>
      <w:tr w:rsidR="00991179" w14:paraId="6976C20C" w14:textId="77777777" w:rsidTr="00051722">
        <w:trPr>
          <w:cantSplit/>
        </w:trPr>
        <w:tc>
          <w:tcPr>
            <w:tcW w:w="1843" w:type="dxa"/>
            <w:tcBorders>
              <w:top w:val="single" w:sz="4" w:space="0" w:color="C2D9BA"/>
              <w:bottom w:val="single" w:sz="4" w:space="0" w:color="C2D9BA"/>
            </w:tcBorders>
            <w:shd w:val="clear" w:color="auto" w:fill="auto"/>
          </w:tcPr>
          <w:p w14:paraId="0F160F2E" w14:textId="77777777" w:rsidR="00991179" w:rsidRPr="00E444B3" w:rsidRDefault="00991179" w:rsidP="000861AF">
            <w:pPr>
              <w:pStyle w:val="TableText"/>
            </w:pPr>
            <w:r w:rsidRPr="00E444B3">
              <w:t>Imatinib</w:t>
            </w:r>
          </w:p>
        </w:tc>
        <w:tc>
          <w:tcPr>
            <w:tcW w:w="3119" w:type="dxa"/>
            <w:tcBorders>
              <w:top w:val="single" w:sz="4" w:space="0" w:color="C2D9BA"/>
              <w:bottom w:val="single" w:sz="4" w:space="0" w:color="C2D9BA"/>
            </w:tcBorders>
            <w:shd w:val="clear" w:color="auto" w:fill="auto"/>
            <w:vAlign w:val="bottom"/>
          </w:tcPr>
          <w:p w14:paraId="5C5111B4" w14:textId="77777777" w:rsidR="00991179" w:rsidRPr="00E444B3" w:rsidRDefault="00991179" w:rsidP="00991179">
            <w:pPr>
              <w:pStyle w:val="TableText"/>
            </w:pPr>
            <w:r w:rsidRPr="00E444B3">
              <w:t>Chronic myeloid leukaemia, NOS</w:t>
            </w:r>
          </w:p>
        </w:tc>
        <w:tc>
          <w:tcPr>
            <w:tcW w:w="3118" w:type="dxa"/>
            <w:tcBorders>
              <w:top w:val="single" w:sz="4" w:space="0" w:color="C2D9BA"/>
              <w:bottom w:val="single" w:sz="4" w:space="0" w:color="C2D9BA"/>
            </w:tcBorders>
            <w:shd w:val="clear" w:color="auto" w:fill="auto"/>
          </w:tcPr>
          <w:p w14:paraId="2D2116DC" w14:textId="77777777" w:rsidR="00991179" w:rsidRPr="00E444B3" w:rsidRDefault="00991179" w:rsidP="00991179">
            <w:pPr>
              <w:pStyle w:val="TableText"/>
            </w:pPr>
            <w:r w:rsidRPr="00E444B3">
              <w:t>Yes</w:t>
            </w:r>
          </w:p>
        </w:tc>
      </w:tr>
      <w:tr w:rsidR="00991179" w14:paraId="6CD16D5E" w14:textId="77777777" w:rsidTr="00051722">
        <w:trPr>
          <w:cantSplit/>
        </w:trPr>
        <w:tc>
          <w:tcPr>
            <w:tcW w:w="1843" w:type="dxa"/>
            <w:tcBorders>
              <w:top w:val="single" w:sz="4" w:space="0" w:color="C2D9BA"/>
              <w:bottom w:val="single" w:sz="4" w:space="0" w:color="C2D9BA"/>
            </w:tcBorders>
            <w:shd w:val="clear" w:color="auto" w:fill="auto"/>
          </w:tcPr>
          <w:p w14:paraId="0BFF352F" w14:textId="77777777" w:rsidR="00991179" w:rsidRPr="00E444B3" w:rsidRDefault="00991179" w:rsidP="000861AF">
            <w:pPr>
              <w:pStyle w:val="TableText"/>
            </w:pPr>
            <w:r w:rsidRPr="00E444B3">
              <w:t>Irinotecan</w:t>
            </w:r>
          </w:p>
        </w:tc>
        <w:tc>
          <w:tcPr>
            <w:tcW w:w="3119" w:type="dxa"/>
            <w:tcBorders>
              <w:top w:val="single" w:sz="4" w:space="0" w:color="C2D9BA"/>
              <w:bottom w:val="single" w:sz="4" w:space="0" w:color="C2D9BA"/>
            </w:tcBorders>
            <w:shd w:val="clear" w:color="auto" w:fill="auto"/>
          </w:tcPr>
          <w:p w14:paraId="58A7F1FD" w14:textId="77777777" w:rsidR="00991179" w:rsidRPr="00E444B3" w:rsidRDefault="00991179" w:rsidP="00991179">
            <w:pPr>
              <w:pStyle w:val="TableText"/>
            </w:pPr>
            <w:r w:rsidRPr="00E444B3">
              <w:t>Malignant neoplasm metastasis in large intestine</w:t>
            </w:r>
          </w:p>
        </w:tc>
        <w:tc>
          <w:tcPr>
            <w:tcW w:w="3118" w:type="dxa"/>
            <w:tcBorders>
              <w:top w:val="single" w:sz="4" w:space="0" w:color="C2D9BA"/>
              <w:bottom w:val="single" w:sz="4" w:space="0" w:color="C2D9BA"/>
            </w:tcBorders>
            <w:shd w:val="clear" w:color="auto" w:fill="auto"/>
          </w:tcPr>
          <w:p w14:paraId="3DFB4D4E" w14:textId="77777777" w:rsidR="00991179" w:rsidRPr="00E444B3" w:rsidRDefault="00991179" w:rsidP="00991179">
            <w:pPr>
              <w:pStyle w:val="TableText"/>
            </w:pPr>
            <w:r w:rsidRPr="00E444B3">
              <w:t>Yes</w:t>
            </w:r>
          </w:p>
        </w:tc>
      </w:tr>
      <w:tr w:rsidR="00991179" w14:paraId="5CB91AF3" w14:textId="77777777" w:rsidTr="00051722">
        <w:trPr>
          <w:cantSplit/>
        </w:trPr>
        <w:tc>
          <w:tcPr>
            <w:tcW w:w="1843" w:type="dxa"/>
            <w:tcBorders>
              <w:top w:val="single" w:sz="4" w:space="0" w:color="C2D9BA"/>
              <w:bottom w:val="single" w:sz="4" w:space="0" w:color="C2D9BA"/>
            </w:tcBorders>
            <w:shd w:val="clear" w:color="auto" w:fill="auto"/>
          </w:tcPr>
          <w:p w14:paraId="395DACA7" w14:textId="77777777" w:rsidR="00991179" w:rsidRPr="00E444B3" w:rsidRDefault="00991179" w:rsidP="000861AF">
            <w:pPr>
              <w:pStyle w:val="TableText"/>
            </w:pPr>
            <w:r w:rsidRPr="00E444B3">
              <w:t>Lenalidomide</w:t>
            </w:r>
          </w:p>
        </w:tc>
        <w:tc>
          <w:tcPr>
            <w:tcW w:w="3119" w:type="dxa"/>
            <w:tcBorders>
              <w:top w:val="single" w:sz="4" w:space="0" w:color="C2D9BA"/>
              <w:bottom w:val="single" w:sz="4" w:space="0" w:color="C2D9BA"/>
            </w:tcBorders>
            <w:shd w:val="clear" w:color="auto" w:fill="auto"/>
          </w:tcPr>
          <w:p w14:paraId="59B56619" w14:textId="77777777" w:rsidR="00991179" w:rsidRPr="00E444B3" w:rsidRDefault="00991179" w:rsidP="00991179">
            <w:pPr>
              <w:pStyle w:val="TableText"/>
            </w:pPr>
            <w:r w:rsidRPr="00E444B3">
              <w:t>Plasma cell myeloma</w:t>
            </w:r>
          </w:p>
        </w:tc>
        <w:tc>
          <w:tcPr>
            <w:tcW w:w="3118" w:type="dxa"/>
            <w:tcBorders>
              <w:top w:val="single" w:sz="4" w:space="0" w:color="C2D9BA"/>
              <w:bottom w:val="single" w:sz="4" w:space="0" w:color="C2D9BA"/>
            </w:tcBorders>
            <w:shd w:val="clear" w:color="auto" w:fill="auto"/>
          </w:tcPr>
          <w:p w14:paraId="1F1AA859" w14:textId="77777777" w:rsidR="00991179" w:rsidRPr="00E444B3" w:rsidRDefault="00991179" w:rsidP="00991179">
            <w:pPr>
              <w:pStyle w:val="TableText"/>
            </w:pPr>
            <w:r w:rsidRPr="00E444B3">
              <w:t>Yes</w:t>
            </w:r>
          </w:p>
        </w:tc>
      </w:tr>
      <w:tr w:rsidR="00991179" w14:paraId="4833583A" w14:textId="77777777" w:rsidTr="00051722">
        <w:trPr>
          <w:cantSplit/>
        </w:trPr>
        <w:tc>
          <w:tcPr>
            <w:tcW w:w="1843" w:type="dxa"/>
            <w:tcBorders>
              <w:top w:val="single" w:sz="4" w:space="0" w:color="C2D9BA"/>
              <w:bottom w:val="single" w:sz="4" w:space="0" w:color="C2D9BA"/>
            </w:tcBorders>
            <w:shd w:val="clear" w:color="auto" w:fill="auto"/>
          </w:tcPr>
          <w:p w14:paraId="444BB418" w14:textId="77777777" w:rsidR="00991179" w:rsidRPr="00E444B3" w:rsidRDefault="00991179" w:rsidP="000861AF">
            <w:pPr>
              <w:pStyle w:val="TableText"/>
            </w:pPr>
            <w:r w:rsidRPr="00E444B3">
              <w:t>Leuprorelin</w:t>
            </w:r>
          </w:p>
        </w:tc>
        <w:tc>
          <w:tcPr>
            <w:tcW w:w="3119" w:type="dxa"/>
            <w:tcBorders>
              <w:top w:val="single" w:sz="4" w:space="0" w:color="C2D9BA"/>
              <w:bottom w:val="single" w:sz="4" w:space="0" w:color="C2D9BA"/>
            </w:tcBorders>
            <w:shd w:val="clear" w:color="auto" w:fill="auto"/>
          </w:tcPr>
          <w:p w14:paraId="2748D210" w14:textId="77777777" w:rsidR="00991179" w:rsidRPr="00E444B3" w:rsidRDefault="00991179" w:rsidP="00051722">
            <w:pPr>
              <w:pStyle w:val="TableText"/>
            </w:pPr>
            <w:r w:rsidRPr="00E444B3">
              <w:t>Malignant neoplasms of prostate</w:t>
            </w:r>
          </w:p>
        </w:tc>
        <w:tc>
          <w:tcPr>
            <w:tcW w:w="3118" w:type="dxa"/>
            <w:tcBorders>
              <w:top w:val="single" w:sz="4" w:space="0" w:color="C2D9BA"/>
              <w:bottom w:val="single" w:sz="4" w:space="0" w:color="C2D9BA"/>
            </w:tcBorders>
            <w:shd w:val="clear" w:color="auto" w:fill="auto"/>
          </w:tcPr>
          <w:p w14:paraId="2FAF8562" w14:textId="77777777" w:rsidR="00991179" w:rsidRDefault="00991179" w:rsidP="00991179">
            <w:pPr>
              <w:pStyle w:val="TableText"/>
            </w:pPr>
            <w:r w:rsidRPr="00E444B3">
              <w:t>Yes (part charge applies)</w:t>
            </w:r>
          </w:p>
          <w:p w14:paraId="7B9CC4B5" w14:textId="77777777" w:rsidR="00991179" w:rsidRPr="00E444B3" w:rsidRDefault="00991179" w:rsidP="00051722">
            <w:pPr>
              <w:pStyle w:val="TableText"/>
            </w:pPr>
            <w:r w:rsidRPr="41F07AD9">
              <w:rPr>
                <w:color w:val="000000" w:themeColor="text1"/>
              </w:rPr>
              <w:t>(The WHO recommends leuprorelin as an example of medicines from the gonadotropin releasing hormone analogue class of medicines. Goserelin, which also belongs to this class of medicines, is funded in Aotearoa without restriction.)</w:t>
            </w:r>
          </w:p>
        </w:tc>
      </w:tr>
      <w:tr w:rsidR="00991179" w14:paraId="27605445" w14:textId="77777777" w:rsidTr="00051722">
        <w:trPr>
          <w:cantSplit/>
        </w:trPr>
        <w:tc>
          <w:tcPr>
            <w:tcW w:w="1843" w:type="dxa"/>
            <w:tcBorders>
              <w:top w:val="single" w:sz="4" w:space="0" w:color="C2D9BA"/>
              <w:bottom w:val="single" w:sz="4" w:space="0" w:color="C2D9BA"/>
            </w:tcBorders>
            <w:shd w:val="clear" w:color="auto" w:fill="auto"/>
          </w:tcPr>
          <w:p w14:paraId="74CC884D" w14:textId="77777777" w:rsidR="00991179" w:rsidRPr="00E444B3" w:rsidRDefault="00991179" w:rsidP="000861AF">
            <w:pPr>
              <w:pStyle w:val="TableText"/>
            </w:pPr>
            <w:r w:rsidRPr="00E444B3">
              <w:t>Leuprorelin</w:t>
            </w:r>
          </w:p>
        </w:tc>
        <w:tc>
          <w:tcPr>
            <w:tcW w:w="3119" w:type="dxa"/>
            <w:tcBorders>
              <w:top w:val="single" w:sz="4" w:space="0" w:color="C2D9BA"/>
              <w:bottom w:val="single" w:sz="4" w:space="0" w:color="C2D9BA"/>
            </w:tcBorders>
            <w:shd w:val="clear" w:color="auto" w:fill="auto"/>
          </w:tcPr>
          <w:p w14:paraId="6595ED01" w14:textId="77777777" w:rsidR="00991179" w:rsidRPr="00E444B3" w:rsidRDefault="00991179" w:rsidP="00051722">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43B22318" w14:textId="77777777" w:rsidR="00991179" w:rsidRDefault="00991179" w:rsidP="00991179">
            <w:pPr>
              <w:pStyle w:val="TableText"/>
            </w:pPr>
            <w:r w:rsidRPr="00E444B3">
              <w:t>Yes (part charge applies)</w:t>
            </w:r>
          </w:p>
          <w:p w14:paraId="23F9207E" w14:textId="77777777" w:rsidR="00991179" w:rsidRPr="00E444B3" w:rsidRDefault="00991179" w:rsidP="00991179">
            <w:pPr>
              <w:pStyle w:val="TableText"/>
            </w:pPr>
            <w:r w:rsidRPr="41F07AD9">
              <w:rPr>
                <w:color w:val="000000" w:themeColor="text1"/>
              </w:rPr>
              <w:t>(The WHO recommends leuprorelin as an example of medicines from the gonadotropin releasing hormone analogue class of medicines. Goserelin, which also belongs to this class of medicines, is funded in</w:t>
            </w:r>
            <w:r w:rsidR="00051722">
              <w:rPr>
                <w:color w:val="000000" w:themeColor="text1"/>
              </w:rPr>
              <w:t xml:space="preserve"> Aotearoa without restriction.)</w:t>
            </w:r>
          </w:p>
        </w:tc>
      </w:tr>
      <w:tr w:rsidR="00991179" w14:paraId="7B68D2B5" w14:textId="77777777" w:rsidTr="00051722">
        <w:trPr>
          <w:cantSplit/>
        </w:trPr>
        <w:tc>
          <w:tcPr>
            <w:tcW w:w="1843" w:type="dxa"/>
            <w:tcBorders>
              <w:top w:val="single" w:sz="4" w:space="0" w:color="C2D9BA"/>
              <w:bottom w:val="single" w:sz="4" w:space="0" w:color="C2D9BA"/>
            </w:tcBorders>
            <w:shd w:val="clear" w:color="auto" w:fill="auto"/>
          </w:tcPr>
          <w:p w14:paraId="358DB462" w14:textId="77777777" w:rsidR="00991179" w:rsidRPr="00E444B3" w:rsidRDefault="00991179" w:rsidP="000861AF">
            <w:pPr>
              <w:pStyle w:val="TableText"/>
            </w:pPr>
            <w:r w:rsidRPr="00E444B3">
              <w:t>Melphalan</w:t>
            </w:r>
          </w:p>
        </w:tc>
        <w:tc>
          <w:tcPr>
            <w:tcW w:w="3119" w:type="dxa"/>
            <w:tcBorders>
              <w:top w:val="single" w:sz="4" w:space="0" w:color="C2D9BA"/>
              <w:bottom w:val="single" w:sz="4" w:space="0" w:color="C2D9BA"/>
            </w:tcBorders>
            <w:shd w:val="clear" w:color="auto" w:fill="auto"/>
          </w:tcPr>
          <w:p w14:paraId="184DDADC" w14:textId="77777777" w:rsidR="00991179" w:rsidRPr="00E444B3" w:rsidRDefault="00991179" w:rsidP="00991179">
            <w:pPr>
              <w:pStyle w:val="TableText"/>
            </w:pPr>
            <w:r w:rsidRPr="00E444B3">
              <w:t>Plasma cell myeloma</w:t>
            </w:r>
          </w:p>
        </w:tc>
        <w:tc>
          <w:tcPr>
            <w:tcW w:w="3118" w:type="dxa"/>
            <w:tcBorders>
              <w:top w:val="single" w:sz="4" w:space="0" w:color="C2D9BA"/>
              <w:bottom w:val="single" w:sz="4" w:space="0" w:color="C2D9BA"/>
            </w:tcBorders>
            <w:shd w:val="clear" w:color="auto" w:fill="auto"/>
          </w:tcPr>
          <w:p w14:paraId="7DD1F9CB" w14:textId="77777777" w:rsidR="00991179" w:rsidRPr="00E444B3" w:rsidRDefault="00991179" w:rsidP="00991179">
            <w:pPr>
              <w:pStyle w:val="TableText"/>
            </w:pPr>
            <w:r w:rsidRPr="00E444B3">
              <w:t>Yes</w:t>
            </w:r>
          </w:p>
        </w:tc>
      </w:tr>
      <w:tr w:rsidR="00991179" w14:paraId="798B7BF0" w14:textId="77777777" w:rsidTr="00051722">
        <w:trPr>
          <w:cantSplit/>
        </w:trPr>
        <w:tc>
          <w:tcPr>
            <w:tcW w:w="1843" w:type="dxa"/>
            <w:tcBorders>
              <w:top w:val="single" w:sz="4" w:space="0" w:color="C2D9BA"/>
              <w:bottom w:val="single" w:sz="4" w:space="0" w:color="C2D9BA"/>
            </w:tcBorders>
            <w:shd w:val="clear" w:color="auto" w:fill="auto"/>
          </w:tcPr>
          <w:p w14:paraId="7F687498" w14:textId="77777777" w:rsidR="00991179" w:rsidRPr="00E444B3" w:rsidRDefault="00991179" w:rsidP="000861AF">
            <w:pPr>
              <w:pStyle w:val="TableText"/>
            </w:pPr>
            <w:r w:rsidRPr="00E444B3">
              <w:t>Mercaptopurine</w:t>
            </w:r>
          </w:p>
        </w:tc>
        <w:tc>
          <w:tcPr>
            <w:tcW w:w="3119" w:type="dxa"/>
            <w:tcBorders>
              <w:top w:val="single" w:sz="4" w:space="0" w:color="C2D9BA"/>
              <w:bottom w:val="single" w:sz="4" w:space="0" w:color="C2D9BA"/>
            </w:tcBorders>
            <w:shd w:val="clear" w:color="auto" w:fill="auto"/>
          </w:tcPr>
          <w:p w14:paraId="654DDB62"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76E63BA7" w14:textId="77777777" w:rsidR="00991179" w:rsidRPr="00E444B3" w:rsidRDefault="00991179" w:rsidP="00991179">
            <w:pPr>
              <w:pStyle w:val="TableText"/>
            </w:pPr>
            <w:r w:rsidRPr="00E444B3">
              <w:t>Yes</w:t>
            </w:r>
          </w:p>
        </w:tc>
      </w:tr>
      <w:tr w:rsidR="00991179" w14:paraId="1229B17C" w14:textId="77777777" w:rsidTr="00051722">
        <w:trPr>
          <w:cantSplit/>
        </w:trPr>
        <w:tc>
          <w:tcPr>
            <w:tcW w:w="1843" w:type="dxa"/>
            <w:tcBorders>
              <w:top w:val="single" w:sz="4" w:space="0" w:color="C2D9BA"/>
              <w:bottom w:val="single" w:sz="4" w:space="0" w:color="C2D9BA"/>
            </w:tcBorders>
            <w:shd w:val="clear" w:color="auto" w:fill="auto"/>
          </w:tcPr>
          <w:p w14:paraId="771E9335" w14:textId="77777777" w:rsidR="00991179" w:rsidRPr="00E444B3" w:rsidRDefault="00991179" w:rsidP="000861AF">
            <w:pPr>
              <w:pStyle w:val="TableText"/>
            </w:pPr>
            <w:r w:rsidRPr="00E444B3">
              <w:t>Mercaptopurine</w:t>
            </w:r>
          </w:p>
        </w:tc>
        <w:tc>
          <w:tcPr>
            <w:tcW w:w="3119" w:type="dxa"/>
            <w:tcBorders>
              <w:top w:val="single" w:sz="4" w:space="0" w:color="C2D9BA"/>
              <w:bottom w:val="single" w:sz="4" w:space="0" w:color="C2D9BA"/>
            </w:tcBorders>
            <w:shd w:val="clear" w:color="auto" w:fill="auto"/>
          </w:tcPr>
          <w:p w14:paraId="6B023D2E" w14:textId="77777777" w:rsidR="00991179" w:rsidRPr="00E444B3" w:rsidRDefault="00991179" w:rsidP="00991179">
            <w:pPr>
              <w:pStyle w:val="TableText"/>
            </w:pPr>
            <w:r w:rsidRPr="00E444B3">
              <w:t>Acute myeloid leukaemia with recurrent genetic abnormalities</w:t>
            </w:r>
          </w:p>
        </w:tc>
        <w:tc>
          <w:tcPr>
            <w:tcW w:w="3118" w:type="dxa"/>
            <w:tcBorders>
              <w:top w:val="single" w:sz="4" w:space="0" w:color="C2D9BA"/>
              <w:bottom w:val="single" w:sz="4" w:space="0" w:color="C2D9BA"/>
            </w:tcBorders>
            <w:shd w:val="clear" w:color="auto" w:fill="auto"/>
          </w:tcPr>
          <w:p w14:paraId="4FF20153" w14:textId="77777777" w:rsidR="00991179" w:rsidRPr="00E444B3" w:rsidRDefault="00991179" w:rsidP="00991179">
            <w:pPr>
              <w:pStyle w:val="TableText"/>
            </w:pPr>
            <w:r w:rsidRPr="00E444B3">
              <w:t>Yes</w:t>
            </w:r>
          </w:p>
        </w:tc>
      </w:tr>
      <w:tr w:rsidR="00991179" w14:paraId="053B9DBA" w14:textId="77777777" w:rsidTr="00051722">
        <w:trPr>
          <w:cantSplit/>
        </w:trPr>
        <w:tc>
          <w:tcPr>
            <w:tcW w:w="1843" w:type="dxa"/>
            <w:tcBorders>
              <w:top w:val="single" w:sz="4" w:space="0" w:color="C2D9BA"/>
              <w:bottom w:val="single" w:sz="4" w:space="0" w:color="C2D9BA"/>
            </w:tcBorders>
            <w:shd w:val="clear" w:color="auto" w:fill="auto"/>
          </w:tcPr>
          <w:p w14:paraId="648A9DD6" w14:textId="77777777" w:rsidR="00991179" w:rsidRPr="00E444B3" w:rsidRDefault="00991179" w:rsidP="000861AF">
            <w:pPr>
              <w:pStyle w:val="TableText"/>
            </w:pPr>
            <w:r w:rsidRPr="00E444B3">
              <w:t>Methotrexate</w:t>
            </w:r>
          </w:p>
        </w:tc>
        <w:tc>
          <w:tcPr>
            <w:tcW w:w="3119" w:type="dxa"/>
            <w:tcBorders>
              <w:top w:val="single" w:sz="4" w:space="0" w:color="C2D9BA"/>
              <w:bottom w:val="single" w:sz="4" w:space="0" w:color="C2D9BA"/>
            </w:tcBorders>
            <w:shd w:val="clear" w:color="auto" w:fill="auto"/>
          </w:tcPr>
          <w:p w14:paraId="34D618FF" w14:textId="77777777" w:rsidR="00991179" w:rsidRPr="00E444B3" w:rsidRDefault="00991179" w:rsidP="00991179">
            <w:pPr>
              <w:pStyle w:val="TableText"/>
            </w:pPr>
            <w:r w:rsidRPr="00E444B3">
              <w:t>Acute myeloid leukaemia with recurrent genetic abnormalities</w:t>
            </w:r>
          </w:p>
        </w:tc>
        <w:tc>
          <w:tcPr>
            <w:tcW w:w="3118" w:type="dxa"/>
            <w:tcBorders>
              <w:top w:val="single" w:sz="4" w:space="0" w:color="C2D9BA"/>
              <w:bottom w:val="single" w:sz="4" w:space="0" w:color="C2D9BA"/>
            </w:tcBorders>
            <w:shd w:val="clear" w:color="auto" w:fill="auto"/>
          </w:tcPr>
          <w:p w14:paraId="1489CAF4" w14:textId="77777777" w:rsidR="00991179" w:rsidRPr="00E444B3" w:rsidRDefault="00991179" w:rsidP="00991179">
            <w:pPr>
              <w:pStyle w:val="TableText"/>
            </w:pPr>
            <w:r w:rsidRPr="00E444B3">
              <w:t>Yes</w:t>
            </w:r>
          </w:p>
        </w:tc>
      </w:tr>
      <w:tr w:rsidR="00991179" w14:paraId="223EC5DD" w14:textId="77777777" w:rsidTr="00051722">
        <w:trPr>
          <w:cantSplit/>
        </w:trPr>
        <w:tc>
          <w:tcPr>
            <w:tcW w:w="1843" w:type="dxa"/>
            <w:tcBorders>
              <w:top w:val="single" w:sz="4" w:space="0" w:color="C2D9BA"/>
              <w:bottom w:val="single" w:sz="4" w:space="0" w:color="C2D9BA"/>
            </w:tcBorders>
            <w:shd w:val="clear" w:color="auto" w:fill="auto"/>
          </w:tcPr>
          <w:p w14:paraId="5B1EAD0E" w14:textId="77777777" w:rsidR="00991179" w:rsidRPr="00E444B3" w:rsidRDefault="00991179" w:rsidP="000861AF">
            <w:pPr>
              <w:pStyle w:val="TableText"/>
            </w:pPr>
            <w:r w:rsidRPr="00E444B3">
              <w:t>Methotrexate</w:t>
            </w:r>
          </w:p>
        </w:tc>
        <w:tc>
          <w:tcPr>
            <w:tcW w:w="3119" w:type="dxa"/>
            <w:tcBorders>
              <w:top w:val="single" w:sz="4" w:space="0" w:color="C2D9BA"/>
              <w:bottom w:val="single" w:sz="4" w:space="0" w:color="C2D9BA"/>
            </w:tcBorders>
            <w:shd w:val="clear" w:color="auto" w:fill="auto"/>
          </w:tcPr>
          <w:p w14:paraId="42E1CCAD"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6B75D379" w14:textId="77777777" w:rsidR="00991179" w:rsidRPr="00E444B3" w:rsidRDefault="00991179" w:rsidP="00991179">
            <w:pPr>
              <w:pStyle w:val="TableText"/>
            </w:pPr>
            <w:r w:rsidRPr="00E444B3">
              <w:t>Yes</w:t>
            </w:r>
          </w:p>
        </w:tc>
      </w:tr>
      <w:tr w:rsidR="00991179" w14:paraId="49CD5424" w14:textId="77777777" w:rsidTr="00051722">
        <w:trPr>
          <w:cantSplit/>
        </w:trPr>
        <w:tc>
          <w:tcPr>
            <w:tcW w:w="1843" w:type="dxa"/>
            <w:tcBorders>
              <w:top w:val="single" w:sz="4" w:space="0" w:color="C2D9BA"/>
              <w:bottom w:val="single" w:sz="4" w:space="0" w:color="C2D9BA"/>
            </w:tcBorders>
            <w:shd w:val="clear" w:color="auto" w:fill="auto"/>
          </w:tcPr>
          <w:p w14:paraId="5D398155" w14:textId="77777777" w:rsidR="00991179" w:rsidRPr="00E444B3" w:rsidRDefault="00991179" w:rsidP="000861AF">
            <w:pPr>
              <w:pStyle w:val="TableText"/>
            </w:pPr>
            <w:r w:rsidRPr="00E444B3">
              <w:t>Methotrexate</w:t>
            </w:r>
          </w:p>
        </w:tc>
        <w:tc>
          <w:tcPr>
            <w:tcW w:w="3119" w:type="dxa"/>
            <w:tcBorders>
              <w:top w:val="single" w:sz="4" w:space="0" w:color="C2D9BA"/>
              <w:bottom w:val="single" w:sz="4" w:space="0" w:color="C2D9BA"/>
            </w:tcBorders>
            <w:shd w:val="clear" w:color="auto" w:fill="auto"/>
          </w:tcPr>
          <w:p w14:paraId="02236FC0"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2482D25F" w14:textId="77777777" w:rsidR="00991179" w:rsidRPr="00E444B3" w:rsidRDefault="00991179" w:rsidP="00991179">
            <w:pPr>
              <w:pStyle w:val="TableText"/>
            </w:pPr>
            <w:r w:rsidRPr="00E444B3">
              <w:t>Yes</w:t>
            </w:r>
          </w:p>
        </w:tc>
      </w:tr>
      <w:tr w:rsidR="00991179" w14:paraId="671F3B46" w14:textId="77777777" w:rsidTr="00051722">
        <w:trPr>
          <w:cantSplit/>
        </w:trPr>
        <w:tc>
          <w:tcPr>
            <w:tcW w:w="1843" w:type="dxa"/>
            <w:tcBorders>
              <w:top w:val="single" w:sz="4" w:space="0" w:color="C2D9BA"/>
              <w:bottom w:val="single" w:sz="4" w:space="0" w:color="C2D9BA"/>
            </w:tcBorders>
            <w:shd w:val="clear" w:color="auto" w:fill="auto"/>
          </w:tcPr>
          <w:p w14:paraId="6521BA73" w14:textId="77777777" w:rsidR="00991179" w:rsidRPr="00E444B3" w:rsidRDefault="00991179" w:rsidP="000861AF">
            <w:pPr>
              <w:pStyle w:val="TableText"/>
            </w:pPr>
            <w:r w:rsidRPr="00E444B3">
              <w:t>Methotrexate</w:t>
            </w:r>
          </w:p>
        </w:tc>
        <w:tc>
          <w:tcPr>
            <w:tcW w:w="3119" w:type="dxa"/>
            <w:tcBorders>
              <w:top w:val="single" w:sz="4" w:space="0" w:color="C2D9BA"/>
              <w:bottom w:val="single" w:sz="4" w:space="0" w:color="C2D9BA"/>
            </w:tcBorders>
            <w:shd w:val="clear" w:color="auto" w:fill="auto"/>
          </w:tcPr>
          <w:p w14:paraId="59FAB1A8" w14:textId="77777777" w:rsidR="00991179" w:rsidRPr="00E444B3" w:rsidRDefault="00991179" w:rsidP="00991179">
            <w:pPr>
              <w:pStyle w:val="TableText"/>
            </w:pPr>
            <w:r w:rsidRPr="00E444B3">
              <w:t>Malignant trophoblastic neoplasms of placenta</w:t>
            </w:r>
          </w:p>
        </w:tc>
        <w:tc>
          <w:tcPr>
            <w:tcW w:w="3118" w:type="dxa"/>
            <w:tcBorders>
              <w:top w:val="single" w:sz="4" w:space="0" w:color="C2D9BA"/>
              <w:bottom w:val="single" w:sz="4" w:space="0" w:color="C2D9BA"/>
            </w:tcBorders>
            <w:shd w:val="clear" w:color="auto" w:fill="auto"/>
          </w:tcPr>
          <w:p w14:paraId="017E58BF" w14:textId="77777777" w:rsidR="00991179" w:rsidRPr="00E444B3" w:rsidRDefault="00991179" w:rsidP="00991179">
            <w:pPr>
              <w:pStyle w:val="TableText"/>
            </w:pPr>
            <w:r w:rsidRPr="00E444B3">
              <w:t>Yes</w:t>
            </w:r>
          </w:p>
        </w:tc>
      </w:tr>
      <w:tr w:rsidR="00991179" w14:paraId="6F85A4B7" w14:textId="77777777" w:rsidTr="00051722">
        <w:trPr>
          <w:cantSplit/>
        </w:trPr>
        <w:tc>
          <w:tcPr>
            <w:tcW w:w="1843" w:type="dxa"/>
            <w:tcBorders>
              <w:top w:val="single" w:sz="4" w:space="0" w:color="C2D9BA"/>
              <w:bottom w:val="single" w:sz="4" w:space="0" w:color="C2D9BA"/>
            </w:tcBorders>
            <w:shd w:val="clear" w:color="auto" w:fill="auto"/>
          </w:tcPr>
          <w:p w14:paraId="3431ECDC" w14:textId="77777777" w:rsidR="00991179" w:rsidRPr="00E444B3" w:rsidRDefault="00991179" w:rsidP="000861AF">
            <w:pPr>
              <w:pStyle w:val="TableText"/>
            </w:pPr>
            <w:r w:rsidRPr="00E444B3">
              <w:t>Methotrexate</w:t>
            </w:r>
          </w:p>
        </w:tc>
        <w:tc>
          <w:tcPr>
            <w:tcW w:w="3119" w:type="dxa"/>
            <w:tcBorders>
              <w:top w:val="single" w:sz="4" w:space="0" w:color="C2D9BA"/>
              <w:bottom w:val="single" w:sz="4" w:space="0" w:color="C2D9BA"/>
            </w:tcBorders>
            <w:shd w:val="clear" w:color="auto" w:fill="auto"/>
          </w:tcPr>
          <w:p w14:paraId="7A587F99" w14:textId="77777777" w:rsidR="00991179" w:rsidRPr="00E444B3" w:rsidRDefault="00991179" w:rsidP="00991179">
            <w:pPr>
              <w:pStyle w:val="TableText"/>
            </w:pPr>
            <w:r w:rsidRPr="00E444B3">
              <w:t>Osteosarcoma of bone and articular cartilage of unspecified sites</w:t>
            </w:r>
          </w:p>
        </w:tc>
        <w:tc>
          <w:tcPr>
            <w:tcW w:w="3118" w:type="dxa"/>
            <w:tcBorders>
              <w:top w:val="single" w:sz="4" w:space="0" w:color="C2D9BA"/>
              <w:bottom w:val="single" w:sz="4" w:space="0" w:color="C2D9BA"/>
            </w:tcBorders>
            <w:shd w:val="clear" w:color="auto" w:fill="auto"/>
          </w:tcPr>
          <w:p w14:paraId="3023FBF5" w14:textId="77777777" w:rsidR="00991179" w:rsidRPr="00E444B3" w:rsidRDefault="00991179" w:rsidP="00991179">
            <w:pPr>
              <w:pStyle w:val="TableText"/>
            </w:pPr>
            <w:r w:rsidRPr="00E444B3">
              <w:t>Yes</w:t>
            </w:r>
          </w:p>
        </w:tc>
      </w:tr>
      <w:tr w:rsidR="00991179" w14:paraId="44482A56" w14:textId="77777777" w:rsidTr="00051722">
        <w:trPr>
          <w:cantSplit/>
        </w:trPr>
        <w:tc>
          <w:tcPr>
            <w:tcW w:w="1843" w:type="dxa"/>
            <w:tcBorders>
              <w:top w:val="single" w:sz="4" w:space="0" w:color="C2D9BA"/>
              <w:bottom w:val="single" w:sz="4" w:space="0" w:color="C2D9BA"/>
            </w:tcBorders>
            <w:shd w:val="clear" w:color="auto" w:fill="auto"/>
          </w:tcPr>
          <w:p w14:paraId="750D01F4" w14:textId="77777777" w:rsidR="00991179" w:rsidRPr="00E444B3" w:rsidRDefault="00991179" w:rsidP="000861AF">
            <w:pPr>
              <w:pStyle w:val="TableText"/>
            </w:pPr>
            <w:r w:rsidRPr="00E444B3">
              <w:t>Methylprednisolone</w:t>
            </w:r>
          </w:p>
        </w:tc>
        <w:tc>
          <w:tcPr>
            <w:tcW w:w="3119" w:type="dxa"/>
            <w:tcBorders>
              <w:top w:val="single" w:sz="4" w:space="0" w:color="C2D9BA"/>
              <w:bottom w:val="single" w:sz="4" w:space="0" w:color="C2D9BA"/>
            </w:tcBorders>
            <w:shd w:val="clear" w:color="auto" w:fill="auto"/>
          </w:tcPr>
          <w:p w14:paraId="0F10E90D"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16C9517F" w14:textId="77777777" w:rsidR="00991179" w:rsidRPr="00E444B3" w:rsidRDefault="00991179" w:rsidP="00991179">
            <w:pPr>
              <w:pStyle w:val="TableText"/>
            </w:pPr>
            <w:r w:rsidRPr="00E444B3">
              <w:t>Yes</w:t>
            </w:r>
          </w:p>
        </w:tc>
      </w:tr>
      <w:tr w:rsidR="00991179" w14:paraId="1A27FB70" w14:textId="77777777" w:rsidTr="00051722">
        <w:trPr>
          <w:cantSplit/>
        </w:trPr>
        <w:tc>
          <w:tcPr>
            <w:tcW w:w="1843" w:type="dxa"/>
            <w:tcBorders>
              <w:top w:val="single" w:sz="4" w:space="0" w:color="C2D9BA"/>
              <w:bottom w:val="single" w:sz="4" w:space="0" w:color="C2D9BA"/>
            </w:tcBorders>
            <w:shd w:val="clear" w:color="auto" w:fill="auto"/>
          </w:tcPr>
          <w:p w14:paraId="1F8CFDBC" w14:textId="77777777" w:rsidR="00991179" w:rsidRPr="00E444B3" w:rsidRDefault="00991179" w:rsidP="000861AF">
            <w:pPr>
              <w:pStyle w:val="TableText"/>
            </w:pPr>
            <w:r w:rsidRPr="00E444B3">
              <w:t>Nivolumab</w:t>
            </w:r>
          </w:p>
        </w:tc>
        <w:tc>
          <w:tcPr>
            <w:tcW w:w="3119" w:type="dxa"/>
            <w:tcBorders>
              <w:top w:val="single" w:sz="4" w:space="0" w:color="C2D9BA"/>
              <w:bottom w:val="single" w:sz="4" w:space="0" w:color="C2D9BA"/>
            </w:tcBorders>
            <w:shd w:val="clear" w:color="auto" w:fill="auto"/>
          </w:tcPr>
          <w:p w14:paraId="7EEEDCA0" w14:textId="77777777" w:rsidR="00991179" w:rsidRPr="00E444B3" w:rsidRDefault="00991179" w:rsidP="00991179">
            <w:pPr>
              <w:pStyle w:val="TableText"/>
            </w:pPr>
            <w:r w:rsidRPr="00E444B3">
              <w:t>Melanoma of skin</w:t>
            </w:r>
          </w:p>
        </w:tc>
        <w:tc>
          <w:tcPr>
            <w:tcW w:w="3118" w:type="dxa"/>
            <w:tcBorders>
              <w:top w:val="single" w:sz="4" w:space="0" w:color="C2D9BA"/>
              <w:bottom w:val="single" w:sz="4" w:space="0" w:color="C2D9BA"/>
            </w:tcBorders>
            <w:shd w:val="clear" w:color="auto" w:fill="auto"/>
          </w:tcPr>
          <w:p w14:paraId="2C92E355" w14:textId="77777777" w:rsidR="00991179" w:rsidRPr="00E444B3" w:rsidRDefault="00991179" w:rsidP="00991179">
            <w:pPr>
              <w:pStyle w:val="TableText"/>
            </w:pPr>
            <w:r w:rsidRPr="00E444B3">
              <w:t>Yes</w:t>
            </w:r>
          </w:p>
        </w:tc>
      </w:tr>
      <w:tr w:rsidR="00991179" w14:paraId="1A3F43E2" w14:textId="77777777" w:rsidTr="00051722">
        <w:trPr>
          <w:cantSplit/>
        </w:trPr>
        <w:tc>
          <w:tcPr>
            <w:tcW w:w="1843" w:type="dxa"/>
            <w:tcBorders>
              <w:top w:val="single" w:sz="4" w:space="0" w:color="C2D9BA"/>
              <w:bottom w:val="single" w:sz="4" w:space="0" w:color="C2D9BA"/>
            </w:tcBorders>
            <w:shd w:val="clear" w:color="auto" w:fill="auto"/>
          </w:tcPr>
          <w:p w14:paraId="0AE5BD13" w14:textId="77777777" w:rsidR="00991179" w:rsidRPr="00E444B3" w:rsidRDefault="00991179" w:rsidP="000861AF">
            <w:pPr>
              <w:pStyle w:val="TableText"/>
            </w:pPr>
            <w:r w:rsidRPr="00E444B3">
              <w:t>Oxaliplatin</w:t>
            </w:r>
          </w:p>
        </w:tc>
        <w:tc>
          <w:tcPr>
            <w:tcW w:w="3119" w:type="dxa"/>
            <w:tcBorders>
              <w:top w:val="single" w:sz="4" w:space="0" w:color="C2D9BA"/>
              <w:bottom w:val="single" w:sz="4" w:space="0" w:color="C2D9BA"/>
            </w:tcBorders>
            <w:shd w:val="clear" w:color="auto" w:fill="auto"/>
          </w:tcPr>
          <w:p w14:paraId="2A933D06" w14:textId="77777777" w:rsidR="00991179" w:rsidRPr="00E444B3" w:rsidRDefault="00991179" w:rsidP="00991179">
            <w:pPr>
              <w:pStyle w:val="TableText"/>
            </w:pPr>
            <w:r w:rsidRPr="00E444B3">
              <w:t>Malignant neoplasms of colon</w:t>
            </w:r>
          </w:p>
        </w:tc>
        <w:tc>
          <w:tcPr>
            <w:tcW w:w="3118" w:type="dxa"/>
            <w:tcBorders>
              <w:top w:val="single" w:sz="4" w:space="0" w:color="C2D9BA"/>
              <w:bottom w:val="single" w:sz="4" w:space="0" w:color="C2D9BA"/>
            </w:tcBorders>
            <w:shd w:val="clear" w:color="auto" w:fill="auto"/>
          </w:tcPr>
          <w:p w14:paraId="6D98CEB7" w14:textId="77777777" w:rsidR="00991179" w:rsidRPr="00E444B3" w:rsidRDefault="00991179" w:rsidP="00991179">
            <w:pPr>
              <w:pStyle w:val="TableText"/>
            </w:pPr>
            <w:r w:rsidRPr="00E444B3">
              <w:t>Yes</w:t>
            </w:r>
          </w:p>
        </w:tc>
      </w:tr>
      <w:tr w:rsidR="00991179" w14:paraId="0487EEAE" w14:textId="77777777" w:rsidTr="00051722">
        <w:trPr>
          <w:cantSplit/>
        </w:trPr>
        <w:tc>
          <w:tcPr>
            <w:tcW w:w="1843" w:type="dxa"/>
            <w:tcBorders>
              <w:top w:val="single" w:sz="4" w:space="0" w:color="C2D9BA"/>
              <w:bottom w:val="single" w:sz="4" w:space="0" w:color="C2D9BA"/>
            </w:tcBorders>
            <w:shd w:val="clear" w:color="auto" w:fill="auto"/>
          </w:tcPr>
          <w:p w14:paraId="081C0341" w14:textId="77777777" w:rsidR="00991179" w:rsidRPr="00E444B3" w:rsidRDefault="00991179" w:rsidP="00051722">
            <w:pPr>
              <w:pStyle w:val="TableText"/>
              <w:keepNext/>
            </w:pPr>
            <w:r w:rsidRPr="00E444B3">
              <w:lastRenderedPageBreak/>
              <w:t>Oxaliplatin</w:t>
            </w:r>
          </w:p>
        </w:tc>
        <w:tc>
          <w:tcPr>
            <w:tcW w:w="3119" w:type="dxa"/>
            <w:tcBorders>
              <w:top w:val="single" w:sz="4" w:space="0" w:color="C2D9BA"/>
              <w:bottom w:val="single" w:sz="4" w:space="0" w:color="C2D9BA"/>
            </w:tcBorders>
            <w:shd w:val="clear" w:color="auto" w:fill="auto"/>
          </w:tcPr>
          <w:p w14:paraId="35B59966" w14:textId="77777777" w:rsidR="00991179" w:rsidRPr="00E444B3" w:rsidRDefault="00991179" w:rsidP="00051722">
            <w:pPr>
              <w:pStyle w:val="TableText"/>
              <w:keepNext/>
            </w:pPr>
            <w:r w:rsidRPr="00E444B3">
              <w:t>Malignant neoplasm metastasis in large intestine</w:t>
            </w:r>
          </w:p>
        </w:tc>
        <w:tc>
          <w:tcPr>
            <w:tcW w:w="3118" w:type="dxa"/>
            <w:tcBorders>
              <w:top w:val="single" w:sz="4" w:space="0" w:color="C2D9BA"/>
              <w:bottom w:val="single" w:sz="4" w:space="0" w:color="C2D9BA"/>
            </w:tcBorders>
            <w:shd w:val="clear" w:color="auto" w:fill="auto"/>
          </w:tcPr>
          <w:p w14:paraId="12CAAE28" w14:textId="77777777" w:rsidR="00991179" w:rsidRPr="00E444B3" w:rsidRDefault="00991179" w:rsidP="00051722">
            <w:pPr>
              <w:pStyle w:val="TableText"/>
              <w:keepNext/>
            </w:pPr>
            <w:r w:rsidRPr="00E444B3">
              <w:t>Yes</w:t>
            </w:r>
          </w:p>
        </w:tc>
      </w:tr>
      <w:tr w:rsidR="00991179" w14:paraId="00D225EB" w14:textId="77777777" w:rsidTr="00051722">
        <w:trPr>
          <w:cantSplit/>
        </w:trPr>
        <w:tc>
          <w:tcPr>
            <w:tcW w:w="1843" w:type="dxa"/>
            <w:tcBorders>
              <w:top w:val="single" w:sz="4" w:space="0" w:color="C2D9BA"/>
              <w:bottom w:val="single" w:sz="4" w:space="0" w:color="C2D9BA"/>
            </w:tcBorders>
            <w:shd w:val="clear" w:color="auto" w:fill="auto"/>
          </w:tcPr>
          <w:p w14:paraId="6DDC3AE3"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34CC00B7" w14:textId="77777777" w:rsidR="00991179" w:rsidRPr="00E444B3" w:rsidRDefault="00991179" w:rsidP="00991179">
            <w:pPr>
              <w:pStyle w:val="TableText"/>
            </w:pPr>
            <w:r w:rsidRPr="00E444B3">
              <w:t>Other specified malignant neoplasms of the ovary</w:t>
            </w:r>
          </w:p>
        </w:tc>
        <w:tc>
          <w:tcPr>
            <w:tcW w:w="3118" w:type="dxa"/>
            <w:tcBorders>
              <w:top w:val="single" w:sz="4" w:space="0" w:color="C2D9BA"/>
              <w:bottom w:val="single" w:sz="4" w:space="0" w:color="C2D9BA"/>
            </w:tcBorders>
            <w:shd w:val="clear" w:color="auto" w:fill="auto"/>
          </w:tcPr>
          <w:p w14:paraId="114435D7" w14:textId="77777777" w:rsidR="00991179" w:rsidRPr="00E444B3" w:rsidRDefault="00991179" w:rsidP="00991179">
            <w:pPr>
              <w:pStyle w:val="TableText"/>
            </w:pPr>
            <w:r w:rsidRPr="00E444B3">
              <w:t>Yes</w:t>
            </w:r>
          </w:p>
        </w:tc>
      </w:tr>
      <w:tr w:rsidR="00991179" w14:paraId="64C903C3" w14:textId="77777777" w:rsidTr="00051722">
        <w:trPr>
          <w:cantSplit/>
        </w:trPr>
        <w:tc>
          <w:tcPr>
            <w:tcW w:w="1843" w:type="dxa"/>
            <w:tcBorders>
              <w:top w:val="single" w:sz="4" w:space="0" w:color="C2D9BA"/>
              <w:bottom w:val="single" w:sz="4" w:space="0" w:color="C2D9BA"/>
            </w:tcBorders>
            <w:shd w:val="clear" w:color="auto" w:fill="auto"/>
          </w:tcPr>
          <w:p w14:paraId="19054D50"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7B73BE97"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2263ABF8" w14:textId="77777777" w:rsidR="00991179" w:rsidRPr="00E444B3" w:rsidRDefault="00991179" w:rsidP="00991179">
            <w:pPr>
              <w:pStyle w:val="TableText"/>
            </w:pPr>
            <w:r w:rsidRPr="00E444B3">
              <w:t>Yes</w:t>
            </w:r>
          </w:p>
        </w:tc>
      </w:tr>
      <w:tr w:rsidR="00991179" w14:paraId="4D9A0351" w14:textId="77777777" w:rsidTr="00051722">
        <w:trPr>
          <w:cantSplit/>
        </w:trPr>
        <w:tc>
          <w:tcPr>
            <w:tcW w:w="1843" w:type="dxa"/>
            <w:tcBorders>
              <w:top w:val="single" w:sz="4" w:space="0" w:color="C2D9BA"/>
              <w:bottom w:val="single" w:sz="4" w:space="0" w:color="C2D9BA"/>
            </w:tcBorders>
            <w:shd w:val="clear" w:color="auto" w:fill="auto"/>
          </w:tcPr>
          <w:p w14:paraId="0EA2324D"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7F705B02" w14:textId="77777777" w:rsidR="00991179" w:rsidRPr="00E444B3" w:rsidRDefault="00991179" w:rsidP="00991179">
            <w:pPr>
              <w:pStyle w:val="TableText"/>
            </w:pPr>
            <w:r w:rsidRPr="00E444B3">
              <w:t>Kaposi sarcoma of unspecified primary site</w:t>
            </w:r>
          </w:p>
        </w:tc>
        <w:tc>
          <w:tcPr>
            <w:tcW w:w="3118" w:type="dxa"/>
            <w:tcBorders>
              <w:top w:val="single" w:sz="4" w:space="0" w:color="C2D9BA"/>
              <w:bottom w:val="single" w:sz="4" w:space="0" w:color="C2D9BA"/>
            </w:tcBorders>
            <w:shd w:val="clear" w:color="auto" w:fill="auto"/>
          </w:tcPr>
          <w:p w14:paraId="14604DEC" w14:textId="77777777" w:rsidR="00991179" w:rsidRPr="00E444B3" w:rsidRDefault="00991179" w:rsidP="00991179">
            <w:pPr>
              <w:pStyle w:val="TableText"/>
            </w:pPr>
            <w:r w:rsidRPr="00E444B3">
              <w:t>Yes</w:t>
            </w:r>
          </w:p>
        </w:tc>
      </w:tr>
      <w:tr w:rsidR="00991179" w14:paraId="0524F8D7" w14:textId="77777777" w:rsidTr="00051722">
        <w:trPr>
          <w:cantSplit/>
        </w:trPr>
        <w:tc>
          <w:tcPr>
            <w:tcW w:w="1843" w:type="dxa"/>
            <w:tcBorders>
              <w:top w:val="single" w:sz="4" w:space="0" w:color="C2D9BA"/>
              <w:bottom w:val="single" w:sz="4" w:space="0" w:color="C2D9BA"/>
            </w:tcBorders>
            <w:shd w:val="clear" w:color="auto" w:fill="auto"/>
          </w:tcPr>
          <w:p w14:paraId="287E1730"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084C6156" w14:textId="77777777" w:rsidR="00991179" w:rsidRPr="00E444B3" w:rsidRDefault="00991179" w:rsidP="00991179">
            <w:pPr>
              <w:pStyle w:val="TableText"/>
            </w:pPr>
            <w:r w:rsidRPr="00E444B3">
              <w:t>Malignant neoplasms of nasopharynx</w:t>
            </w:r>
          </w:p>
        </w:tc>
        <w:tc>
          <w:tcPr>
            <w:tcW w:w="3118" w:type="dxa"/>
            <w:tcBorders>
              <w:top w:val="single" w:sz="4" w:space="0" w:color="C2D9BA"/>
              <w:bottom w:val="single" w:sz="4" w:space="0" w:color="C2D9BA"/>
            </w:tcBorders>
            <w:shd w:val="clear" w:color="auto" w:fill="auto"/>
          </w:tcPr>
          <w:p w14:paraId="753ECBFF" w14:textId="77777777" w:rsidR="00991179" w:rsidRPr="00E444B3" w:rsidRDefault="00991179" w:rsidP="00991179">
            <w:pPr>
              <w:pStyle w:val="TableText"/>
            </w:pPr>
            <w:r w:rsidRPr="00E444B3">
              <w:t>Yes</w:t>
            </w:r>
          </w:p>
        </w:tc>
      </w:tr>
      <w:tr w:rsidR="00991179" w14:paraId="0D3E3AEF" w14:textId="77777777" w:rsidTr="00051722">
        <w:trPr>
          <w:cantSplit/>
        </w:trPr>
        <w:tc>
          <w:tcPr>
            <w:tcW w:w="1843" w:type="dxa"/>
            <w:tcBorders>
              <w:top w:val="single" w:sz="4" w:space="0" w:color="C2D9BA"/>
              <w:bottom w:val="single" w:sz="4" w:space="0" w:color="C2D9BA"/>
            </w:tcBorders>
            <w:shd w:val="clear" w:color="auto" w:fill="auto"/>
          </w:tcPr>
          <w:p w14:paraId="766B05AD"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02C5B92F"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765DF2F3" w14:textId="77777777" w:rsidR="00991179" w:rsidRPr="00E444B3" w:rsidRDefault="00991179" w:rsidP="00991179">
            <w:pPr>
              <w:pStyle w:val="TableText"/>
            </w:pPr>
            <w:r w:rsidRPr="00E444B3">
              <w:t>Yes</w:t>
            </w:r>
          </w:p>
        </w:tc>
      </w:tr>
      <w:tr w:rsidR="00991179" w14:paraId="7CA661BD" w14:textId="77777777" w:rsidTr="00051722">
        <w:trPr>
          <w:cantSplit/>
        </w:trPr>
        <w:tc>
          <w:tcPr>
            <w:tcW w:w="1843" w:type="dxa"/>
            <w:tcBorders>
              <w:top w:val="single" w:sz="4" w:space="0" w:color="C2D9BA"/>
              <w:bottom w:val="single" w:sz="4" w:space="0" w:color="C2D9BA"/>
            </w:tcBorders>
            <w:shd w:val="clear" w:color="auto" w:fill="auto"/>
          </w:tcPr>
          <w:p w14:paraId="2767A789"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4E92FBE6" w14:textId="77777777" w:rsidR="00991179" w:rsidRPr="00E444B3" w:rsidRDefault="00991179" w:rsidP="00991179">
            <w:pPr>
              <w:pStyle w:val="TableText"/>
            </w:pPr>
            <w:r w:rsidRPr="00E444B3">
              <w:t>Other specified carcinomas of ovary</w:t>
            </w:r>
          </w:p>
        </w:tc>
        <w:tc>
          <w:tcPr>
            <w:tcW w:w="3118" w:type="dxa"/>
            <w:tcBorders>
              <w:top w:val="single" w:sz="4" w:space="0" w:color="C2D9BA"/>
              <w:bottom w:val="single" w:sz="4" w:space="0" w:color="C2D9BA"/>
            </w:tcBorders>
            <w:shd w:val="clear" w:color="auto" w:fill="auto"/>
          </w:tcPr>
          <w:p w14:paraId="77D68B2E" w14:textId="77777777" w:rsidR="00991179" w:rsidRPr="00E444B3" w:rsidRDefault="00991179" w:rsidP="00991179">
            <w:pPr>
              <w:pStyle w:val="TableText"/>
            </w:pPr>
            <w:r w:rsidRPr="00E444B3">
              <w:t>Yes</w:t>
            </w:r>
          </w:p>
        </w:tc>
      </w:tr>
      <w:tr w:rsidR="00991179" w14:paraId="6D45AB54" w14:textId="77777777" w:rsidTr="00051722">
        <w:trPr>
          <w:cantSplit/>
        </w:trPr>
        <w:tc>
          <w:tcPr>
            <w:tcW w:w="1843" w:type="dxa"/>
            <w:tcBorders>
              <w:top w:val="single" w:sz="4" w:space="0" w:color="C2D9BA"/>
              <w:bottom w:val="single" w:sz="4" w:space="0" w:color="C2D9BA"/>
            </w:tcBorders>
            <w:shd w:val="clear" w:color="auto" w:fill="auto"/>
          </w:tcPr>
          <w:p w14:paraId="16007D95"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2BDE8297"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12449CF2" w14:textId="77777777" w:rsidR="00991179" w:rsidRPr="00E444B3" w:rsidRDefault="00991179" w:rsidP="00991179">
            <w:pPr>
              <w:pStyle w:val="TableText"/>
            </w:pPr>
            <w:r w:rsidRPr="00E444B3">
              <w:t>Yes</w:t>
            </w:r>
          </w:p>
        </w:tc>
      </w:tr>
      <w:tr w:rsidR="00991179" w14:paraId="18051C74" w14:textId="77777777" w:rsidTr="00051722">
        <w:trPr>
          <w:cantSplit/>
        </w:trPr>
        <w:tc>
          <w:tcPr>
            <w:tcW w:w="1843" w:type="dxa"/>
            <w:tcBorders>
              <w:top w:val="single" w:sz="4" w:space="0" w:color="C2D9BA"/>
              <w:bottom w:val="single" w:sz="4" w:space="0" w:color="C2D9BA"/>
            </w:tcBorders>
            <w:shd w:val="clear" w:color="auto" w:fill="auto"/>
          </w:tcPr>
          <w:p w14:paraId="24CAB74B" w14:textId="77777777" w:rsidR="00991179" w:rsidRPr="00E444B3" w:rsidRDefault="00991179" w:rsidP="000861AF">
            <w:pPr>
              <w:pStyle w:val="TableText"/>
            </w:pPr>
            <w:r w:rsidRPr="00E444B3">
              <w:t>Paclitaxel</w:t>
            </w:r>
          </w:p>
        </w:tc>
        <w:tc>
          <w:tcPr>
            <w:tcW w:w="3119" w:type="dxa"/>
            <w:tcBorders>
              <w:top w:val="single" w:sz="4" w:space="0" w:color="C2D9BA"/>
              <w:bottom w:val="single" w:sz="4" w:space="0" w:color="C2D9BA"/>
            </w:tcBorders>
            <w:shd w:val="clear" w:color="auto" w:fill="auto"/>
          </w:tcPr>
          <w:p w14:paraId="0FE682CE" w14:textId="77777777" w:rsidR="00991179" w:rsidRPr="00E444B3" w:rsidRDefault="00991179" w:rsidP="00991179">
            <w:pPr>
              <w:pStyle w:val="TableText"/>
            </w:pPr>
            <w:r w:rsidRPr="00E444B3">
              <w:t>Malignant neoplasms of cervix uteri</w:t>
            </w:r>
          </w:p>
        </w:tc>
        <w:tc>
          <w:tcPr>
            <w:tcW w:w="3118" w:type="dxa"/>
            <w:tcBorders>
              <w:top w:val="single" w:sz="4" w:space="0" w:color="C2D9BA"/>
              <w:bottom w:val="single" w:sz="4" w:space="0" w:color="C2D9BA"/>
            </w:tcBorders>
            <w:shd w:val="clear" w:color="auto" w:fill="auto"/>
          </w:tcPr>
          <w:p w14:paraId="1934C20D" w14:textId="77777777" w:rsidR="00991179" w:rsidRPr="00E444B3" w:rsidRDefault="00991179" w:rsidP="00991179">
            <w:pPr>
              <w:pStyle w:val="TableText"/>
            </w:pPr>
            <w:r w:rsidRPr="00E444B3">
              <w:t>Yes</w:t>
            </w:r>
          </w:p>
        </w:tc>
      </w:tr>
      <w:tr w:rsidR="00991179" w14:paraId="68EE0D08" w14:textId="77777777" w:rsidTr="00051722">
        <w:trPr>
          <w:cantSplit/>
        </w:trPr>
        <w:tc>
          <w:tcPr>
            <w:tcW w:w="1843" w:type="dxa"/>
            <w:tcBorders>
              <w:top w:val="single" w:sz="4" w:space="0" w:color="C2D9BA"/>
              <w:bottom w:val="single" w:sz="4" w:space="0" w:color="C2D9BA"/>
            </w:tcBorders>
            <w:shd w:val="clear" w:color="auto" w:fill="auto"/>
          </w:tcPr>
          <w:p w14:paraId="17215CAB" w14:textId="77777777" w:rsidR="00991179" w:rsidRPr="00E444B3" w:rsidRDefault="00991179" w:rsidP="000861AF">
            <w:pPr>
              <w:pStyle w:val="TableText"/>
              <w:rPr>
                <w:rFonts w:ascii="Calibri" w:hAnsi="Calibri" w:cs="Calibri"/>
                <w:color w:val="000000"/>
              </w:rPr>
            </w:pPr>
            <w:r w:rsidRPr="002F0933">
              <w:t>Pegaspargase</w:t>
            </w:r>
          </w:p>
        </w:tc>
        <w:tc>
          <w:tcPr>
            <w:tcW w:w="3119" w:type="dxa"/>
            <w:tcBorders>
              <w:top w:val="single" w:sz="4" w:space="0" w:color="C2D9BA"/>
              <w:bottom w:val="single" w:sz="4" w:space="0" w:color="C2D9BA"/>
            </w:tcBorders>
            <w:shd w:val="clear" w:color="auto" w:fill="auto"/>
          </w:tcPr>
          <w:p w14:paraId="75ECCD61"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18900A76" w14:textId="77777777" w:rsidR="00991179" w:rsidRPr="00E444B3" w:rsidRDefault="00991179" w:rsidP="00991179">
            <w:pPr>
              <w:pStyle w:val="TableText"/>
            </w:pPr>
            <w:r w:rsidRPr="00E444B3">
              <w:t>Yes</w:t>
            </w:r>
          </w:p>
        </w:tc>
      </w:tr>
      <w:tr w:rsidR="00991179" w14:paraId="0646D959" w14:textId="77777777" w:rsidTr="00051722">
        <w:trPr>
          <w:cantSplit/>
        </w:trPr>
        <w:tc>
          <w:tcPr>
            <w:tcW w:w="1843" w:type="dxa"/>
            <w:tcBorders>
              <w:top w:val="single" w:sz="4" w:space="0" w:color="C2D9BA"/>
              <w:bottom w:val="single" w:sz="4" w:space="0" w:color="C2D9BA"/>
            </w:tcBorders>
            <w:shd w:val="clear" w:color="auto" w:fill="auto"/>
          </w:tcPr>
          <w:p w14:paraId="0F76E6A4" w14:textId="77777777" w:rsidR="00991179" w:rsidRPr="00E444B3" w:rsidRDefault="00991179" w:rsidP="000861AF">
            <w:pPr>
              <w:pStyle w:val="TableText"/>
              <w:rPr>
                <w:rFonts w:ascii="Calibri" w:hAnsi="Calibri" w:cs="Calibri"/>
                <w:color w:val="000000"/>
              </w:rPr>
            </w:pPr>
            <w:r w:rsidRPr="002F0933">
              <w:t>Pembrolizumab</w:t>
            </w:r>
          </w:p>
        </w:tc>
        <w:tc>
          <w:tcPr>
            <w:tcW w:w="3119" w:type="dxa"/>
            <w:tcBorders>
              <w:top w:val="single" w:sz="4" w:space="0" w:color="C2D9BA"/>
              <w:bottom w:val="single" w:sz="4" w:space="0" w:color="C2D9BA"/>
            </w:tcBorders>
            <w:shd w:val="clear" w:color="auto" w:fill="auto"/>
          </w:tcPr>
          <w:p w14:paraId="5F7AE948" w14:textId="77777777" w:rsidR="00991179" w:rsidRPr="00E444B3" w:rsidRDefault="00991179" w:rsidP="00991179">
            <w:pPr>
              <w:pStyle w:val="TableText"/>
            </w:pPr>
            <w:r w:rsidRPr="00E444B3">
              <w:t>Melanoma of skin</w:t>
            </w:r>
          </w:p>
        </w:tc>
        <w:tc>
          <w:tcPr>
            <w:tcW w:w="3118" w:type="dxa"/>
            <w:tcBorders>
              <w:top w:val="single" w:sz="4" w:space="0" w:color="C2D9BA"/>
              <w:bottom w:val="single" w:sz="4" w:space="0" w:color="C2D9BA"/>
            </w:tcBorders>
            <w:shd w:val="clear" w:color="auto" w:fill="auto"/>
          </w:tcPr>
          <w:p w14:paraId="095468D8" w14:textId="77777777" w:rsidR="00991179" w:rsidRPr="00E444B3" w:rsidRDefault="00991179" w:rsidP="00991179">
            <w:pPr>
              <w:pStyle w:val="TableText"/>
            </w:pPr>
            <w:r w:rsidRPr="00E444B3">
              <w:t>Yes</w:t>
            </w:r>
          </w:p>
        </w:tc>
      </w:tr>
      <w:tr w:rsidR="00991179" w14:paraId="064B5ACC" w14:textId="77777777" w:rsidTr="00051722">
        <w:trPr>
          <w:cantSplit/>
        </w:trPr>
        <w:tc>
          <w:tcPr>
            <w:tcW w:w="1843" w:type="dxa"/>
            <w:tcBorders>
              <w:top w:val="single" w:sz="4" w:space="0" w:color="C2D9BA"/>
              <w:bottom w:val="single" w:sz="4" w:space="0" w:color="C2D9BA"/>
            </w:tcBorders>
            <w:shd w:val="clear" w:color="auto" w:fill="auto"/>
          </w:tcPr>
          <w:p w14:paraId="670CEB9E" w14:textId="77777777" w:rsidR="00991179" w:rsidRPr="00E444B3" w:rsidRDefault="00991179" w:rsidP="000861AF">
            <w:pPr>
              <w:pStyle w:val="TableText"/>
            </w:pPr>
            <w:r w:rsidRPr="00E444B3">
              <w:t>Prednisolone</w:t>
            </w:r>
          </w:p>
        </w:tc>
        <w:tc>
          <w:tcPr>
            <w:tcW w:w="3119" w:type="dxa"/>
            <w:tcBorders>
              <w:top w:val="single" w:sz="4" w:space="0" w:color="C2D9BA"/>
              <w:bottom w:val="single" w:sz="4" w:space="0" w:color="C2D9BA"/>
            </w:tcBorders>
            <w:shd w:val="clear" w:color="auto" w:fill="auto"/>
          </w:tcPr>
          <w:p w14:paraId="75B806C1" w14:textId="77777777" w:rsidR="00991179" w:rsidRPr="00E444B3" w:rsidRDefault="00991179" w:rsidP="00991179">
            <w:pPr>
              <w:pStyle w:val="TableText"/>
            </w:pPr>
            <w:r w:rsidRPr="00E444B3">
              <w:t>Follicular lymphoma</w:t>
            </w:r>
          </w:p>
        </w:tc>
        <w:tc>
          <w:tcPr>
            <w:tcW w:w="3118" w:type="dxa"/>
            <w:tcBorders>
              <w:top w:val="single" w:sz="4" w:space="0" w:color="C2D9BA"/>
              <w:bottom w:val="single" w:sz="4" w:space="0" w:color="C2D9BA"/>
            </w:tcBorders>
            <w:shd w:val="clear" w:color="auto" w:fill="auto"/>
          </w:tcPr>
          <w:p w14:paraId="2FE80BB5" w14:textId="77777777" w:rsidR="00991179" w:rsidRDefault="00991179" w:rsidP="00991179">
            <w:pPr>
              <w:pStyle w:val="TableText"/>
            </w:pPr>
            <w:r>
              <w:t>No</w:t>
            </w:r>
          </w:p>
          <w:p w14:paraId="7415E050" w14:textId="77777777" w:rsidR="00991179" w:rsidRPr="00E444B3" w:rsidRDefault="00991179" w:rsidP="00991179">
            <w:pPr>
              <w:pStyle w:val="TableText"/>
            </w:pPr>
            <w:r>
              <w:t>Prednisone is therapeutically equivalent and is funded in Aotearoa without restriction</w:t>
            </w:r>
          </w:p>
        </w:tc>
      </w:tr>
      <w:tr w:rsidR="00991179" w14:paraId="69EA4BC8" w14:textId="77777777" w:rsidTr="00051722">
        <w:trPr>
          <w:cantSplit/>
        </w:trPr>
        <w:tc>
          <w:tcPr>
            <w:tcW w:w="1843" w:type="dxa"/>
            <w:tcBorders>
              <w:top w:val="single" w:sz="4" w:space="0" w:color="C2D9BA"/>
              <w:bottom w:val="single" w:sz="4" w:space="0" w:color="C2D9BA"/>
            </w:tcBorders>
            <w:shd w:val="clear" w:color="auto" w:fill="auto"/>
          </w:tcPr>
          <w:p w14:paraId="13E6EFCC" w14:textId="77777777" w:rsidR="00991179" w:rsidRPr="00E444B3" w:rsidRDefault="00991179" w:rsidP="000861AF">
            <w:pPr>
              <w:pStyle w:val="TableText"/>
            </w:pPr>
            <w:r w:rsidRPr="00E444B3">
              <w:t>Prednisolone</w:t>
            </w:r>
          </w:p>
        </w:tc>
        <w:tc>
          <w:tcPr>
            <w:tcW w:w="3119" w:type="dxa"/>
            <w:tcBorders>
              <w:top w:val="single" w:sz="4" w:space="0" w:color="C2D9BA"/>
              <w:bottom w:val="single" w:sz="4" w:space="0" w:color="C2D9BA"/>
            </w:tcBorders>
            <w:shd w:val="clear" w:color="auto" w:fill="auto"/>
          </w:tcPr>
          <w:p w14:paraId="1D8A149E" w14:textId="77777777" w:rsidR="00991179" w:rsidRPr="00E444B3" w:rsidRDefault="00991179" w:rsidP="00051722">
            <w:pPr>
              <w:pStyle w:val="TableText"/>
            </w:pPr>
            <w:r w:rsidRPr="00E444B3">
              <w:t>Chronic lymphocytic leukaemia or small lymphocytic lymphoma</w:t>
            </w:r>
          </w:p>
        </w:tc>
        <w:tc>
          <w:tcPr>
            <w:tcW w:w="3118" w:type="dxa"/>
            <w:tcBorders>
              <w:top w:val="single" w:sz="4" w:space="0" w:color="C2D9BA"/>
              <w:bottom w:val="single" w:sz="4" w:space="0" w:color="C2D9BA"/>
            </w:tcBorders>
            <w:shd w:val="clear" w:color="auto" w:fill="auto"/>
          </w:tcPr>
          <w:p w14:paraId="5545AB04" w14:textId="77777777" w:rsidR="00991179" w:rsidRDefault="00991179" w:rsidP="00991179">
            <w:pPr>
              <w:pStyle w:val="TableText"/>
            </w:pPr>
            <w:r>
              <w:t>No</w:t>
            </w:r>
          </w:p>
          <w:p w14:paraId="6CBEAC71" w14:textId="77777777" w:rsidR="00991179" w:rsidRPr="00E444B3" w:rsidRDefault="00991179" w:rsidP="00991179">
            <w:pPr>
              <w:pStyle w:val="TableText"/>
            </w:pPr>
            <w:r>
              <w:t>Prednisone is therapeutically equivalent and is funded in Aotearoa without restriction</w:t>
            </w:r>
          </w:p>
        </w:tc>
      </w:tr>
      <w:tr w:rsidR="00991179" w14:paraId="3830EEB8" w14:textId="77777777" w:rsidTr="00051722">
        <w:trPr>
          <w:cantSplit/>
        </w:trPr>
        <w:tc>
          <w:tcPr>
            <w:tcW w:w="1843" w:type="dxa"/>
            <w:tcBorders>
              <w:top w:val="single" w:sz="4" w:space="0" w:color="C2D9BA"/>
              <w:bottom w:val="single" w:sz="4" w:space="0" w:color="C2D9BA"/>
            </w:tcBorders>
            <w:shd w:val="clear" w:color="auto" w:fill="auto"/>
          </w:tcPr>
          <w:p w14:paraId="5C6A24AD" w14:textId="77777777" w:rsidR="00991179" w:rsidRPr="00E444B3" w:rsidRDefault="00991179" w:rsidP="000861AF">
            <w:pPr>
              <w:pStyle w:val="TableText"/>
            </w:pPr>
            <w:r w:rsidRPr="00E444B3">
              <w:t>Prednisolone</w:t>
            </w:r>
          </w:p>
        </w:tc>
        <w:tc>
          <w:tcPr>
            <w:tcW w:w="3119" w:type="dxa"/>
            <w:tcBorders>
              <w:top w:val="single" w:sz="4" w:space="0" w:color="C2D9BA"/>
              <w:bottom w:val="single" w:sz="4" w:space="0" w:color="C2D9BA"/>
            </w:tcBorders>
            <w:shd w:val="clear" w:color="auto" w:fill="auto"/>
          </w:tcPr>
          <w:p w14:paraId="6F0DE5B3" w14:textId="77777777" w:rsidR="00991179" w:rsidRPr="00E444B3" w:rsidRDefault="00991179" w:rsidP="00051722">
            <w:pPr>
              <w:pStyle w:val="TableText"/>
            </w:pPr>
            <w:r w:rsidRPr="00E444B3">
              <w:t>Diffuse large B-cell lymphomas</w:t>
            </w:r>
          </w:p>
        </w:tc>
        <w:tc>
          <w:tcPr>
            <w:tcW w:w="3118" w:type="dxa"/>
            <w:tcBorders>
              <w:top w:val="single" w:sz="4" w:space="0" w:color="C2D9BA"/>
              <w:bottom w:val="single" w:sz="4" w:space="0" w:color="C2D9BA"/>
            </w:tcBorders>
            <w:shd w:val="clear" w:color="auto" w:fill="auto"/>
          </w:tcPr>
          <w:p w14:paraId="0331F09A" w14:textId="77777777" w:rsidR="00991179" w:rsidRDefault="00991179" w:rsidP="00991179">
            <w:pPr>
              <w:pStyle w:val="TableText"/>
            </w:pPr>
            <w:r>
              <w:t>No</w:t>
            </w:r>
          </w:p>
          <w:p w14:paraId="2DE7FF11" w14:textId="77777777" w:rsidR="00991179" w:rsidRPr="00E444B3" w:rsidRDefault="00991179" w:rsidP="00991179">
            <w:pPr>
              <w:pStyle w:val="TableText"/>
            </w:pPr>
            <w:r>
              <w:t>Prednisone is therapeutically equivalent and is funded in Aotearoa without restriction</w:t>
            </w:r>
          </w:p>
        </w:tc>
      </w:tr>
      <w:tr w:rsidR="00991179" w14:paraId="38C4C7D4" w14:textId="77777777" w:rsidTr="00051722">
        <w:trPr>
          <w:cantSplit/>
        </w:trPr>
        <w:tc>
          <w:tcPr>
            <w:tcW w:w="1843" w:type="dxa"/>
            <w:tcBorders>
              <w:top w:val="single" w:sz="4" w:space="0" w:color="C2D9BA"/>
              <w:bottom w:val="single" w:sz="4" w:space="0" w:color="C2D9BA"/>
            </w:tcBorders>
            <w:shd w:val="clear" w:color="auto" w:fill="auto"/>
          </w:tcPr>
          <w:p w14:paraId="4842D485" w14:textId="77777777" w:rsidR="00991179" w:rsidRPr="00E444B3" w:rsidRDefault="00991179" w:rsidP="000861AF">
            <w:pPr>
              <w:pStyle w:val="TableText"/>
            </w:pPr>
            <w:r w:rsidRPr="00E444B3">
              <w:t>Prednisolone</w:t>
            </w:r>
          </w:p>
        </w:tc>
        <w:tc>
          <w:tcPr>
            <w:tcW w:w="3119" w:type="dxa"/>
            <w:tcBorders>
              <w:top w:val="single" w:sz="4" w:space="0" w:color="C2D9BA"/>
              <w:bottom w:val="single" w:sz="4" w:space="0" w:color="C2D9BA"/>
            </w:tcBorders>
            <w:shd w:val="clear" w:color="auto" w:fill="auto"/>
          </w:tcPr>
          <w:p w14:paraId="46DFDDB0" w14:textId="77777777" w:rsidR="00991179" w:rsidRPr="00E444B3" w:rsidRDefault="00991179" w:rsidP="00051722">
            <w:pPr>
              <w:pStyle w:val="TableText"/>
            </w:pPr>
            <w:r w:rsidRPr="00E444B3">
              <w:t>Hodgkin lymphoma</w:t>
            </w:r>
          </w:p>
        </w:tc>
        <w:tc>
          <w:tcPr>
            <w:tcW w:w="3118" w:type="dxa"/>
            <w:tcBorders>
              <w:top w:val="single" w:sz="4" w:space="0" w:color="C2D9BA"/>
              <w:bottom w:val="single" w:sz="4" w:space="0" w:color="C2D9BA"/>
            </w:tcBorders>
            <w:shd w:val="clear" w:color="auto" w:fill="auto"/>
          </w:tcPr>
          <w:p w14:paraId="15488DF2" w14:textId="77777777" w:rsidR="00991179" w:rsidRDefault="00991179" w:rsidP="00991179">
            <w:pPr>
              <w:pStyle w:val="TableText"/>
            </w:pPr>
            <w:r>
              <w:t>No</w:t>
            </w:r>
          </w:p>
          <w:p w14:paraId="1B7A2AB3" w14:textId="77777777" w:rsidR="00991179" w:rsidRPr="00E444B3" w:rsidRDefault="00991179" w:rsidP="00991179">
            <w:pPr>
              <w:pStyle w:val="TableText"/>
            </w:pPr>
            <w:r>
              <w:t>Prednisone is therapeutically equivalent and is funded in Aotearoa without restriction</w:t>
            </w:r>
          </w:p>
        </w:tc>
      </w:tr>
      <w:tr w:rsidR="00991179" w14:paraId="6BE0D624" w14:textId="77777777" w:rsidTr="00051722">
        <w:trPr>
          <w:cantSplit/>
        </w:trPr>
        <w:tc>
          <w:tcPr>
            <w:tcW w:w="1843" w:type="dxa"/>
            <w:tcBorders>
              <w:top w:val="single" w:sz="4" w:space="0" w:color="C2D9BA"/>
              <w:bottom w:val="single" w:sz="4" w:space="0" w:color="C2D9BA"/>
            </w:tcBorders>
            <w:shd w:val="clear" w:color="auto" w:fill="auto"/>
          </w:tcPr>
          <w:p w14:paraId="7032EFB2" w14:textId="77777777" w:rsidR="00991179" w:rsidRPr="00E444B3" w:rsidRDefault="00991179" w:rsidP="000861AF">
            <w:pPr>
              <w:pStyle w:val="TableText"/>
            </w:pPr>
            <w:r w:rsidRPr="00E444B3">
              <w:t>Prednisolone</w:t>
            </w:r>
          </w:p>
        </w:tc>
        <w:tc>
          <w:tcPr>
            <w:tcW w:w="3119" w:type="dxa"/>
            <w:tcBorders>
              <w:top w:val="single" w:sz="4" w:space="0" w:color="C2D9BA"/>
              <w:bottom w:val="single" w:sz="4" w:space="0" w:color="C2D9BA"/>
            </w:tcBorders>
            <w:shd w:val="clear" w:color="auto" w:fill="auto"/>
          </w:tcPr>
          <w:p w14:paraId="6D227E24" w14:textId="77777777" w:rsidR="00991179" w:rsidRPr="00E444B3" w:rsidRDefault="00991179" w:rsidP="00051722">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5F4E1C4B" w14:textId="77777777" w:rsidR="00991179" w:rsidRDefault="00991179" w:rsidP="00991179">
            <w:pPr>
              <w:pStyle w:val="TableText"/>
            </w:pPr>
            <w:r>
              <w:t>No</w:t>
            </w:r>
          </w:p>
          <w:p w14:paraId="52A054C4" w14:textId="77777777" w:rsidR="00991179" w:rsidRPr="00E444B3" w:rsidRDefault="00991179" w:rsidP="00991179">
            <w:pPr>
              <w:pStyle w:val="TableText"/>
            </w:pPr>
            <w:r>
              <w:t>Prednisone is therapeutically equivalent and is funded in Aotearoa without restriction</w:t>
            </w:r>
          </w:p>
        </w:tc>
      </w:tr>
      <w:tr w:rsidR="00991179" w14:paraId="50D6EA0C" w14:textId="77777777" w:rsidTr="00051722">
        <w:trPr>
          <w:cantSplit/>
        </w:trPr>
        <w:tc>
          <w:tcPr>
            <w:tcW w:w="1843" w:type="dxa"/>
            <w:tcBorders>
              <w:top w:val="single" w:sz="4" w:space="0" w:color="C2D9BA"/>
              <w:bottom w:val="single" w:sz="4" w:space="0" w:color="C2D9BA"/>
            </w:tcBorders>
            <w:shd w:val="clear" w:color="auto" w:fill="auto"/>
          </w:tcPr>
          <w:p w14:paraId="2B841558" w14:textId="77777777" w:rsidR="00991179" w:rsidRPr="00E444B3" w:rsidRDefault="00991179" w:rsidP="000861AF">
            <w:pPr>
              <w:pStyle w:val="TableText"/>
            </w:pPr>
            <w:r w:rsidRPr="00E444B3">
              <w:t>Prednisolone</w:t>
            </w:r>
          </w:p>
        </w:tc>
        <w:tc>
          <w:tcPr>
            <w:tcW w:w="3119" w:type="dxa"/>
            <w:tcBorders>
              <w:top w:val="single" w:sz="4" w:space="0" w:color="C2D9BA"/>
              <w:bottom w:val="single" w:sz="4" w:space="0" w:color="C2D9BA"/>
            </w:tcBorders>
            <w:shd w:val="clear" w:color="auto" w:fill="auto"/>
          </w:tcPr>
          <w:p w14:paraId="0533AAF6" w14:textId="77777777" w:rsidR="00991179" w:rsidRPr="00E444B3" w:rsidRDefault="00991179" w:rsidP="00051722">
            <w:pPr>
              <w:pStyle w:val="TableText"/>
            </w:pPr>
            <w:r w:rsidRPr="00E444B3">
              <w:t>Burkitt lymphoma</w:t>
            </w:r>
            <w:r>
              <w:t>,</w:t>
            </w:r>
            <w:r w:rsidRPr="00E444B3">
              <w:t xml:space="preserve"> including Burkitt leukaemia</w:t>
            </w:r>
          </w:p>
        </w:tc>
        <w:tc>
          <w:tcPr>
            <w:tcW w:w="3118" w:type="dxa"/>
            <w:tcBorders>
              <w:top w:val="single" w:sz="4" w:space="0" w:color="C2D9BA"/>
              <w:bottom w:val="single" w:sz="4" w:space="0" w:color="C2D9BA"/>
            </w:tcBorders>
            <w:shd w:val="clear" w:color="auto" w:fill="auto"/>
          </w:tcPr>
          <w:p w14:paraId="2A32589D" w14:textId="77777777" w:rsidR="00991179" w:rsidRDefault="00991179" w:rsidP="00991179">
            <w:pPr>
              <w:pStyle w:val="TableText"/>
            </w:pPr>
            <w:r>
              <w:t>No</w:t>
            </w:r>
          </w:p>
          <w:p w14:paraId="687E502E" w14:textId="77777777" w:rsidR="00991179" w:rsidRPr="00E444B3" w:rsidRDefault="00991179" w:rsidP="00991179">
            <w:pPr>
              <w:pStyle w:val="TableText"/>
            </w:pPr>
            <w:r>
              <w:t>Prednisone is therapeutically equivalent and is funded in Aotearoa without restriction</w:t>
            </w:r>
          </w:p>
        </w:tc>
      </w:tr>
      <w:tr w:rsidR="00991179" w14:paraId="6F58A433" w14:textId="77777777" w:rsidTr="00051722">
        <w:trPr>
          <w:cantSplit/>
        </w:trPr>
        <w:tc>
          <w:tcPr>
            <w:tcW w:w="1843" w:type="dxa"/>
            <w:tcBorders>
              <w:top w:val="single" w:sz="4" w:space="0" w:color="C2D9BA"/>
              <w:bottom w:val="single" w:sz="4" w:space="0" w:color="C2D9BA"/>
            </w:tcBorders>
            <w:shd w:val="clear" w:color="auto" w:fill="auto"/>
          </w:tcPr>
          <w:p w14:paraId="5FDDB96E" w14:textId="77777777" w:rsidR="00991179" w:rsidRPr="00E444B3" w:rsidRDefault="00991179" w:rsidP="00051722">
            <w:pPr>
              <w:pStyle w:val="TableText"/>
              <w:keepNext/>
            </w:pPr>
            <w:r w:rsidRPr="00E444B3">
              <w:lastRenderedPageBreak/>
              <w:t>Prednisolone</w:t>
            </w:r>
          </w:p>
        </w:tc>
        <w:tc>
          <w:tcPr>
            <w:tcW w:w="3119" w:type="dxa"/>
            <w:tcBorders>
              <w:top w:val="single" w:sz="4" w:space="0" w:color="C2D9BA"/>
              <w:bottom w:val="single" w:sz="4" w:space="0" w:color="C2D9BA"/>
            </w:tcBorders>
            <w:shd w:val="clear" w:color="auto" w:fill="auto"/>
          </w:tcPr>
          <w:p w14:paraId="581FA074" w14:textId="77777777" w:rsidR="00991179" w:rsidRPr="00E444B3" w:rsidRDefault="00991179" w:rsidP="00051722">
            <w:pPr>
              <w:pStyle w:val="TableText"/>
              <w:keepNext/>
            </w:pPr>
            <w:r w:rsidRPr="00E444B3">
              <w:t>Plasma cell myeloma</w:t>
            </w:r>
          </w:p>
        </w:tc>
        <w:tc>
          <w:tcPr>
            <w:tcW w:w="3118" w:type="dxa"/>
            <w:tcBorders>
              <w:top w:val="single" w:sz="4" w:space="0" w:color="C2D9BA"/>
              <w:bottom w:val="single" w:sz="4" w:space="0" w:color="C2D9BA"/>
            </w:tcBorders>
            <w:shd w:val="clear" w:color="auto" w:fill="auto"/>
          </w:tcPr>
          <w:p w14:paraId="505B66C5" w14:textId="77777777" w:rsidR="00991179" w:rsidRDefault="00991179" w:rsidP="00051722">
            <w:pPr>
              <w:pStyle w:val="TableText"/>
              <w:keepNext/>
            </w:pPr>
            <w:r>
              <w:t>No</w:t>
            </w:r>
          </w:p>
          <w:p w14:paraId="5D826B3B" w14:textId="77777777" w:rsidR="00991179" w:rsidRPr="00E444B3" w:rsidRDefault="00991179" w:rsidP="00051722">
            <w:pPr>
              <w:pStyle w:val="TableText"/>
              <w:keepNext/>
            </w:pPr>
            <w:r>
              <w:t>Prednisone is therapeutically equivalent and is funded in Aotearoa without restriction</w:t>
            </w:r>
          </w:p>
        </w:tc>
      </w:tr>
      <w:tr w:rsidR="00991179" w14:paraId="488E0A00" w14:textId="77777777" w:rsidTr="00051722">
        <w:trPr>
          <w:cantSplit/>
        </w:trPr>
        <w:tc>
          <w:tcPr>
            <w:tcW w:w="1843" w:type="dxa"/>
            <w:tcBorders>
              <w:top w:val="single" w:sz="4" w:space="0" w:color="C2D9BA"/>
              <w:bottom w:val="single" w:sz="4" w:space="0" w:color="C2D9BA"/>
            </w:tcBorders>
            <w:shd w:val="clear" w:color="auto" w:fill="auto"/>
          </w:tcPr>
          <w:p w14:paraId="36A03CB4" w14:textId="77777777" w:rsidR="00991179" w:rsidRPr="00E444B3" w:rsidRDefault="00991179" w:rsidP="000861AF">
            <w:pPr>
              <w:pStyle w:val="TableText"/>
            </w:pPr>
            <w:r w:rsidRPr="00E444B3">
              <w:t>Procarbazine</w:t>
            </w:r>
          </w:p>
        </w:tc>
        <w:tc>
          <w:tcPr>
            <w:tcW w:w="3119" w:type="dxa"/>
            <w:tcBorders>
              <w:top w:val="single" w:sz="4" w:space="0" w:color="C2D9BA"/>
              <w:bottom w:val="single" w:sz="4" w:space="0" w:color="C2D9BA"/>
            </w:tcBorders>
            <w:shd w:val="clear" w:color="auto" w:fill="auto"/>
          </w:tcPr>
          <w:p w14:paraId="3C4588C0" w14:textId="77777777" w:rsidR="00991179" w:rsidRPr="00E444B3" w:rsidRDefault="00991179" w:rsidP="00991179">
            <w:pPr>
              <w:pStyle w:val="TableText"/>
            </w:pPr>
            <w:r w:rsidRPr="00E444B3">
              <w:t>Hodgkin lymphoma</w:t>
            </w:r>
          </w:p>
        </w:tc>
        <w:tc>
          <w:tcPr>
            <w:tcW w:w="3118" w:type="dxa"/>
            <w:tcBorders>
              <w:top w:val="single" w:sz="4" w:space="0" w:color="C2D9BA"/>
              <w:bottom w:val="single" w:sz="4" w:space="0" w:color="C2D9BA"/>
            </w:tcBorders>
            <w:shd w:val="clear" w:color="auto" w:fill="auto"/>
          </w:tcPr>
          <w:p w14:paraId="529C12E7" w14:textId="77777777" w:rsidR="00991179" w:rsidRPr="00E444B3" w:rsidRDefault="00991179" w:rsidP="00991179">
            <w:pPr>
              <w:pStyle w:val="TableText"/>
            </w:pPr>
            <w:r w:rsidRPr="00E444B3">
              <w:t>Yes</w:t>
            </w:r>
          </w:p>
        </w:tc>
      </w:tr>
      <w:tr w:rsidR="00991179" w14:paraId="61EACD50" w14:textId="77777777" w:rsidTr="00051722">
        <w:trPr>
          <w:cantSplit/>
        </w:trPr>
        <w:tc>
          <w:tcPr>
            <w:tcW w:w="1843" w:type="dxa"/>
            <w:tcBorders>
              <w:top w:val="single" w:sz="4" w:space="0" w:color="C2D9BA"/>
              <w:bottom w:val="single" w:sz="4" w:space="0" w:color="C2D9BA"/>
            </w:tcBorders>
            <w:shd w:val="clear" w:color="auto" w:fill="auto"/>
          </w:tcPr>
          <w:p w14:paraId="0C2272ED" w14:textId="77777777" w:rsidR="00991179" w:rsidRPr="00E444B3" w:rsidRDefault="00991179" w:rsidP="000861AF">
            <w:pPr>
              <w:pStyle w:val="TableText"/>
            </w:pPr>
            <w:r w:rsidRPr="00E444B3">
              <w:t>Realgar-indigo naturalis formulation [oral arsenic]</w:t>
            </w:r>
          </w:p>
        </w:tc>
        <w:tc>
          <w:tcPr>
            <w:tcW w:w="3119" w:type="dxa"/>
            <w:tcBorders>
              <w:top w:val="single" w:sz="4" w:space="0" w:color="C2D9BA"/>
              <w:bottom w:val="single" w:sz="4" w:space="0" w:color="C2D9BA"/>
            </w:tcBorders>
            <w:shd w:val="clear" w:color="auto" w:fill="auto"/>
          </w:tcPr>
          <w:p w14:paraId="209FA82B" w14:textId="77777777" w:rsidR="00991179" w:rsidRPr="00E444B3" w:rsidRDefault="00991179" w:rsidP="00991179">
            <w:pPr>
              <w:pStyle w:val="TableText"/>
            </w:pPr>
            <w:r w:rsidRPr="00E444B3">
              <w:t>Acute myeloid leukaemia with recurrent genetic abnormalities</w:t>
            </w:r>
          </w:p>
        </w:tc>
        <w:tc>
          <w:tcPr>
            <w:tcW w:w="3118" w:type="dxa"/>
            <w:tcBorders>
              <w:top w:val="single" w:sz="4" w:space="0" w:color="C2D9BA"/>
              <w:bottom w:val="single" w:sz="4" w:space="0" w:color="C2D9BA"/>
            </w:tcBorders>
            <w:shd w:val="clear" w:color="auto" w:fill="auto"/>
          </w:tcPr>
          <w:p w14:paraId="28034AB2" w14:textId="77777777" w:rsidR="00991179" w:rsidRDefault="00991179" w:rsidP="00991179">
            <w:pPr>
              <w:pStyle w:val="TableText"/>
            </w:pPr>
            <w:r w:rsidRPr="00E444B3">
              <w:t>No</w:t>
            </w:r>
          </w:p>
          <w:p w14:paraId="215556AC" w14:textId="77777777" w:rsidR="00991179" w:rsidRPr="00E444B3" w:rsidRDefault="00991179" w:rsidP="00991179">
            <w:pPr>
              <w:pStyle w:val="TableText"/>
            </w:pPr>
            <w:r w:rsidRPr="00E444B3">
              <w:t xml:space="preserve">Arsenic trioxide injection </w:t>
            </w:r>
            <w:r>
              <w:t xml:space="preserve">is a therapeutic alternative to realgar-indigo naturalis and is </w:t>
            </w:r>
            <w:r w:rsidRPr="00E444B3">
              <w:t>funded</w:t>
            </w:r>
            <w:r>
              <w:t xml:space="preserve"> in Aotearoa without restriction.</w:t>
            </w:r>
          </w:p>
        </w:tc>
      </w:tr>
      <w:tr w:rsidR="00991179" w14:paraId="6BC83CB2" w14:textId="77777777" w:rsidTr="00051722">
        <w:trPr>
          <w:cantSplit/>
        </w:trPr>
        <w:tc>
          <w:tcPr>
            <w:tcW w:w="1843" w:type="dxa"/>
            <w:tcBorders>
              <w:top w:val="single" w:sz="4" w:space="0" w:color="C2D9BA"/>
              <w:bottom w:val="single" w:sz="4" w:space="0" w:color="C2D9BA"/>
            </w:tcBorders>
            <w:shd w:val="clear" w:color="auto" w:fill="auto"/>
          </w:tcPr>
          <w:p w14:paraId="07D3652F" w14:textId="77777777" w:rsidR="00991179" w:rsidRPr="00E444B3" w:rsidRDefault="00991179" w:rsidP="000861AF">
            <w:pPr>
              <w:pStyle w:val="TableText"/>
            </w:pPr>
            <w:r w:rsidRPr="00E444B3">
              <w:t>Rituximab</w:t>
            </w:r>
          </w:p>
        </w:tc>
        <w:tc>
          <w:tcPr>
            <w:tcW w:w="3119" w:type="dxa"/>
            <w:tcBorders>
              <w:top w:val="single" w:sz="4" w:space="0" w:color="C2D9BA"/>
              <w:bottom w:val="single" w:sz="4" w:space="0" w:color="C2D9BA"/>
            </w:tcBorders>
            <w:shd w:val="clear" w:color="auto" w:fill="auto"/>
            <w:vAlign w:val="bottom"/>
          </w:tcPr>
          <w:p w14:paraId="53DD7DDC" w14:textId="77777777" w:rsidR="00991179" w:rsidRPr="00E444B3" w:rsidRDefault="00991179" w:rsidP="00991179">
            <w:pPr>
              <w:pStyle w:val="TableText"/>
            </w:pPr>
            <w:r w:rsidRPr="00E444B3">
              <w:t>Follicular lymphoma</w:t>
            </w:r>
          </w:p>
        </w:tc>
        <w:tc>
          <w:tcPr>
            <w:tcW w:w="3118" w:type="dxa"/>
            <w:tcBorders>
              <w:top w:val="single" w:sz="4" w:space="0" w:color="C2D9BA"/>
              <w:bottom w:val="single" w:sz="4" w:space="0" w:color="C2D9BA"/>
            </w:tcBorders>
            <w:shd w:val="clear" w:color="auto" w:fill="auto"/>
          </w:tcPr>
          <w:p w14:paraId="73324D31" w14:textId="77777777" w:rsidR="00991179" w:rsidRPr="00E444B3" w:rsidRDefault="00991179" w:rsidP="00991179">
            <w:pPr>
              <w:pStyle w:val="TableText"/>
            </w:pPr>
            <w:r w:rsidRPr="00E444B3">
              <w:t>Yes</w:t>
            </w:r>
          </w:p>
        </w:tc>
      </w:tr>
      <w:tr w:rsidR="00991179" w14:paraId="5A1B2447" w14:textId="77777777" w:rsidTr="00051722">
        <w:trPr>
          <w:cantSplit/>
        </w:trPr>
        <w:tc>
          <w:tcPr>
            <w:tcW w:w="1843" w:type="dxa"/>
            <w:tcBorders>
              <w:top w:val="single" w:sz="4" w:space="0" w:color="C2D9BA"/>
              <w:bottom w:val="single" w:sz="4" w:space="0" w:color="C2D9BA"/>
            </w:tcBorders>
            <w:shd w:val="clear" w:color="auto" w:fill="auto"/>
          </w:tcPr>
          <w:p w14:paraId="7BCD6814" w14:textId="77777777" w:rsidR="00991179" w:rsidRPr="00E444B3" w:rsidRDefault="00991179" w:rsidP="000861AF">
            <w:pPr>
              <w:pStyle w:val="TableText"/>
            </w:pPr>
            <w:r w:rsidRPr="00E444B3">
              <w:t>Rituximab</w:t>
            </w:r>
          </w:p>
        </w:tc>
        <w:tc>
          <w:tcPr>
            <w:tcW w:w="3119" w:type="dxa"/>
            <w:tcBorders>
              <w:top w:val="single" w:sz="4" w:space="0" w:color="C2D9BA"/>
              <w:bottom w:val="single" w:sz="4" w:space="0" w:color="C2D9BA"/>
            </w:tcBorders>
            <w:shd w:val="clear" w:color="auto" w:fill="auto"/>
            <w:vAlign w:val="bottom"/>
          </w:tcPr>
          <w:p w14:paraId="121ECB5E" w14:textId="77777777" w:rsidR="00991179" w:rsidRPr="00E444B3" w:rsidRDefault="00991179" w:rsidP="00991179">
            <w:pPr>
              <w:pStyle w:val="TableText"/>
            </w:pPr>
            <w:r w:rsidRPr="00E444B3">
              <w:t>Chronic lymphocytic leukaemia or small lymphocytic lymphoma</w:t>
            </w:r>
          </w:p>
        </w:tc>
        <w:tc>
          <w:tcPr>
            <w:tcW w:w="3118" w:type="dxa"/>
            <w:tcBorders>
              <w:top w:val="single" w:sz="4" w:space="0" w:color="C2D9BA"/>
              <w:bottom w:val="single" w:sz="4" w:space="0" w:color="C2D9BA"/>
            </w:tcBorders>
            <w:shd w:val="clear" w:color="auto" w:fill="auto"/>
          </w:tcPr>
          <w:p w14:paraId="426C919E" w14:textId="77777777" w:rsidR="00991179" w:rsidRPr="00E444B3" w:rsidRDefault="00991179" w:rsidP="00991179">
            <w:pPr>
              <w:pStyle w:val="TableText"/>
            </w:pPr>
            <w:r w:rsidRPr="00E444B3">
              <w:t>Yes</w:t>
            </w:r>
          </w:p>
        </w:tc>
      </w:tr>
      <w:tr w:rsidR="00991179" w14:paraId="7CDB4DE6" w14:textId="77777777" w:rsidTr="00051722">
        <w:trPr>
          <w:cantSplit/>
        </w:trPr>
        <w:tc>
          <w:tcPr>
            <w:tcW w:w="1843" w:type="dxa"/>
            <w:tcBorders>
              <w:top w:val="single" w:sz="4" w:space="0" w:color="C2D9BA"/>
              <w:bottom w:val="single" w:sz="4" w:space="0" w:color="C2D9BA"/>
            </w:tcBorders>
            <w:shd w:val="clear" w:color="auto" w:fill="auto"/>
          </w:tcPr>
          <w:p w14:paraId="5E4B9560" w14:textId="77777777" w:rsidR="00991179" w:rsidRPr="00E444B3" w:rsidRDefault="00991179" w:rsidP="000861AF">
            <w:pPr>
              <w:pStyle w:val="TableText"/>
            </w:pPr>
            <w:r w:rsidRPr="00E444B3">
              <w:t>Rituximab</w:t>
            </w:r>
          </w:p>
        </w:tc>
        <w:tc>
          <w:tcPr>
            <w:tcW w:w="3119" w:type="dxa"/>
            <w:tcBorders>
              <w:top w:val="single" w:sz="4" w:space="0" w:color="C2D9BA"/>
              <w:bottom w:val="single" w:sz="4" w:space="0" w:color="C2D9BA"/>
            </w:tcBorders>
            <w:shd w:val="clear" w:color="auto" w:fill="auto"/>
            <w:vAlign w:val="bottom"/>
          </w:tcPr>
          <w:p w14:paraId="14AE7F0F" w14:textId="77777777" w:rsidR="00991179" w:rsidRPr="00E444B3" w:rsidRDefault="00991179" w:rsidP="00991179">
            <w:pPr>
              <w:pStyle w:val="TableText"/>
            </w:pPr>
            <w:r w:rsidRPr="00E444B3">
              <w:t>Diffuse large B-cell lymphomas</w:t>
            </w:r>
          </w:p>
        </w:tc>
        <w:tc>
          <w:tcPr>
            <w:tcW w:w="3118" w:type="dxa"/>
            <w:tcBorders>
              <w:top w:val="single" w:sz="4" w:space="0" w:color="C2D9BA"/>
              <w:bottom w:val="single" w:sz="4" w:space="0" w:color="C2D9BA"/>
            </w:tcBorders>
            <w:shd w:val="clear" w:color="auto" w:fill="auto"/>
          </w:tcPr>
          <w:p w14:paraId="054D2D9B" w14:textId="77777777" w:rsidR="00991179" w:rsidRPr="00E444B3" w:rsidRDefault="00991179" w:rsidP="00991179">
            <w:pPr>
              <w:pStyle w:val="TableText"/>
            </w:pPr>
            <w:r w:rsidRPr="00E444B3">
              <w:t>Yes</w:t>
            </w:r>
          </w:p>
        </w:tc>
      </w:tr>
      <w:tr w:rsidR="00991179" w14:paraId="426A4DBE" w14:textId="77777777" w:rsidTr="00051722">
        <w:trPr>
          <w:cantSplit/>
        </w:trPr>
        <w:tc>
          <w:tcPr>
            <w:tcW w:w="1843" w:type="dxa"/>
            <w:tcBorders>
              <w:top w:val="single" w:sz="4" w:space="0" w:color="C2D9BA"/>
              <w:bottom w:val="single" w:sz="4" w:space="0" w:color="C2D9BA"/>
            </w:tcBorders>
            <w:shd w:val="clear" w:color="auto" w:fill="auto"/>
          </w:tcPr>
          <w:p w14:paraId="04487269" w14:textId="77777777" w:rsidR="00991179" w:rsidRPr="00E444B3" w:rsidRDefault="00991179" w:rsidP="000861AF">
            <w:pPr>
              <w:pStyle w:val="TableText"/>
            </w:pPr>
            <w:r w:rsidRPr="00E444B3">
              <w:t>Tamoxifen</w:t>
            </w:r>
          </w:p>
        </w:tc>
        <w:tc>
          <w:tcPr>
            <w:tcW w:w="3119" w:type="dxa"/>
            <w:tcBorders>
              <w:top w:val="single" w:sz="4" w:space="0" w:color="C2D9BA"/>
              <w:bottom w:val="single" w:sz="4" w:space="0" w:color="C2D9BA"/>
            </w:tcBorders>
            <w:shd w:val="clear" w:color="auto" w:fill="auto"/>
            <w:vAlign w:val="bottom"/>
          </w:tcPr>
          <w:p w14:paraId="6A59D160"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12C248AA" w14:textId="77777777" w:rsidR="00991179" w:rsidRPr="00E444B3" w:rsidRDefault="00991179" w:rsidP="00991179">
            <w:pPr>
              <w:pStyle w:val="TableText"/>
            </w:pPr>
            <w:r w:rsidRPr="00E444B3">
              <w:t>Yes</w:t>
            </w:r>
          </w:p>
        </w:tc>
      </w:tr>
      <w:tr w:rsidR="00991179" w14:paraId="701AFEC8" w14:textId="77777777" w:rsidTr="00051722">
        <w:trPr>
          <w:cantSplit/>
        </w:trPr>
        <w:tc>
          <w:tcPr>
            <w:tcW w:w="1843" w:type="dxa"/>
            <w:tcBorders>
              <w:top w:val="single" w:sz="4" w:space="0" w:color="C2D9BA"/>
              <w:bottom w:val="single" w:sz="4" w:space="0" w:color="C2D9BA"/>
            </w:tcBorders>
            <w:shd w:val="clear" w:color="auto" w:fill="auto"/>
          </w:tcPr>
          <w:p w14:paraId="03353D68" w14:textId="77777777" w:rsidR="00991179" w:rsidRPr="00E444B3" w:rsidRDefault="00991179" w:rsidP="000861AF">
            <w:pPr>
              <w:pStyle w:val="TableText"/>
            </w:pPr>
            <w:r w:rsidRPr="00E444B3">
              <w:t>Tamoxifen</w:t>
            </w:r>
          </w:p>
        </w:tc>
        <w:tc>
          <w:tcPr>
            <w:tcW w:w="3119" w:type="dxa"/>
            <w:tcBorders>
              <w:top w:val="single" w:sz="4" w:space="0" w:color="C2D9BA"/>
              <w:bottom w:val="single" w:sz="4" w:space="0" w:color="C2D9BA"/>
            </w:tcBorders>
            <w:shd w:val="clear" w:color="auto" w:fill="auto"/>
            <w:vAlign w:val="bottom"/>
          </w:tcPr>
          <w:p w14:paraId="2C8167EB" w14:textId="77777777" w:rsidR="00991179" w:rsidRPr="00E444B3" w:rsidRDefault="00991179" w:rsidP="00991179">
            <w:pPr>
              <w:pStyle w:val="TableText"/>
            </w:pPr>
            <w:r w:rsidRPr="00E444B3">
              <w:t>Malignant neoplasms of breast</w:t>
            </w:r>
          </w:p>
        </w:tc>
        <w:tc>
          <w:tcPr>
            <w:tcW w:w="3118" w:type="dxa"/>
            <w:tcBorders>
              <w:top w:val="single" w:sz="4" w:space="0" w:color="C2D9BA"/>
              <w:bottom w:val="single" w:sz="4" w:space="0" w:color="C2D9BA"/>
            </w:tcBorders>
            <w:shd w:val="clear" w:color="auto" w:fill="auto"/>
          </w:tcPr>
          <w:p w14:paraId="7B7C717F" w14:textId="77777777" w:rsidR="00991179" w:rsidRPr="00E444B3" w:rsidRDefault="00991179" w:rsidP="00991179">
            <w:pPr>
              <w:pStyle w:val="TableText"/>
            </w:pPr>
            <w:r w:rsidRPr="00E444B3">
              <w:t>Yes</w:t>
            </w:r>
          </w:p>
        </w:tc>
      </w:tr>
      <w:tr w:rsidR="00991179" w14:paraId="34288BF4" w14:textId="77777777" w:rsidTr="00051722">
        <w:trPr>
          <w:cantSplit/>
        </w:trPr>
        <w:tc>
          <w:tcPr>
            <w:tcW w:w="1843" w:type="dxa"/>
            <w:tcBorders>
              <w:top w:val="single" w:sz="4" w:space="0" w:color="C2D9BA"/>
              <w:bottom w:val="single" w:sz="4" w:space="0" w:color="C2D9BA"/>
            </w:tcBorders>
            <w:shd w:val="clear" w:color="auto" w:fill="auto"/>
          </w:tcPr>
          <w:p w14:paraId="56AD435A" w14:textId="77777777" w:rsidR="00991179" w:rsidRPr="00E444B3" w:rsidRDefault="00991179" w:rsidP="000861AF">
            <w:pPr>
              <w:pStyle w:val="TableText"/>
            </w:pPr>
            <w:r w:rsidRPr="00E444B3">
              <w:t>Thalidomide</w:t>
            </w:r>
          </w:p>
        </w:tc>
        <w:tc>
          <w:tcPr>
            <w:tcW w:w="3119" w:type="dxa"/>
            <w:tcBorders>
              <w:top w:val="single" w:sz="4" w:space="0" w:color="C2D9BA"/>
              <w:bottom w:val="single" w:sz="4" w:space="0" w:color="C2D9BA"/>
            </w:tcBorders>
            <w:shd w:val="clear" w:color="auto" w:fill="auto"/>
          </w:tcPr>
          <w:p w14:paraId="4FFDC7E9" w14:textId="77777777" w:rsidR="00991179" w:rsidRPr="00E444B3" w:rsidRDefault="00991179" w:rsidP="00991179">
            <w:pPr>
              <w:pStyle w:val="TableText"/>
            </w:pPr>
            <w:r w:rsidRPr="00E444B3">
              <w:t>Plasma cell myeloma</w:t>
            </w:r>
          </w:p>
        </w:tc>
        <w:tc>
          <w:tcPr>
            <w:tcW w:w="3118" w:type="dxa"/>
            <w:tcBorders>
              <w:top w:val="single" w:sz="4" w:space="0" w:color="C2D9BA"/>
              <w:bottom w:val="single" w:sz="4" w:space="0" w:color="C2D9BA"/>
            </w:tcBorders>
            <w:shd w:val="clear" w:color="auto" w:fill="auto"/>
          </w:tcPr>
          <w:p w14:paraId="55EB04EB" w14:textId="77777777" w:rsidR="00991179" w:rsidRPr="00E444B3" w:rsidRDefault="00991179" w:rsidP="00991179">
            <w:pPr>
              <w:pStyle w:val="TableText"/>
            </w:pPr>
            <w:r w:rsidRPr="00E444B3">
              <w:t>Yes</w:t>
            </w:r>
          </w:p>
        </w:tc>
      </w:tr>
      <w:tr w:rsidR="00991179" w14:paraId="294D80FF" w14:textId="77777777" w:rsidTr="00051722">
        <w:trPr>
          <w:cantSplit/>
        </w:trPr>
        <w:tc>
          <w:tcPr>
            <w:tcW w:w="1843" w:type="dxa"/>
            <w:tcBorders>
              <w:top w:val="single" w:sz="4" w:space="0" w:color="C2D9BA"/>
              <w:bottom w:val="single" w:sz="4" w:space="0" w:color="C2D9BA"/>
            </w:tcBorders>
            <w:shd w:val="clear" w:color="auto" w:fill="auto"/>
          </w:tcPr>
          <w:p w14:paraId="128DEEA7" w14:textId="77777777" w:rsidR="00991179" w:rsidRPr="00E444B3" w:rsidRDefault="00991179" w:rsidP="000861AF">
            <w:pPr>
              <w:pStyle w:val="TableText"/>
            </w:pPr>
            <w:r w:rsidRPr="00E444B3">
              <w:t>Trastuzumab</w:t>
            </w:r>
          </w:p>
        </w:tc>
        <w:tc>
          <w:tcPr>
            <w:tcW w:w="3119" w:type="dxa"/>
            <w:tcBorders>
              <w:top w:val="single" w:sz="4" w:space="0" w:color="C2D9BA"/>
              <w:bottom w:val="single" w:sz="4" w:space="0" w:color="C2D9BA"/>
            </w:tcBorders>
            <w:shd w:val="clear" w:color="auto" w:fill="auto"/>
          </w:tcPr>
          <w:p w14:paraId="6A093C6E" w14:textId="77777777" w:rsidR="00991179" w:rsidRPr="00E444B3" w:rsidRDefault="00991179" w:rsidP="00991179">
            <w:pPr>
              <w:pStyle w:val="TableText"/>
            </w:pPr>
            <w:r w:rsidRPr="00E444B3">
              <w:t>Carcinoma of breast, specialised type</w:t>
            </w:r>
          </w:p>
        </w:tc>
        <w:tc>
          <w:tcPr>
            <w:tcW w:w="3118" w:type="dxa"/>
            <w:tcBorders>
              <w:top w:val="single" w:sz="4" w:space="0" w:color="C2D9BA"/>
              <w:bottom w:val="single" w:sz="4" w:space="0" w:color="C2D9BA"/>
            </w:tcBorders>
            <w:shd w:val="clear" w:color="auto" w:fill="auto"/>
          </w:tcPr>
          <w:p w14:paraId="7F6037E6" w14:textId="77777777" w:rsidR="00991179" w:rsidRPr="00E444B3" w:rsidRDefault="00991179" w:rsidP="00991179">
            <w:pPr>
              <w:pStyle w:val="TableText"/>
            </w:pPr>
            <w:r w:rsidRPr="00E444B3">
              <w:t>Yes</w:t>
            </w:r>
          </w:p>
        </w:tc>
      </w:tr>
      <w:tr w:rsidR="00991179" w14:paraId="59A73564" w14:textId="77777777" w:rsidTr="00051722">
        <w:trPr>
          <w:cantSplit/>
        </w:trPr>
        <w:tc>
          <w:tcPr>
            <w:tcW w:w="1843" w:type="dxa"/>
            <w:tcBorders>
              <w:top w:val="single" w:sz="4" w:space="0" w:color="C2D9BA"/>
              <w:bottom w:val="single" w:sz="4" w:space="0" w:color="C2D9BA"/>
            </w:tcBorders>
            <w:shd w:val="clear" w:color="auto" w:fill="auto"/>
          </w:tcPr>
          <w:p w14:paraId="1D5A75A7" w14:textId="77777777" w:rsidR="00991179" w:rsidRPr="00E444B3" w:rsidRDefault="00991179" w:rsidP="000861AF">
            <w:pPr>
              <w:pStyle w:val="TableText"/>
            </w:pPr>
            <w:r w:rsidRPr="00E444B3">
              <w:t>Vinblastine</w:t>
            </w:r>
          </w:p>
        </w:tc>
        <w:tc>
          <w:tcPr>
            <w:tcW w:w="3119" w:type="dxa"/>
            <w:tcBorders>
              <w:top w:val="single" w:sz="4" w:space="0" w:color="C2D9BA"/>
              <w:bottom w:val="single" w:sz="4" w:space="0" w:color="C2D9BA"/>
            </w:tcBorders>
            <w:shd w:val="clear" w:color="auto" w:fill="auto"/>
          </w:tcPr>
          <w:p w14:paraId="3260584B" w14:textId="77777777" w:rsidR="00991179" w:rsidRPr="00E444B3" w:rsidRDefault="00991179" w:rsidP="00991179">
            <w:pPr>
              <w:pStyle w:val="TableText"/>
            </w:pPr>
            <w:r w:rsidRPr="00E444B3">
              <w:t>Hodgkin lymphoma</w:t>
            </w:r>
          </w:p>
        </w:tc>
        <w:tc>
          <w:tcPr>
            <w:tcW w:w="3118" w:type="dxa"/>
            <w:tcBorders>
              <w:top w:val="single" w:sz="4" w:space="0" w:color="C2D9BA"/>
              <w:bottom w:val="single" w:sz="4" w:space="0" w:color="C2D9BA"/>
            </w:tcBorders>
            <w:shd w:val="clear" w:color="auto" w:fill="auto"/>
          </w:tcPr>
          <w:p w14:paraId="3527F9CE" w14:textId="77777777" w:rsidR="00991179" w:rsidRPr="00E444B3" w:rsidRDefault="00991179" w:rsidP="00991179">
            <w:pPr>
              <w:pStyle w:val="TableText"/>
            </w:pPr>
            <w:r w:rsidRPr="00E444B3">
              <w:t>Yes</w:t>
            </w:r>
          </w:p>
        </w:tc>
      </w:tr>
      <w:tr w:rsidR="00991179" w14:paraId="0407DB06" w14:textId="77777777" w:rsidTr="00051722">
        <w:trPr>
          <w:cantSplit/>
        </w:trPr>
        <w:tc>
          <w:tcPr>
            <w:tcW w:w="1843" w:type="dxa"/>
            <w:tcBorders>
              <w:top w:val="single" w:sz="4" w:space="0" w:color="C2D9BA"/>
              <w:bottom w:val="single" w:sz="4" w:space="0" w:color="C2D9BA"/>
            </w:tcBorders>
            <w:shd w:val="clear" w:color="auto" w:fill="auto"/>
          </w:tcPr>
          <w:p w14:paraId="7EB82A32" w14:textId="77777777" w:rsidR="00991179" w:rsidRPr="00E444B3" w:rsidRDefault="00991179" w:rsidP="000861AF">
            <w:pPr>
              <w:pStyle w:val="TableText"/>
            </w:pPr>
            <w:r w:rsidRPr="00E444B3">
              <w:t>Vinblastine</w:t>
            </w:r>
          </w:p>
        </w:tc>
        <w:tc>
          <w:tcPr>
            <w:tcW w:w="3119" w:type="dxa"/>
            <w:tcBorders>
              <w:top w:val="single" w:sz="4" w:space="0" w:color="C2D9BA"/>
              <w:bottom w:val="single" w:sz="4" w:space="0" w:color="C2D9BA"/>
            </w:tcBorders>
            <w:shd w:val="clear" w:color="auto" w:fill="auto"/>
          </w:tcPr>
          <w:p w14:paraId="7A37BD71" w14:textId="77777777" w:rsidR="00991179" w:rsidRPr="00E444B3" w:rsidRDefault="00991179" w:rsidP="00991179">
            <w:pPr>
              <w:pStyle w:val="TableText"/>
            </w:pPr>
            <w:r w:rsidRPr="00E444B3">
              <w:t>Kaposi sarcoma of unspecified primary site</w:t>
            </w:r>
          </w:p>
        </w:tc>
        <w:tc>
          <w:tcPr>
            <w:tcW w:w="3118" w:type="dxa"/>
            <w:tcBorders>
              <w:top w:val="single" w:sz="4" w:space="0" w:color="C2D9BA"/>
              <w:bottom w:val="single" w:sz="4" w:space="0" w:color="C2D9BA"/>
            </w:tcBorders>
            <w:shd w:val="clear" w:color="auto" w:fill="auto"/>
          </w:tcPr>
          <w:p w14:paraId="476B8CDD" w14:textId="77777777" w:rsidR="00991179" w:rsidRPr="00E444B3" w:rsidRDefault="00991179" w:rsidP="00991179">
            <w:pPr>
              <w:pStyle w:val="TableText"/>
            </w:pPr>
            <w:r w:rsidRPr="00E444B3">
              <w:t>Yes</w:t>
            </w:r>
          </w:p>
        </w:tc>
      </w:tr>
      <w:tr w:rsidR="00991179" w14:paraId="06DEC2C6" w14:textId="77777777" w:rsidTr="00051722">
        <w:trPr>
          <w:cantSplit/>
        </w:trPr>
        <w:tc>
          <w:tcPr>
            <w:tcW w:w="1843" w:type="dxa"/>
            <w:tcBorders>
              <w:top w:val="single" w:sz="4" w:space="0" w:color="C2D9BA"/>
              <w:bottom w:val="single" w:sz="4" w:space="0" w:color="C2D9BA"/>
            </w:tcBorders>
            <w:shd w:val="clear" w:color="auto" w:fill="auto"/>
          </w:tcPr>
          <w:p w14:paraId="3C6A1566" w14:textId="77777777" w:rsidR="00991179" w:rsidRPr="00E444B3" w:rsidRDefault="00991179" w:rsidP="000861AF">
            <w:pPr>
              <w:pStyle w:val="TableText"/>
            </w:pPr>
            <w:r w:rsidRPr="00E444B3">
              <w:t>Vinblastine</w:t>
            </w:r>
          </w:p>
        </w:tc>
        <w:tc>
          <w:tcPr>
            <w:tcW w:w="3119" w:type="dxa"/>
            <w:tcBorders>
              <w:top w:val="single" w:sz="4" w:space="0" w:color="C2D9BA"/>
              <w:bottom w:val="single" w:sz="4" w:space="0" w:color="C2D9BA"/>
            </w:tcBorders>
            <w:shd w:val="clear" w:color="auto" w:fill="auto"/>
          </w:tcPr>
          <w:p w14:paraId="4CC3C7F0" w14:textId="77777777" w:rsidR="00991179" w:rsidRPr="00E444B3" w:rsidRDefault="00991179" w:rsidP="00991179">
            <w:pPr>
              <w:pStyle w:val="TableText"/>
            </w:pPr>
            <w:r w:rsidRPr="00E444B3">
              <w:t>Germ cell tumour of testis</w:t>
            </w:r>
          </w:p>
        </w:tc>
        <w:tc>
          <w:tcPr>
            <w:tcW w:w="3118" w:type="dxa"/>
            <w:tcBorders>
              <w:top w:val="single" w:sz="4" w:space="0" w:color="C2D9BA"/>
              <w:bottom w:val="single" w:sz="4" w:space="0" w:color="C2D9BA"/>
            </w:tcBorders>
            <w:shd w:val="clear" w:color="auto" w:fill="auto"/>
          </w:tcPr>
          <w:p w14:paraId="0DDA32E2" w14:textId="77777777" w:rsidR="00991179" w:rsidRPr="00E444B3" w:rsidRDefault="00991179" w:rsidP="00991179">
            <w:pPr>
              <w:pStyle w:val="TableText"/>
            </w:pPr>
            <w:r w:rsidRPr="00E444B3">
              <w:t>Yes</w:t>
            </w:r>
          </w:p>
        </w:tc>
      </w:tr>
      <w:tr w:rsidR="00991179" w14:paraId="7274C1F2" w14:textId="77777777" w:rsidTr="00051722">
        <w:trPr>
          <w:cantSplit/>
        </w:trPr>
        <w:tc>
          <w:tcPr>
            <w:tcW w:w="1843" w:type="dxa"/>
            <w:tcBorders>
              <w:top w:val="single" w:sz="4" w:space="0" w:color="C2D9BA"/>
              <w:bottom w:val="single" w:sz="4" w:space="0" w:color="C2D9BA"/>
            </w:tcBorders>
            <w:shd w:val="clear" w:color="auto" w:fill="auto"/>
          </w:tcPr>
          <w:p w14:paraId="2AE2E206" w14:textId="77777777" w:rsidR="00991179" w:rsidRPr="00E444B3" w:rsidRDefault="00991179" w:rsidP="000861AF">
            <w:pPr>
              <w:pStyle w:val="TableText"/>
            </w:pPr>
            <w:r w:rsidRPr="00E444B3">
              <w:t>Vinblastine</w:t>
            </w:r>
          </w:p>
        </w:tc>
        <w:tc>
          <w:tcPr>
            <w:tcW w:w="3119" w:type="dxa"/>
            <w:tcBorders>
              <w:top w:val="single" w:sz="4" w:space="0" w:color="C2D9BA"/>
              <w:bottom w:val="single" w:sz="4" w:space="0" w:color="C2D9BA"/>
            </w:tcBorders>
            <w:shd w:val="clear" w:color="auto" w:fill="auto"/>
          </w:tcPr>
          <w:p w14:paraId="5D05CD94" w14:textId="77777777" w:rsidR="00991179" w:rsidRPr="00E444B3" w:rsidRDefault="00991179" w:rsidP="00991179">
            <w:pPr>
              <w:pStyle w:val="TableText"/>
            </w:pPr>
            <w:r w:rsidRPr="00E444B3">
              <w:t>Other specified malignant neoplasms of the ovary</w:t>
            </w:r>
          </w:p>
        </w:tc>
        <w:tc>
          <w:tcPr>
            <w:tcW w:w="3118" w:type="dxa"/>
            <w:tcBorders>
              <w:top w:val="single" w:sz="4" w:space="0" w:color="C2D9BA"/>
              <w:bottom w:val="single" w:sz="4" w:space="0" w:color="C2D9BA"/>
            </w:tcBorders>
            <w:shd w:val="clear" w:color="auto" w:fill="auto"/>
          </w:tcPr>
          <w:p w14:paraId="42AC98F5" w14:textId="77777777" w:rsidR="00991179" w:rsidRPr="00E444B3" w:rsidRDefault="00991179" w:rsidP="00991179">
            <w:pPr>
              <w:pStyle w:val="TableText"/>
            </w:pPr>
            <w:r w:rsidRPr="00E444B3">
              <w:t>Yes</w:t>
            </w:r>
          </w:p>
        </w:tc>
      </w:tr>
      <w:tr w:rsidR="00991179" w14:paraId="503A9CE0" w14:textId="77777777" w:rsidTr="00051722">
        <w:trPr>
          <w:cantSplit/>
        </w:trPr>
        <w:tc>
          <w:tcPr>
            <w:tcW w:w="1843" w:type="dxa"/>
            <w:tcBorders>
              <w:top w:val="single" w:sz="4" w:space="0" w:color="C2D9BA"/>
              <w:bottom w:val="single" w:sz="4" w:space="0" w:color="C2D9BA"/>
            </w:tcBorders>
            <w:shd w:val="clear" w:color="auto" w:fill="auto"/>
          </w:tcPr>
          <w:p w14:paraId="0441640B"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5BA7A8AD" w14:textId="77777777" w:rsidR="00991179" w:rsidRPr="00E444B3" w:rsidRDefault="00991179" w:rsidP="00991179">
            <w:pPr>
              <w:pStyle w:val="TableText"/>
            </w:pPr>
            <w:r w:rsidRPr="00E444B3">
              <w:t>Kaposi sarcoma of other specified primary sites</w:t>
            </w:r>
          </w:p>
        </w:tc>
        <w:tc>
          <w:tcPr>
            <w:tcW w:w="3118" w:type="dxa"/>
            <w:tcBorders>
              <w:top w:val="single" w:sz="4" w:space="0" w:color="C2D9BA"/>
              <w:bottom w:val="single" w:sz="4" w:space="0" w:color="C2D9BA"/>
            </w:tcBorders>
            <w:shd w:val="clear" w:color="auto" w:fill="auto"/>
          </w:tcPr>
          <w:p w14:paraId="49FED4E8" w14:textId="77777777" w:rsidR="00991179" w:rsidRPr="00E444B3" w:rsidRDefault="00991179" w:rsidP="00991179">
            <w:pPr>
              <w:pStyle w:val="TableText"/>
            </w:pPr>
            <w:r w:rsidRPr="00E444B3">
              <w:t>Yes</w:t>
            </w:r>
          </w:p>
        </w:tc>
      </w:tr>
      <w:tr w:rsidR="00991179" w14:paraId="22D51F0D" w14:textId="77777777" w:rsidTr="00051722">
        <w:trPr>
          <w:cantSplit/>
        </w:trPr>
        <w:tc>
          <w:tcPr>
            <w:tcW w:w="1843" w:type="dxa"/>
            <w:tcBorders>
              <w:top w:val="single" w:sz="4" w:space="0" w:color="C2D9BA"/>
              <w:bottom w:val="single" w:sz="4" w:space="0" w:color="C2D9BA"/>
            </w:tcBorders>
            <w:shd w:val="clear" w:color="auto" w:fill="auto"/>
          </w:tcPr>
          <w:p w14:paraId="73A119FC"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066EC5DF" w14:textId="77777777" w:rsidR="00991179" w:rsidRPr="00E444B3" w:rsidRDefault="00991179" w:rsidP="00991179">
            <w:pPr>
              <w:pStyle w:val="TableText"/>
            </w:pPr>
            <w:r w:rsidRPr="00E444B3">
              <w:t>Malignant trophoblastic neoplasms of placenta</w:t>
            </w:r>
          </w:p>
        </w:tc>
        <w:tc>
          <w:tcPr>
            <w:tcW w:w="3118" w:type="dxa"/>
            <w:tcBorders>
              <w:top w:val="single" w:sz="4" w:space="0" w:color="C2D9BA"/>
              <w:bottom w:val="single" w:sz="4" w:space="0" w:color="C2D9BA"/>
            </w:tcBorders>
            <w:shd w:val="clear" w:color="auto" w:fill="auto"/>
          </w:tcPr>
          <w:p w14:paraId="62A9B016" w14:textId="77777777" w:rsidR="00991179" w:rsidRPr="00E444B3" w:rsidRDefault="00991179" w:rsidP="00991179">
            <w:pPr>
              <w:pStyle w:val="TableText"/>
            </w:pPr>
            <w:r w:rsidRPr="00E444B3">
              <w:t>Yes</w:t>
            </w:r>
          </w:p>
        </w:tc>
      </w:tr>
      <w:tr w:rsidR="00991179" w14:paraId="187B4F0E" w14:textId="77777777" w:rsidTr="00051722">
        <w:trPr>
          <w:cantSplit/>
        </w:trPr>
        <w:tc>
          <w:tcPr>
            <w:tcW w:w="1843" w:type="dxa"/>
            <w:tcBorders>
              <w:top w:val="single" w:sz="4" w:space="0" w:color="C2D9BA"/>
              <w:bottom w:val="single" w:sz="4" w:space="0" w:color="C2D9BA"/>
            </w:tcBorders>
            <w:shd w:val="clear" w:color="auto" w:fill="auto"/>
          </w:tcPr>
          <w:p w14:paraId="6514EE24"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6F00D2A9" w14:textId="77777777" w:rsidR="00991179" w:rsidRPr="00E444B3" w:rsidRDefault="00991179" w:rsidP="00991179">
            <w:pPr>
              <w:pStyle w:val="TableText"/>
            </w:pPr>
            <w:r w:rsidRPr="00E444B3">
              <w:t>Malignant neoplasms of kidney, except renal pelvis</w:t>
            </w:r>
          </w:p>
        </w:tc>
        <w:tc>
          <w:tcPr>
            <w:tcW w:w="3118" w:type="dxa"/>
            <w:tcBorders>
              <w:top w:val="single" w:sz="4" w:space="0" w:color="C2D9BA"/>
              <w:bottom w:val="single" w:sz="4" w:space="0" w:color="C2D9BA"/>
            </w:tcBorders>
            <w:shd w:val="clear" w:color="auto" w:fill="auto"/>
          </w:tcPr>
          <w:p w14:paraId="0D9E99B4" w14:textId="77777777" w:rsidR="00991179" w:rsidRPr="00E444B3" w:rsidRDefault="00991179" w:rsidP="00991179">
            <w:pPr>
              <w:pStyle w:val="TableText"/>
            </w:pPr>
            <w:r w:rsidRPr="00E444B3">
              <w:t>Yes</w:t>
            </w:r>
          </w:p>
        </w:tc>
      </w:tr>
      <w:tr w:rsidR="00991179" w14:paraId="3DC977E2" w14:textId="77777777" w:rsidTr="00051722">
        <w:trPr>
          <w:cantSplit/>
        </w:trPr>
        <w:tc>
          <w:tcPr>
            <w:tcW w:w="1843" w:type="dxa"/>
            <w:tcBorders>
              <w:top w:val="single" w:sz="4" w:space="0" w:color="C2D9BA"/>
              <w:bottom w:val="single" w:sz="4" w:space="0" w:color="C2D9BA"/>
            </w:tcBorders>
            <w:shd w:val="clear" w:color="auto" w:fill="auto"/>
          </w:tcPr>
          <w:p w14:paraId="4D949C8F"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5946F6EF" w14:textId="77777777" w:rsidR="00991179" w:rsidRPr="00E444B3" w:rsidRDefault="00991179" w:rsidP="00991179">
            <w:pPr>
              <w:pStyle w:val="TableText"/>
            </w:pPr>
            <w:r w:rsidRPr="00E444B3">
              <w:t>Ewing sarcoma of bone and articular cartilage of unspecified sites</w:t>
            </w:r>
          </w:p>
        </w:tc>
        <w:tc>
          <w:tcPr>
            <w:tcW w:w="3118" w:type="dxa"/>
            <w:tcBorders>
              <w:top w:val="single" w:sz="4" w:space="0" w:color="C2D9BA"/>
              <w:bottom w:val="single" w:sz="4" w:space="0" w:color="C2D9BA"/>
            </w:tcBorders>
            <w:shd w:val="clear" w:color="auto" w:fill="auto"/>
          </w:tcPr>
          <w:p w14:paraId="127C18A0" w14:textId="77777777" w:rsidR="00991179" w:rsidRPr="00E444B3" w:rsidRDefault="00991179" w:rsidP="00991179">
            <w:pPr>
              <w:pStyle w:val="TableText"/>
            </w:pPr>
            <w:r w:rsidRPr="00E444B3">
              <w:t>Yes</w:t>
            </w:r>
          </w:p>
        </w:tc>
      </w:tr>
      <w:tr w:rsidR="00991179" w14:paraId="5B315D67" w14:textId="77777777" w:rsidTr="00051722">
        <w:trPr>
          <w:cantSplit/>
        </w:trPr>
        <w:tc>
          <w:tcPr>
            <w:tcW w:w="1843" w:type="dxa"/>
            <w:tcBorders>
              <w:top w:val="single" w:sz="4" w:space="0" w:color="C2D9BA"/>
              <w:bottom w:val="single" w:sz="4" w:space="0" w:color="C2D9BA"/>
            </w:tcBorders>
            <w:shd w:val="clear" w:color="auto" w:fill="auto"/>
          </w:tcPr>
          <w:p w14:paraId="7508F70F"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73FAF21B" w14:textId="77777777" w:rsidR="00991179" w:rsidRPr="00E444B3" w:rsidRDefault="00991179" w:rsidP="00991179">
            <w:pPr>
              <w:pStyle w:val="TableText"/>
            </w:pPr>
            <w:r w:rsidRPr="00E444B3">
              <w:t>Follicular lymphoma</w:t>
            </w:r>
          </w:p>
        </w:tc>
        <w:tc>
          <w:tcPr>
            <w:tcW w:w="3118" w:type="dxa"/>
            <w:tcBorders>
              <w:top w:val="single" w:sz="4" w:space="0" w:color="C2D9BA"/>
              <w:bottom w:val="single" w:sz="4" w:space="0" w:color="C2D9BA"/>
            </w:tcBorders>
            <w:shd w:val="clear" w:color="auto" w:fill="auto"/>
          </w:tcPr>
          <w:p w14:paraId="7D26F928" w14:textId="77777777" w:rsidR="00991179" w:rsidRPr="00E444B3" w:rsidRDefault="00991179" w:rsidP="00991179">
            <w:pPr>
              <w:pStyle w:val="TableText"/>
            </w:pPr>
            <w:r w:rsidRPr="00E444B3">
              <w:t>Yes</w:t>
            </w:r>
          </w:p>
        </w:tc>
      </w:tr>
      <w:tr w:rsidR="00991179" w14:paraId="3AD60B6D" w14:textId="77777777" w:rsidTr="00051722">
        <w:trPr>
          <w:cantSplit/>
        </w:trPr>
        <w:tc>
          <w:tcPr>
            <w:tcW w:w="1843" w:type="dxa"/>
            <w:tcBorders>
              <w:top w:val="single" w:sz="4" w:space="0" w:color="C2D9BA"/>
              <w:bottom w:val="single" w:sz="4" w:space="0" w:color="C2D9BA"/>
            </w:tcBorders>
            <w:shd w:val="clear" w:color="auto" w:fill="auto"/>
          </w:tcPr>
          <w:p w14:paraId="0FD92B96"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1969D3F0" w14:textId="77777777" w:rsidR="00991179" w:rsidRPr="00E444B3" w:rsidRDefault="00991179" w:rsidP="00991179">
            <w:pPr>
              <w:pStyle w:val="TableText"/>
            </w:pPr>
            <w:r w:rsidRPr="00E444B3">
              <w:t>Lymphoid leukaemia, NOS</w:t>
            </w:r>
          </w:p>
        </w:tc>
        <w:tc>
          <w:tcPr>
            <w:tcW w:w="3118" w:type="dxa"/>
            <w:tcBorders>
              <w:top w:val="single" w:sz="4" w:space="0" w:color="C2D9BA"/>
              <w:bottom w:val="single" w:sz="4" w:space="0" w:color="C2D9BA"/>
            </w:tcBorders>
            <w:shd w:val="clear" w:color="auto" w:fill="auto"/>
          </w:tcPr>
          <w:p w14:paraId="0BF46BBE" w14:textId="77777777" w:rsidR="00991179" w:rsidRPr="00E444B3" w:rsidRDefault="00991179" w:rsidP="00991179">
            <w:pPr>
              <w:pStyle w:val="TableText"/>
            </w:pPr>
            <w:r w:rsidRPr="00E444B3">
              <w:t>Yes</w:t>
            </w:r>
          </w:p>
        </w:tc>
      </w:tr>
      <w:tr w:rsidR="00991179" w14:paraId="71135AD3" w14:textId="77777777" w:rsidTr="00051722">
        <w:trPr>
          <w:cantSplit/>
        </w:trPr>
        <w:tc>
          <w:tcPr>
            <w:tcW w:w="1843" w:type="dxa"/>
            <w:tcBorders>
              <w:top w:val="single" w:sz="4" w:space="0" w:color="C2D9BA"/>
              <w:bottom w:val="single" w:sz="4" w:space="0" w:color="C2D9BA"/>
            </w:tcBorders>
            <w:shd w:val="clear" w:color="auto" w:fill="auto"/>
          </w:tcPr>
          <w:p w14:paraId="40811F4D"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349AAA7C" w14:textId="77777777" w:rsidR="00991179" w:rsidRPr="00E444B3" w:rsidRDefault="00991179" w:rsidP="00991179">
            <w:pPr>
              <w:pStyle w:val="TableText"/>
            </w:pPr>
            <w:r w:rsidRPr="00E444B3">
              <w:t>Rhabdomyosarcoma primary site</w:t>
            </w:r>
          </w:p>
        </w:tc>
        <w:tc>
          <w:tcPr>
            <w:tcW w:w="3118" w:type="dxa"/>
            <w:tcBorders>
              <w:top w:val="single" w:sz="4" w:space="0" w:color="C2D9BA"/>
              <w:bottom w:val="single" w:sz="4" w:space="0" w:color="C2D9BA"/>
            </w:tcBorders>
            <w:shd w:val="clear" w:color="auto" w:fill="auto"/>
          </w:tcPr>
          <w:p w14:paraId="2C8B24E6" w14:textId="77777777" w:rsidR="00991179" w:rsidRPr="00E444B3" w:rsidRDefault="00991179" w:rsidP="00991179">
            <w:pPr>
              <w:pStyle w:val="TableText"/>
            </w:pPr>
            <w:r w:rsidRPr="00E444B3">
              <w:t>Yes</w:t>
            </w:r>
          </w:p>
        </w:tc>
      </w:tr>
      <w:tr w:rsidR="00991179" w14:paraId="5DC58404" w14:textId="77777777" w:rsidTr="00051722">
        <w:trPr>
          <w:cantSplit/>
        </w:trPr>
        <w:tc>
          <w:tcPr>
            <w:tcW w:w="1843" w:type="dxa"/>
            <w:tcBorders>
              <w:top w:val="single" w:sz="4" w:space="0" w:color="C2D9BA"/>
              <w:bottom w:val="single" w:sz="4" w:space="0" w:color="C2D9BA"/>
            </w:tcBorders>
            <w:shd w:val="clear" w:color="auto" w:fill="auto"/>
          </w:tcPr>
          <w:p w14:paraId="0E90579A"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527D67AA" w14:textId="77777777" w:rsidR="00991179" w:rsidRPr="00E444B3" w:rsidRDefault="00991179" w:rsidP="00991179">
            <w:pPr>
              <w:pStyle w:val="TableText"/>
            </w:pPr>
            <w:r w:rsidRPr="00E444B3">
              <w:t>Diffuse large B-cell lymphomas</w:t>
            </w:r>
          </w:p>
        </w:tc>
        <w:tc>
          <w:tcPr>
            <w:tcW w:w="3118" w:type="dxa"/>
            <w:tcBorders>
              <w:top w:val="single" w:sz="4" w:space="0" w:color="C2D9BA"/>
              <w:bottom w:val="single" w:sz="4" w:space="0" w:color="C2D9BA"/>
            </w:tcBorders>
            <w:shd w:val="clear" w:color="auto" w:fill="auto"/>
          </w:tcPr>
          <w:p w14:paraId="2FFED1DB" w14:textId="77777777" w:rsidR="00991179" w:rsidRPr="00E444B3" w:rsidRDefault="00991179" w:rsidP="00991179">
            <w:pPr>
              <w:pStyle w:val="TableText"/>
            </w:pPr>
            <w:r w:rsidRPr="00E444B3">
              <w:t>Yes</w:t>
            </w:r>
          </w:p>
        </w:tc>
      </w:tr>
      <w:tr w:rsidR="00991179" w14:paraId="73D4CF79" w14:textId="77777777" w:rsidTr="00051722">
        <w:trPr>
          <w:cantSplit/>
        </w:trPr>
        <w:tc>
          <w:tcPr>
            <w:tcW w:w="1843" w:type="dxa"/>
            <w:tcBorders>
              <w:top w:val="single" w:sz="4" w:space="0" w:color="C2D9BA"/>
              <w:bottom w:val="single" w:sz="4" w:space="0" w:color="C2D9BA"/>
            </w:tcBorders>
            <w:shd w:val="clear" w:color="auto" w:fill="auto"/>
          </w:tcPr>
          <w:p w14:paraId="7D6675E6"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5EC600B3" w14:textId="77777777" w:rsidR="00991179" w:rsidRPr="00E444B3" w:rsidRDefault="00991179" w:rsidP="00991179">
            <w:pPr>
              <w:pStyle w:val="TableText"/>
            </w:pPr>
            <w:r w:rsidRPr="00E444B3">
              <w:t>Retinoblastoma</w:t>
            </w:r>
          </w:p>
        </w:tc>
        <w:tc>
          <w:tcPr>
            <w:tcW w:w="3118" w:type="dxa"/>
            <w:tcBorders>
              <w:top w:val="single" w:sz="4" w:space="0" w:color="C2D9BA"/>
              <w:bottom w:val="single" w:sz="4" w:space="0" w:color="C2D9BA"/>
            </w:tcBorders>
            <w:shd w:val="clear" w:color="auto" w:fill="auto"/>
          </w:tcPr>
          <w:p w14:paraId="6D15AE83" w14:textId="77777777" w:rsidR="00991179" w:rsidRPr="00E444B3" w:rsidRDefault="00991179" w:rsidP="00991179">
            <w:pPr>
              <w:pStyle w:val="TableText"/>
            </w:pPr>
            <w:r w:rsidRPr="00E444B3">
              <w:t>Yes</w:t>
            </w:r>
          </w:p>
        </w:tc>
      </w:tr>
      <w:tr w:rsidR="00991179" w14:paraId="4954305C" w14:textId="77777777" w:rsidTr="00051722">
        <w:trPr>
          <w:cantSplit/>
        </w:trPr>
        <w:tc>
          <w:tcPr>
            <w:tcW w:w="1843" w:type="dxa"/>
            <w:tcBorders>
              <w:top w:val="single" w:sz="4" w:space="0" w:color="C2D9BA"/>
              <w:bottom w:val="single" w:sz="4" w:space="0" w:color="C2D9BA"/>
            </w:tcBorders>
            <w:shd w:val="clear" w:color="auto" w:fill="auto"/>
          </w:tcPr>
          <w:p w14:paraId="462846C6" w14:textId="77777777" w:rsidR="00991179" w:rsidRPr="00E444B3" w:rsidRDefault="00991179" w:rsidP="000861AF">
            <w:pPr>
              <w:pStyle w:val="TableText"/>
            </w:pPr>
            <w:r w:rsidRPr="00E444B3">
              <w:t>Vincristine</w:t>
            </w:r>
          </w:p>
        </w:tc>
        <w:tc>
          <w:tcPr>
            <w:tcW w:w="3119" w:type="dxa"/>
            <w:tcBorders>
              <w:top w:val="single" w:sz="4" w:space="0" w:color="C2D9BA"/>
              <w:bottom w:val="single" w:sz="4" w:space="0" w:color="C2D9BA"/>
            </w:tcBorders>
            <w:shd w:val="clear" w:color="auto" w:fill="auto"/>
          </w:tcPr>
          <w:p w14:paraId="122FF07A" w14:textId="77777777" w:rsidR="00991179" w:rsidRPr="00E444B3" w:rsidRDefault="00991179" w:rsidP="00991179">
            <w:pPr>
              <w:pStyle w:val="TableText"/>
            </w:pPr>
            <w:r w:rsidRPr="00E444B3">
              <w:t>Hodgkin lymphoma</w:t>
            </w:r>
          </w:p>
        </w:tc>
        <w:tc>
          <w:tcPr>
            <w:tcW w:w="3118" w:type="dxa"/>
            <w:tcBorders>
              <w:top w:val="single" w:sz="4" w:space="0" w:color="C2D9BA"/>
              <w:bottom w:val="single" w:sz="4" w:space="0" w:color="C2D9BA"/>
            </w:tcBorders>
            <w:shd w:val="clear" w:color="auto" w:fill="auto"/>
          </w:tcPr>
          <w:p w14:paraId="542923ED" w14:textId="77777777" w:rsidR="00991179" w:rsidRPr="00E444B3" w:rsidRDefault="00991179" w:rsidP="00991179">
            <w:pPr>
              <w:pStyle w:val="TableText"/>
            </w:pPr>
            <w:r w:rsidRPr="00E444B3">
              <w:t>Yes</w:t>
            </w:r>
          </w:p>
        </w:tc>
      </w:tr>
      <w:tr w:rsidR="00991179" w14:paraId="6259DFD6" w14:textId="77777777" w:rsidTr="00051722">
        <w:trPr>
          <w:cantSplit/>
        </w:trPr>
        <w:tc>
          <w:tcPr>
            <w:tcW w:w="1843" w:type="dxa"/>
            <w:tcBorders>
              <w:top w:val="single" w:sz="4" w:space="0" w:color="C2D9BA"/>
              <w:bottom w:val="single" w:sz="4" w:space="0" w:color="C2D9BA"/>
            </w:tcBorders>
            <w:shd w:val="clear" w:color="auto" w:fill="auto"/>
          </w:tcPr>
          <w:p w14:paraId="3DD01D87" w14:textId="77777777" w:rsidR="00991179" w:rsidRPr="00E444B3" w:rsidRDefault="00991179" w:rsidP="00051722">
            <w:pPr>
              <w:pStyle w:val="TableText"/>
              <w:keepNext/>
            </w:pPr>
            <w:r w:rsidRPr="00E444B3">
              <w:lastRenderedPageBreak/>
              <w:t>Vincristine</w:t>
            </w:r>
          </w:p>
        </w:tc>
        <w:tc>
          <w:tcPr>
            <w:tcW w:w="3119" w:type="dxa"/>
            <w:tcBorders>
              <w:top w:val="single" w:sz="4" w:space="0" w:color="C2D9BA"/>
              <w:bottom w:val="single" w:sz="4" w:space="0" w:color="C2D9BA"/>
            </w:tcBorders>
            <w:shd w:val="clear" w:color="auto" w:fill="auto"/>
          </w:tcPr>
          <w:p w14:paraId="7409914B" w14:textId="77777777" w:rsidR="00991179" w:rsidRPr="00E444B3" w:rsidRDefault="00991179" w:rsidP="00051722">
            <w:pPr>
              <w:pStyle w:val="TableText"/>
              <w:keepNext/>
            </w:pPr>
            <w:r w:rsidRPr="00E444B3">
              <w:t>Burkitt lymphoma</w:t>
            </w:r>
            <w:r>
              <w:t>,</w:t>
            </w:r>
            <w:r w:rsidRPr="00E444B3">
              <w:t xml:space="preserve"> including Burkitt leukaemia</w:t>
            </w:r>
          </w:p>
        </w:tc>
        <w:tc>
          <w:tcPr>
            <w:tcW w:w="3118" w:type="dxa"/>
            <w:tcBorders>
              <w:top w:val="single" w:sz="4" w:space="0" w:color="C2D9BA"/>
              <w:bottom w:val="single" w:sz="4" w:space="0" w:color="C2D9BA"/>
            </w:tcBorders>
            <w:shd w:val="clear" w:color="auto" w:fill="auto"/>
          </w:tcPr>
          <w:p w14:paraId="2E17CE80" w14:textId="77777777" w:rsidR="00991179" w:rsidRPr="00E444B3" w:rsidRDefault="00991179" w:rsidP="00051722">
            <w:pPr>
              <w:pStyle w:val="TableText"/>
              <w:keepNext/>
            </w:pPr>
            <w:r w:rsidRPr="00E444B3">
              <w:t>Yes</w:t>
            </w:r>
          </w:p>
        </w:tc>
      </w:tr>
      <w:tr w:rsidR="00991179" w14:paraId="3718A81B" w14:textId="77777777" w:rsidTr="00051722">
        <w:trPr>
          <w:cantSplit/>
        </w:trPr>
        <w:tc>
          <w:tcPr>
            <w:tcW w:w="1843" w:type="dxa"/>
            <w:tcBorders>
              <w:top w:val="single" w:sz="4" w:space="0" w:color="C2D9BA"/>
              <w:bottom w:val="single" w:sz="4" w:space="0" w:color="C2D9BA"/>
            </w:tcBorders>
            <w:shd w:val="clear" w:color="auto" w:fill="auto"/>
          </w:tcPr>
          <w:p w14:paraId="2CECFEB1" w14:textId="77777777" w:rsidR="00991179" w:rsidRPr="00E444B3" w:rsidRDefault="00991179" w:rsidP="000861AF">
            <w:pPr>
              <w:pStyle w:val="TableText"/>
            </w:pPr>
            <w:r w:rsidRPr="00E444B3">
              <w:t>Vinorelbine</w:t>
            </w:r>
          </w:p>
        </w:tc>
        <w:tc>
          <w:tcPr>
            <w:tcW w:w="3119" w:type="dxa"/>
            <w:tcBorders>
              <w:top w:val="single" w:sz="4" w:space="0" w:color="C2D9BA"/>
              <w:bottom w:val="single" w:sz="4" w:space="0" w:color="C2D9BA"/>
            </w:tcBorders>
            <w:shd w:val="clear" w:color="auto" w:fill="auto"/>
          </w:tcPr>
          <w:p w14:paraId="1AF3A000" w14:textId="77777777" w:rsidR="00991179" w:rsidRPr="00E444B3" w:rsidRDefault="00991179" w:rsidP="00991179">
            <w:pPr>
              <w:pStyle w:val="TableText"/>
            </w:pPr>
            <w:r w:rsidRPr="00E444B3">
              <w:t>Other specified malignant neoplasms of bronchus or lung</w:t>
            </w:r>
          </w:p>
        </w:tc>
        <w:tc>
          <w:tcPr>
            <w:tcW w:w="3118" w:type="dxa"/>
            <w:tcBorders>
              <w:top w:val="single" w:sz="4" w:space="0" w:color="C2D9BA"/>
              <w:bottom w:val="single" w:sz="4" w:space="0" w:color="C2D9BA"/>
            </w:tcBorders>
            <w:shd w:val="clear" w:color="auto" w:fill="auto"/>
          </w:tcPr>
          <w:p w14:paraId="0F4DCF5C" w14:textId="77777777" w:rsidR="00991179" w:rsidRPr="00E444B3" w:rsidRDefault="00991179" w:rsidP="00991179">
            <w:pPr>
              <w:pStyle w:val="TableText"/>
            </w:pPr>
            <w:r w:rsidRPr="00E444B3">
              <w:t>Yes</w:t>
            </w:r>
          </w:p>
        </w:tc>
      </w:tr>
      <w:tr w:rsidR="00991179" w14:paraId="58A9F518" w14:textId="77777777" w:rsidTr="00051722">
        <w:trPr>
          <w:cantSplit/>
        </w:trPr>
        <w:tc>
          <w:tcPr>
            <w:tcW w:w="1843" w:type="dxa"/>
            <w:tcBorders>
              <w:top w:val="single" w:sz="4" w:space="0" w:color="C2D9BA"/>
              <w:bottom w:val="single" w:sz="4" w:space="0" w:color="C2D9BA"/>
            </w:tcBorders>
            <w:shd w:val="clear" w:color="auto" w:fill="auto"/>
          </w:tcPr>
          <w:p w14:paraId="47F5E9AD" w14:textId="77777777" w:rsidR="00991179" w:rsidRPr="00E444B3" w:rsidRDefault="00991179" w:rsidP="000861AF">
            <w:pPr>
              <w:pStyle w:val="TableText"/>
            </w:pPr>
            <w:r w:rsidRPr="00E444B3">
              <w:t>Vinorelbine</w:t>
            </w:r>
          </w:p>
        </w:tc>
        <w:tc>
          <w:tcPr>
            <w:tcW w:w="3119" w:type="dxa"/>
            <w:tcBorders>
              <w:top w:val="single" w:sz="4" w:space="0" w:color="C2D9BA"/>
              <w:bottom w:val="single" w:sz="4" w:space="0" w:color="C2D9BA"/>
            </w:tcBorders>
            <w:shd w:val="clear" w:color="auto" w:fill="auto"/>
          </w:tcPr>
          <w:p w14:paraId="401271D5" w14:textId="77777777" w:rsidR="00991179" w:rsidRPr="00E444B3" w:rsidRDefault="00991179" w:rsidP="00991179">
            <w:pPr>
              <w:pStyle w:val="TableText"/>
            </w:pPr>
            <w:r w:rsidRPr="00E444B3">
              <w:t>Other specified malignant neoplasms of breast</w:t>
            </w:r>
          </w:p>
        </w:tc>
        <w:tc>
          <w:tcPr>
            <w:tcW w:w="3118" w:type="dxa"/>
            <w:tcBorders>
              <w:top w:val="single" w:sz="4" w:space="0" w:color="C2D9BA"/>
              <w:bottom w:val="single" w:sz="4" w:space="0" w:color="C2D9BA"/>
            </w:tcBorders>
            <w:shd w:val="clear" w:color="auto" w:fill="auto"/>
          </w:tcPr>
          <w:p w14:paraId="1EA5C602" w14:textId="77777777" w:rsidR="00991179" w:rsidRPr="00E444B3" w:rsidRDefault="00991179" w:rsidP="00991179">
            <w:pPr>
              <w:pStyle w:val="TableText"/>
            </w:pPr>
            <w:r w:rsidRPr="00E444B3">
              <w:t>Yes</w:t>
            </w:r>
          </w:p>
        </w:tc>
      </w:tr>
    </w:tbl>
    <w:bookmarkEnd w:id="352"/>
    <w:p w14:paraId="0B2C86AB" w14:textId="77777777" w:rsidR="00C338E8" w:rsidRDefault="00B12E4F" w:rsidP="00051722">
      <w:pPr>
        <w:pStyle w:val="Note"/>
      </w:pPr>
      <w:r>
        <w:t>*</w:t>
      </w:r>
      <w:r>
        <w:tab/>
      </w:r>
      <w:r w:rsidRPr="00E444B3">
        <w:t>NOS</w:t>
      </w:r>
      <w:r>
        <w:t xml:space="preserve"> =</w:t>
      </w:r>
      <w:r w:rsidRPr="00E444B3">
        <w:t xml:space="preserve"> not otherwise specified</w:t>
      </w:r>
      <w:r>
        <w:t>.</w:t>
      </w:r>
    </w:p>
    <w:p w14:paraId="463705A5" w14:textId="77777777" w:rsidR="00C338E8" w:rsidRDefault="00C338E8" w:rsidP="00051722"/>
    <w:p w14:paraId="47E05545" w14:textId="77777777" w:rsidR="00C338E8" w:rsidRDefault="00B12E4F" w:rsidP="005902D1">
      <w:pPr>
        <w:pStyle w:val="Heading2"/>
        <w:keepNext w:val="0"/>
        <w:pageBreakBefore/>
        <w:spacing w:before="0"/>
        <w:rPr>
          <w:bCs/>
        </w:rPr>
      </w:pPr>
      <w:bookmarkStart w:id="353" w:name="_Toc100739056"/>
      <w:bookmarkStart w:id="354" w:name="_Toc101618172"/>
      <w:r w:rsidRPr="00FD08EC">
        <w:lastRenderedPageBreak/>
        <w:t xml:space="preserve">Appendix </w:t>
      </w:r>
      <w:r>
        <w:t>3</w:t>
      </w:r>
      <w:r w:rsidRPr="00FD08EC">
        <w:t xml:space="preserve">: Results table from </w:t>
      </w:r>
      <w:r>
        <w:t xml:space="preserve">the </w:t>
      </w:r>
      <w:r w:rsidRPr="00FD08EC">
        <w:t xml:space="preserve">comparison with </w:t>
      </w:r>
      <w:r>
        <w:t xml:space="preserve">the </w:t>
      </w:r>
      <w:r w:rsidRPr="00FD08EC">
        <w:t>Australian Pharmaceutical Benefits Schedule (PBS)</w:t>
      </w:r>
      <w:r w:rsidRPr="00FD08EC">
        <w:rPr>
          <w:bCs/>
        </w:rPr>
        <w:t xml:space="preserve"> </w:t>
      </w:r>
      <w:r>
        <w:rPr>
          <w:bCs/>
        </w:rPr>
        <w:t xml:space="preserve">– </w:t>
      </w:r>
      <w:r w:rsidRPr="00FD08EC">
        <w:rPr>
          <w:bCs/>
        </w:rPr>
        <w:t>medicines funded in both countries</w:t>
      </w:r>
      <w:bookmarkEnd w:id="353"/>
      <w:bookmarkEnd w:id="354"/>
    </w:p>
    <w:p w14:paraId="0434191A" w14:textId="77777777" w:rsidR="00C338E8" w:rsidRDefault="00B12E4F" w:rsidP="005902D1">
      <w:r>
        <w:t>This appendix provides results from the comparison of cancer medicines publicly funded in Aotearoa with those included in the Australian PBS list of pharmaceuticals, specifically for medicines funded in both jurisdictions (</w:t>
      </w:r>
      <w:hyperlink w:anchor="Appendix_3_Table_3point1" w:history="1">
        <w:r w:rsidR="00F047DF" w:rsidRPr="00F047DF">
          <w:rPr>
            <w:rStyle w:val="Hyperlink"/>
          </w:rPr>
          <w:t>Table 3.1</w:t>
        </w:r>
      </w:hyperlink>
      <w:r>
        <w:t>).</w:t>
      </w:r>
    </w:p>
    <w:p w14:paraId="5DB3B689" w14:textId="77777777" w:rsidR="00C338E8" w:rsidRDefault="00C338E8" w:rsidP="005902D1"/>
    <w:p w14:paraId="526E9988" w14:textId="77777777" w:rsidR="00B12E4F" w:rsidRDefault="00B12E4F" w:rsidP="005902D1">
      <w:pPr>
        <w:pStyle w:val="Table"/>
      </w:pPr>
      <w:bookmarkStart w:id="355" w:name="_Toc101365607"/>
      <w:bookmarkStart w:id="356" w:name="Appendix_3_Table_3point1"/>
      <w:r w:rsidRPr="00E444B3">
        <w:t>Table</w:t>
      </w:r>
      <w:r w:rsidR="005902D1">
        <w:t> </w:t>
      </w:r>
      <w:r>
        <w:t>3.1</w:t>
      </w:r>
      <w:r w:rsidRPr="00E444B3">
        <w:t xml:space="preserve">: Medicines funded in </w:t>
      </w:r>
      <w:r>
        <w:t xml:space="preserve">both </w:t>
      </w:r>
      <w:r w:rsidRPr="00E444B3">
        <w:t>Aotearoa and Australia (including for haematology indications)</w:t>
      </w:r>
      <w:bookmarkEnd w:id="355"/>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977"/>
        <w:gridCol w:w="5103"/>
      </w:tblGrid>
      <w:tr w:rsidR="005902D1" w:rsidRPr="005902D1" w14:paraId="38BFFFE1" w14:textId="77777777" w:rsidTr="005902D1">
        <w:trPr>
          <w:cantSplit/>
          <w:tblHeader/>
        </w:trPr>
        <w:tc>
          <w:tcPr>
            <w:tcW w:w="2977" w:type="dxa"/>
            <w:tcBorders>
              <w:top w:val="nil"/>
              <w:bottom w:val="nil"/>
            </w:tcBorders>
            <w:shd w:val="clear" w:color="auto" w:fill="C2D9BA"/>
          </w:tcPr>
          <w:p w14:paraId="7804E898" w14:textId="77777777" w:rsidR="005902D1" w:rsidRPr="005902D1" w:rsidRDefault="005902D1" w:rsidP="005902D1">
            <w:pPr>
              <w:pStyle w:val="TableText"/>
              <w:rPr>
                <w:b/>
              </w:rPr>
            </w:pPr>
            <w:r w:rsidRPr="005902D1">
              <w:rPr>
                <w:b/>
              </w:rPr>
              <w:t>Medicine</w:t>
            </w:r>
          </w:p>
        </w:tc>
        <w:tc>
          <w:tcPr>
            <w:tcW w:w="5103" w:type="dxa"/>
            <w:tcBorders>
              <w:top w:val="nil"/>
              <w:bottom w:val="nil"/>
            </w:tcBorders>
            <w:shd w:val="clear" w:color="auto" w:fill="C2D9BA"/>
          </w:tcPr>
          <w:p w14:paraId="6F5C0886" w14:textId="77777777" w:rsidR="005902D1" w:rsidRPr="005902D1" w:rsidRDefault="005902D1" w:rsidP="005902D1">
            <w:pPr>
              <w:pStyle w:val="TableText"/>
              <w:rPr>
                <w:b/>
              </w:rPr>
            </w:pPr>
            <w:r w:rsidRPr="005902D1">
              <w:rPr>
                <w:b/>
              </w:rPr>
              <w:t>Funded indication</w:t>
            </w:r>
            <w:r w:rsidRPr="005902D1">
              <w:rPr>
                <w:rFonts w:cstheme="minorHAnsi"/>
                <w:b/>
                <w:vertAlign w:val="superscript"/>
              </w:rPr>
              <w:t>†</w:t>
            </w:r>
          </w:p>
        </w:tc>
      </w:tr>
      <w:tr w:rsidR="005902D1" w14:paraId="67F6AE03" w14:textId="77777777" w:rsidTr="005902D1">
        <w:trPr>
          <w:cantSplit/>
        </w:trPr>
        <w:tc>
          <w:tcPr>
            <w:tcW w:w="2977" w:type="dxa"/>
            <w:tcBorders>
              <w:top w:val="nil"/>
              <w:bottom w:val="single" w:sz="4" w:space="0" w:color="C2D9BA"/>
            </w:tcBorders>
            <w:shd w:val="clear" w:color="auto" w:fill="auto"/>
          </w:tcPr>
          <w:p w14:paraId="38C836AD" w14:textId="77777777" w:rsidR="005902D1" w:rsidRPr="00E444B3" w:rsidRDefault="005902D1" w:rsidP="005902D1">
            <w:pPr>
              <w:pStyle w:val="TableText"/>
            </w:pPr>
            <w:r w:rsidRPr="00E444B3">
              <w:t>Abiraterone</w:t>
            </w:r>
          </w:p>
        </w:tc>
        <w:tc>
          <w:tcPr>
            <w:tcW w:w="5103" w:type="dxa"/>
            <w:tcBorders>
              <w:top w:val="nil"/>
              <w:bottom w:val="single" w:sz="4" w:space="0" w:color="C2D9BA"/>
            </w:tcBorders>
            <w:shd w:val="clear" w:color="auto" w:fill="auto"/>
          </w:tcPr>
          <w:p w14:paraId="73E65FD0" w14:textId="77777777" w:rsidR="005902D1" w:rsidRPr="00E444B3" w:rsidRDefault="005902D1" w:rsidP="005902D1">
            <w:pPr>
              <w:pStyle w:val="TableText"/>
            </w:pPr>
            <w:r w:rsidRPr="00E444B3">
              <w:t>Prostate cancer</w:t>
            </w:r>
          </w:p>
        </w:tc>
      </w:tr>
      <w:tr w:rsidR="005902D1" w14:paraId="1F5F0D4B" w14:textId="77777777" w:rsidTr="005902D1">
        <w:trPr>
          <w:cantSplit/>
        </w:trPr>
        <w:tc>
          <w:tcPr>
            <w:tcW w:w="2977" w:type="dxa"/>
            <w:tcBorders>
              <w:top w:val="single" w:sz="4" w:space="0" w:color="C2D9BA"/>
              <w:bottom w:val="single" w:sz="4" w:space="0" w:color="C2D9BA"/>
            </w:tcBorders>
            <w:shd w:val="clear" w:color="auto" w:fill="auto"/>
          </w:tcPr>
          <w:p w14:paraId="7D7EA83D" w14:textId="77777777" w:rsidR="005902D1" w:rsidRPr="00E444B3" w:rsidRDefault="005902D1" w:rsidP="005902D1">
            <w:pPr>
              <w:pStyle w:val="TableText"/>
            </w:pPr>
            <w:r w:rsidRPr="00E444B3">
              <w:t>Alectinib</w:t>
            </w:r>
          </w:p>
        </w:tc>
        <w:tc>
          <w:tcPr>
            <w:tcW w:w="5103" w:type="dxa"/>
            <w:tcBorders>
              <w:top w:val="single" w:sz="4" w:space="0" w:color="C2D9BA"/>
              <w:bottom w:val="single" w:sz="4" w:space="0" w:color="C2D9BA"/>
            </w:tcBorders>
            <w:shd w:val="clear" w:color="auto" w:fill="auto"/>
          </w:tcPr>
          <w:p w14:paraId="7F0935BA" w14:textId="77777777" w:rsidR="005902D1" w:rsidRPr="00E444B3" w:rsidRDefault="005902D1" w:rsidP="005902D1">
            <w:pPr>
              <w:pStyle w:val="TableText"/>
            </w:pPr>
            <w:r w:rsidRPr="00E444B3">
              <w:t>Lung cancer</w:t>
            </w:r>
          </w:p>
        </w:tc>
      </w:tr>
      <w:tr w:rsidR="005902D1" w14:paraId="249A84A4" w14:textId="77777777" w:rsidTr="005902D1">
        <w:trPr>
          <w:cantSplit/>
        </w:trPr>
        <w:tc>
          <w:tcPr>
            <w:tcW w:w="2977" w:type="dxa"/>
            <w:tcBorders>
              <w:top w:val="single" w:sz="4" w:space="0" w:color="C2D9BA"/>
              <w:bottom w:val="single" w:sz="4" w:space="0" w:color="C2D9BA"/>
            </w:tcBorders>
            <w:shd w:val="clear" w:color="auto" w:fill="auto"/>
          </w:tcPr>
          <w:p w14:paraId="1C8DBF4E" w14:textId="77777777" w:rsidR="005902D1" w:rsidRPr="00E444B3" w:rsidRDefault="005902D1" w:rsidP="005902D1">
            <w:pPr>
              <w:pStyle w:val="TableText"/>
            </w:pPr>
            <w:r w:rsidRPr="00E444B3">
              <w:t>Anastrozole**</w:t>
            </w:r>
          </w:p>
        </w:tc>
        <w:tc>
          <w:tcPr>
            <w:tcW w:w="5103" w:type="dxa"/>
            <w:tcBorders>
              <w:top w:val="single" w:sz="4" w:space="0" w:color="C2D9BA"/>
              <w:bottom w:val="single" w:sz="4" w:space="0" w:color="C2D9BA"/>
            </w:tcBorders>
            <w:shd w:val="clear" w:color="auto" w:fill="auto"/>
          </w:tcPr>
          <w:p w14:paraId="04F0CAA3" w14:textId="77777777" w:rsidR="005902D1" w:rsidRPr="00E444B3" w:rsidRDefault="005902D1" w:rsidP="005902D1">
            <w:pPr>
              <w:pStyle w:val="TableText"/>
            </w:pPr>
            <w:r w:rsidRPr="00E444B3">
              <w:t>Breast cancer</w:t>
            </w:r>
          </w:p>
        </w:tc>
      </w:tr>
      <w:tr w:rsidR="005902D1" w14:paraId="1CEF3655" w14:textId="77777777" w:rsidTr="005902D1">
        <w:trPr>
          <w:cantSplit/>
        </w:trPr>
        <w:tc>
          <w:tcPr>
            <w:tcW w:w="2977" w:type="dxa"/>
            <w:tcBorders>
              <w:top w:val="single" w:sz="4" w:space="0" w:color="C2D9BA"/>
              <w:bottom w:val="single" w:sz="4" w:space="0" w:color="C2D9BA"/>
            </w:tcBorders>
            <w:shd w:val="clear" w:color="auto" w:fill="auto"/>
          </w:tcPr>
          <w:p w14:paraId="56DF4E9C" w14:textId="77777777" w:rsidR="005902D1" w:rsidRPr="00E444B3" w:rsidRDefault="005902D1" w:rsidP="005902D1">
            <w:pPr>
              <w:pStyle w:val="TableText"/>
            </w:pPr>
            <w:r w:rsidRPr="00E444B3">
              <w:t>Arsenic trioxide**</w:t>
            </w:r>
          </w:p>
        </w:tc>
        <w:tc>
          <w:tcPr>
            <w:tcW w:w="5103" w:type="dxa"/>
            <w:tcBorders>
              <w:top w:val="single" w:sz="4" w:space="0" w:color="C2D9BA"/>
              <w:bottom w:val="single" w:sz="4" w:space="0" w:color="C2D9BA"/>
            </w:tcBorders>
            <w:shd w:val="clear" w:color="auto" w:fill="auto"/>
          </w:tcPr>
          <w:p w14:paraId="4FD79801" w14:textId="77777777" w:rsidR="005902D1" w:rsidRPr="00E444B3" w:rsidRDefault="005902D1" w:rsidP="005902D1">
            <w:pPr>
              <w:pStyle w:val="TableText"/>
            </w:pPr>
            <w:r w:rsidRPr="00E444B3">
              <w:t>Acute promyelocytic leukaemia***</w:t>
            </w:r>
          </w:p>
        </w:tc>
      </w:tr>
      <w:tr w:rsidR="005902D1" w14:paraId="3B2A1F8C" w14:textId="77777777" w:rsidTr="005902D1">
        <w:trPr>
          <w:cantSplit/>
        </w:trPr>
        <w:tc>
          <w:tcPr>
            <w:tcW w:w="2977" w:type="dxa"/>
            <w:tcBorders>
              <w:top w:val="single" w:sz="4" w:space="0" w:color="C2D9BA"/>
              <w:bottom w:val="single" w:sz="4" w:space="0" w:color="C2D9BA"/>
            </w:tcBorders>
            <w:shd w:val="clear" w:color="auto" w:fill="auto"/>
          </w:tcPr>
          <w:p w14:paraId="200417CC" w14:textId="77777777" w:rsidR="005902D1" w:rsidRPr="00E444B3" w:rsidRDefault="005902D1" w:rsidP="005902D1">
            <w:pPr>
              <w:pStyle w:val="TableText"/>
            </w:pPr>
            <w:r>
              <w:t>Azacitidine</w:t>
            </w:r>
          </w:p>
        </w:tc>
        <w:tc>
          <w:tcPr>
            <w:tcW w:w="5103" w:type="dxa"/>
            <w:tcBorders>
              <w:top w:val="single" w:sz="4" w:space="0" w:color="C2D9BA"/>
              <w:bottom w:val="single" w:sz="4" w:space="0" w:color="C2D9BA"/>
            </w:tcBorders>
            <w:shd w:val="clear" w:color="auto" w:fill="auto"/>
          </w:tcPr>
          <w:p w14:paraId="5811BA6F" w14:textId="77777777" w:rsidR="005902D1" w:rsidRPr="00E444B3" w:rsidRDefault="005902D1" w:rsidP="005902D1">
            <w:pPr>
              <w:pStyle w:val="TableText"/>
            </w:pPr>
            <w:r w:rsidRPr="00E444B3">
              <w:t>Acute myeloid leukaemia***</w:t>
            </w:r>
          </w:p>
        </w:tc>
      </w:tr>
      <w:tr w:rsidR="005902D1" w14:paraId="7AD70176" w14:textId="77777777" w:rsidTr="005902D1">
        <w:trPr>
          <w:cantSplit/>
        </w:trPr>
        <w:tc>
          <w:tcPr>
            <w:tcW w:w="2977" w:type="dxa"/>
            <w:tcBorders>
              <w:top w:val="single" w:sz="4" w:space="0" w:color="C2D9BA"/>
              <w:bottom w:val="single" w:sz="4" w:space="0" w:color="C2D9BA"/>
            </w:tcBorders>
            <w:shd w:val="clear" w:color="auto" w:fill="auto"/>
          </w:tcPr>
          <w:p w14:paraId="5A0914ED" w14:textId="77777777" w:rsidR="005902D1" w:rsidRPr="00E444B3" w:rsidRDefault="005902D1" w:rsidP="005902D1">
            <w:pPr>
              <w:pStyle w:val="TableText"/>
            </w:pPr>
            <w:r>
              <w:t>Azacitidine</w:t>
            </w:r>
          </w:p>
        </w:tc>
        <w:tc>
          <w:tcPr>
            <w:tcW w:w="5103" w:type="dxa"/>
            <w:tcBorders>
              <w:top w:val="single" w:sz="4" w:space="0" w:color="C2D9BA"/>
              <w:bottom w:val="single" w:sz="4" w:space="0" w:color="C2D9BA"/>
            </w:tcBorders>
            <w:shd w:val="clear" w:color="auto" w:fill="auto"/>
          </w:tcPr>
          <w:p w14:paraId="2974A47C" w14:textId="77777777" w:rsidR="005902D1" w:rsidRPr="00E444B3" w:rsidRDefault="005902D1" w:rsidP="005902D1">
            <w:pPr>
              <w:pStyle w:val="TableText"/>
            </w:pPr>
            <w:r w:rsidRPr="00E444B3">
              <w:t>Chronic myeloid leukaemia***</w:t>
            </w:r>
          </w:p>
        </w:tc>
      </w:tr>
      <w:tr w:rsidR="005902D1" w14:paraId="7D138E0C" w14:textId="77777777" w:rsidTr="005902D1">
        <w:trPr>
          <w:cantSplit/>
        </w:trPr>
        <w:tc>
          <w:tcPr>
            <w:tcW w:w="2977" w:type="dxa"/>
            <w:tcBorders>
              <w:top w:val="single" w:sz="4" w:space="0" w:color="C2D9BA"/>
              <w:bottom w:val="single" w:sz="4" w:space="0" w:color="C2D9BA"/>
            </w:tcBorders>
            <w:shd w:val="clear" w:color="auto" w:fill="auto"/>
          </w:tcPr>
          <w:p w14:paraId="255FF299" w14:textId="77777777" w:rsidR="005902D1" w:rsidRPr="00E444B3" w:rsidRDefault="005902D1" w:rsidP="005902D1">
            <w:pPr>
              <w:pStyle w:val="TableText"/>
            </w:pPr>
            <w:r>
              <w:t>Azacitidine</w:t>
            </w:r>
          </w:p>
        </w:tc>
        <w:tc>
          <w:tcPr>
            <w:tcW w:w="5103" w:type="dxa"/>
            <w:tcBorders>
              <w:top w:val="single" w:sz="4" w:space="0" w:color="C2D9BA"/>
              <w:bottom w:val="single" w:sz="4" w:space="0" w:color="C2D9BA"/>
            </w:tcBorders>
            <w:shd w:val="clear" w:color="auto" w:fill="auto"/>
          </w:tcPr>
          <w:p w14:paraId="6CEA8C41" w14:textId="77777777" w:rsidR="005902D1" w:rsidRPr="00E444B3" w:rsidRDefault="005902D1" w:rsidP="005902D1">
            <w:pPr>
              <w:pStyle w:val="TableText"/>
            </w:pPr>
            <w:r w:rsidRPr="00E444B3">
              <w:t>Myelodysplastic syndrome***</w:t>
            </w:r>
          </w:p>
        </w:tc>
      </w:tr>
      <w:tr w:rsidR="005902D1" w14:paraId="01C00894" w14:textId="77777777" w:rsidTr="005902D1">
        <w:trPr>
          <w:cantSplit/>
        </w:trPr>
        <w:tc>
          <w:tcPr>
            <w:tcW w:w="2977" w:type="dxa"/>
            <w:tcBorders>
              <w:top w:val="single" w:sz="4" w:space="0" w:color="C2D9BA"/>
              <w:bottom w:val="single" w:sz="4" w:space="0" w:color="C2D9BA"/>
            </w:tcBorders>
            <w:shd w:val="clear" w:color="auto" w:fill="auto"/>
          </w:tcPr>
          <w:p w14:paraId="723D6D0D" w14:textId="77777777" w:rsidR="005902D1" w:rsidRPr="00E444B3" w:rsidRDefault="005902D1" w:rsidP="005902D1">
            <w:pPr>
              <w:pStyle w:val="TableText"/>
            </w:pPr>
            <w:r w:rsidRPr="00E444B3">
              <w:t>Bendamustine</w:t>
            </w:r>
          </w:p>
        </w:tc>
        <w:tc>
          <w:tcPr>
            <w:tcW w:w="5103" w:type="dxa"/>
            <w:tcBorders>
              <w:top w:val="single" w:sz="4" w:space="0" w:color="C2D9BA"/>
              <w:bottom w:val="single" w:sz="4" w:space="0" w:color="C2D9BA"/>
            </w:tcBorders>
            <w:shd w:val="clear" w:color="auto" w:fill="auto"/>
          </w:tcPr>
          <w:p w14:paraId="398D6DF4" w14:textId="77777777" w:rsidR="005902D1" w:rsidRPr="00E444B3" w:rsidRDefault="005902D1" w:rsidP="005902D1">
            <w:pPr>
              <w:pStyle w:val="TableText"/>
            </w:pPr>
            <w:r w:rsidRPr="00E444B3">
              <w:t>Indolent non-Hodgkin lymphoma***</w:t>
            </w:r>
          </w:p>
        </w:tc>
      </w:tr>
      <w:tr w:rsidR="005902D1" w14:paraId="644BC9CB" w14:textId="77777777" w:rsidTr="005902D1">
        <w:trPr>
          <w:cantSplit/>
        </w:trPr>
        <w:tc>
          <w:tcPr>
            <w:tcW w:w="2977" w:type="dxa"/>
            <w:tcBorders>
              <w:top w:val="single" w:sz="4" w:space="0" w:color="C2D9BA"/>
              <w:bottom w:val="single" w:sz="4" w:space="0" w:color="C2D9BA"/>
            </w:tcBorders>
            <w:shd w:val="clear" w:color="auto" w:fill="auto"/>
          </w:tcPr>
          <w:p w14:paraId="3F15CE90" w14:textId="77777777" w:rsidR="005902D1" w:rsidRPr="00E444B3" w:rsidRDefault="005902D1" w:rsidP="005902D1">
            <w:pPr>
              <w:pStyle w:val="TableText"/>
            </w:pPr>
            <w:r w:rsidRPr="00E444B3">
              <w:t>Bendamu</w:t>
            </w:r>
            <w:r>
              <w:t>s</w:t>
            </w:r>
            <w:r w:rsidRPr="00E444B3">
              <w:t>tine</w:t>
            </w:r>
          </w:p>
        </w:tc>
        <w:tc>
          <w:tcPr>
            <w:tcW w:w="5103" w:type="dxa"/>
            <w:tcBorders>
              <w:top w:val="single" w:sz="4" w:space="0" w:color="C2D9BA"/>
              <w:bottom w:val="single" w:sz="4" w:space="0" w:color="C2D9BA"/>
            </w:tcBorders>
            <w:shd w:val="clear" w:color="auto" w:fill="auto"/>
          </w:tcPr>
          <w:p w14:paraId="42A23804" w14:textId="77777777" w:rsidR="005902D1" w:rsidRPr="00E444B3" w:rsidRDefault="005902D1" w:rsidP="005902D1">
            <w:pPr>
              <w:pStyle w:val="TableText"/>
            </w:pPr>
            <w:r w:rsidRPr="00E444B3">
              <w:t>Mantle cell lymphoma***</w:t>
            </w:r>
          </w:p>
        </w:tc>
      </w:tr>
      <w:tr w:rsidR="005902D1" w14:paraId="53558802" w14:textId="77777777" w:rsidTr="005902D1">
        <w:trPr>
          <w:cantSplit/>
        </w:trPr>
        <w:tc>
          <w:tcPr>
            <w:tcW w:w="2977" w:type="dxa"/>
            <w:tcBorders>
              <w:top w:val="single" w:sz="4" w:space="0" w:color="C2D9BA"/>
              <w:bottom w:val="single" w:sz="4" w:space="0" w:color="C2D9BA"/>
            </w:tcBorders>
            <w:shd w:val="clear" w:color="auto" w:fill="auto"/>
          </w:tcPr>
          <w:p w14:paraId="4A895081" w14:textId="77777777" w:rsidR="005902D1" w:rsidRPr="00E444B3" w:rsidRDefault="005902D1" w:rsidP="005902D1">
            <w:pPr>
              <w:pStyle w:val="TableText"/>
            </w:pPr>
            <w:r w:rsidRPr="00E444B3">
              <w:t>Bicalutamide**</w:t>
            </w:r>
          </w:p>
        </w:tc>
        <w:tc>
          <w:tcPr>
            <w:tcW w:w="5103" w:type="dxa"/>
            <w:tcBorders>
              <w:top w:val="single" w:sz="4" w:space="0" w:color="C2D9BA"/>
              <w:bottom w:val="single" w:sz="4" w:space="0" w:color="C2D9BA"/>
            </w:tcBorders>
            <w:shd w:val="clear" w:color="auto" w:fill="auto"/>
          </w:tcPr>
          <w:p w14:paraId="10E243F3" w14:textId="77777777" w:rsidR="005902D1" w:rsidRPr="00E444B3" w:rsidRDefault="005902D1" w:rsidP="005902D1">
            <w:pPr>
              <w:pStyle w:val="TableText"/>
            </w:pPr>
            <w:r w:rsidRPr="00E444B3">
              <w:t>Prostate cancer</w:t>
            </w:r>
          </w:p>
        </w:tc>
      </w:tr>
      <w:tr w:rsidR="005902D1" w14:paraId="50BECF7B" w14:textId="77777777" w:rsidTr="005902D1">
        <w:trPr>
          <w:cantSplit/>
        </w:trPr>
        <w:tc>
          <w:tcPr>
            <w:tcW w:w="2977" w:type="dxa"/>
            <w:tcBorders>
              <w:top w:val="single" w:sz="4" w:space="0" w:color="C2D9BA"/>
              <w:bottom w:val="single" w:sz="4" w:space="0" w:color="C2D9BA"/>
            </w:tcBorders>
            <w:shd w:val="clear" w:color="auto" w:fill="auto"/>
          </w:tcPr>
          <w:p w14:paraId="134FA08D" w14:textId="77777777" w:rsidR="005902D1" w:rsidRPr="00E444B3" w:rsidRDefault="005902D1" w:rsidP="005902D1">
            <w:pPr>
              <w:pStyle w:val="TableText"/>
            </w:pPr>
            <w:r w:rsidRPr="00E444B3">
              <w:t>Bleomycin</w:t>
            </w:r>
            <w:r>
              <w:t>**</w:t>
            </w:r>
          </w:p>
        </w:tc>
        <w:tc>
          <w:tcPr>
            <w:tcW w:w="5103" w:type="dxa"/>
            <w:tcBorders>
              <w:top w:val="single" w:sz="4" w:space="0" w:color="C2D9BA"/>
              <w:bottom w:val="single" w:sz="4" w:space="0" w:color="C2D9BA"/>
            </w:tcBorders>
            <w:shd w:val="clear" w:color="auto" w:fill="auto"/>
          </w:tcPr>
          <w:p w14:paraId="70CF034F" w14:textId="77777777" w:rsidR="005902D1" w:rsidRPr="00E444B3" w:rsidRDefault="005902D1" w:rsidP="005902D1">
            <w:pPr>
              <w:pStyle w:val="TableText"/>
            </w:pPr>
            <w:r>
              <w:t>Germ cell cancer</w:t>
            </w:r>
          </w:p>
        </w:tc>
      </w:tr>
      <w:tr w:rsidR="005902D1" w14:paraId="306890AE" w14:textId="77777777" w:rsidTr="005902D1">
        <w:trPr>
          <w:cantSplit/>
        </w:trPr>
        <w:tc>
          <w:tcPr>
            <w:tcW w:w="2977" w:type="dxa"/>
            <w:tcBorders>
              <w:top w:val="single" w:sz="4" w:space="0" w:color="C2D9BA"/>
              <w:bottom w:val="single" w:sz="4" w:space="0" w:color="C2D9BA"/>
            </w:tcBorders>
            <w:shd w:val="clear" w:color="auto" w:fill="auto"/>
          </w:tcPr>
          <w:p w14:paraId="432A7D2C" w14:textId="77777777" w:rsidR="005902D1" w:rsidRPr="00E444B3" w:rsidRDefault="005902D1" w:rsidP="005902D1">
            <w:pPr>
              <w:pStyle w:val="TableText"/>
            </w:pPr>
            <w:r>
              <w:t>Bleomycin**</w:t>
            </w:r>
          </w:p>
        </w:tc>
        <w:tc>
          <w:tcPr>
            <w:tcW w:w="5103" w:type="dxa"/>
            <w:tcBorders>
              <w:top w:val="single" w:sz="4" w:space="0" w:color="C2D9BA"/>
              <w:bottom w:val="single" w:sz="4" w:space="0" w:color="C2D9BA"/>
            </w:tcBorders>
            <w:shd w:val="clear" w:color="auto" w:fill="auto"/>
          </w:tcPr>
          <w:p w14:paraId="5010D281" w14:textId="77777777" w:rsidR="005902D1" w:rsidRPr="00E444B3" w:rsidRDefault="005902D1" w:rsidP="005902D1">
            <w:pPr>
              <w:pStyle w:val="TableText"/>
            </w:pPr>
            <w:r>
              <w:t>Lymphoma</w:t>
            </w:r>
          </w:p>
        </w:tc>
      </w:tr>
      <w:tr w:rsidR="005902D1" w14:paraId="72447800" w14:textId="77777777" w:rsidTr="005902D1">
        <w:trPr>
          <w:cantSplit/>
        </w:trPr>
        <w:tc>
          <w:tcPr>
            <w:tcW w:w="2977" w:type="dxa"/>
            <w:tcBorders>
              <w:top w:val="single" w:sz="4" w:space="0" w:color="C2D9BA"/>
              <w:bottom w:val="single" w:sz="4" w:space="0" w:color="C2D9BA"/>
            </w:tcBorders>
            <w:shd w:val="clear" w:color="auto" w:fill="auto"/>
          </w:tcPr>
          <w:p w14:paraId="368339AE" w14:textId="77777777" w:rsidR="005902D1" w:rsidRPr="00E444B3" w:rsidRDefault="005902D1" w:rsidP="005902D1">
            <w:pPr>
              <w:pStyle w:val="TableText"/>
            </w:pPr>
            <w:r w:rsidRPr="00E444B3">
              <w:t>Bortezomib</w:t>
            </w:r>
          </w:p>
        </w:tc>
        <w:tc>
          <w:tcPr>
            <w:tcW w:w="5103" w:type="dxa"/>
            <w:tcBorders>
              <w:top w:val="single" w:sz="4" w:space="0" w:color="C2D9BA"/>
              <w:bottom w:val="single" w:sz="4" w:space="0" w:color="C2D9BA"/>
            </w:tcBorders>
            <w:shd w:val="clear" w:color="auto" w:fill="auto"/>
          </w:tcPr>
          <w:p w14:paraId="63489336" w14:textId="77777777" w:rsidR="005902D1" w:rsidRPr="00E444B3" w:rsidRDefault="005902D1" w:rsidP="005902D1">
            <w:pPr>
              <w:pStyle w:val="TableText"/>
            </w:pPr>
            <w:r w:rsidRPr="00E444B3">
              <w:t>Multiple myeloma***</w:t>
            </w:r>
          </w:p>
        </w:tc>
      </w:tr>
      <w:tr w:rsidR="005902D1" w14:paraId="4790231F" w14:textId="77777777" w:rsidTr="005902D1">
        <w:trPr>
          <w:cantSplit/>
        </w:trPr>
        <w:tc>
          <w:tcPr>
            <w:tcW w:w="2977" w:type="dxa"/>
            <w:tcBorders>
              <w:top w:val="single" w:sz="4" w:space="0" w:color="C2D9BA"/>
              <w:bottom w:val="single" w:sz="4" w:space="0" w:color="C2D9BA"/>
            </w:tcBorders>
            <w:shd w:val="clear" w:color="auto" w:fill="auto"/>
          </w:tcPr>
          <w:p w14:paraId="47BC7BBB" w14:textId="77777777" w:rsidR="005902D1" w:rsidRPr="00E444B3" w:rsidRDefault="005902D1" w:rsidP="005902D1">
            <w:pPr>
              <w:pStyle w:val="TableText"/>
            </w:pPr>
            <w:r w:rsidRPr="00E444B3">
              <w:t>Busulfan</w:t>
            </w:r>
          </w:p>
        </w:tc>
        <w:tc>
          <w:tcPr>
            <w:tcW w:w="5103" w:type="dxa"/>
            <w:tcBorders>
              <w:top w:val="single" w:sz="4" w:space="0" w:color="C2D9BA"/>
              <w:bottom w:val="single" w:sz="4" w:space="0" w:color="C2D9BA"/>
            </w:tcBorders>
            <w:shd w:val="clear" w:color="auto" w:fill="auto"/>
          </w:tcPr>
          <w:p w14:paraId="24E385C8" w14:textId="77777777" w:rsidR="005902D1" w:rsidRPr="00E444B3" w:rsidRDefault="005902D1" w:rsidP="005902D1">
            <w:pPr>
              <w:pStyle w:val="TableText"/>
            </w:pPr>
            <w:r w:rsidRPr="00E444B3">
              <w:t>No restriction on cancer type</w:t>
            </w:r>
          </w:p>
        </w:tc>
      </w:tr>
      <w:tr w:rsidR="005902D1" w14:paraId="7CE89410" w14:textId="77777777" w:rsidTr="005902D1">
        <w:trPr>
          <w:cantSplit/>
        </w:trPr>
        <w:tc>
          <w:tcPr>
            <w:tcW w:w="2977" w:type="dxa"/>
            <w:tcBorders>
              <w:top w:val="single" w:sz="4" w:space="0" w:color="C2D9BA"/>
              <w:bottom w:val="single" w:sz="4" w:space="0" w:color="C2D9BA"/>
            </w:tcBorders>
            <w:shd w:val="clear" w:color="auto" w:fill="auto"/>
          </w:tcPr>
          <w:p w14:paraId="7FA03174" w14:textId="77777777" w:rsidR="005902D1" w:rsidRPr="00E444B3" w:rsidRDefault="005902D1" w:rsidP="005902D1">
            <w:pPr>
              <w:pStyle w:val="TableText"/>
            </w:pPr>
            <w:r w:rsidRPr="00E444B3">
              <w:t>Capecitabine</w:t>
            </w:r>
          </w:p>
        </w:tc>
        <w:tc>
          <w:tcPr>
            <w:tcW w:w="5103" w:type="dxa"/>
            <w:tcBorders>
              <w:top w:val="single" w:sz="4" w:space="0" w:color="C2D9BA"/>
              <w:bottom w:val="single" w:sz="4" w:space="0" w:color="C2D9BA"/>
            </w:tcBorders>
            <w:shd w:val="clear" w:color="auto" w:fill="auto"/>
          </w:tcPr>
          <w:p w14:paraId="3F961D23" w14:textId="77777777" w:rsidR="005902D1" w:rsidRPr="00E444B3" w:rsidRDefault="005902D1" w:rsidP="005902D1">
            <w:pPr>
              <w:pStyle w:val="TableText"/>
            </w:pPr>
            <w:r w:rsidRPr="00E444B3">
              <w:t>No restriction on cancer type</w:t>
            </w:r>
          </w:p>
        </w:tc>
      </w:tr>
      <w:tr w:rsidR="005902D1" w14:paraId="0356AE9F" w14:textId="77777777" w:rsidTr="005902D1">
        <w:trPr>
          <w:cantSplit/>
        </w:trPr>
        <w:tc>
          <w:tcPr>
            <w:tcW w:w="2977" w:type="dxa"/>
            <w:tcBorders>
              <w:top w:val="single" w:sz="4" w:space="0" w:color="C2D9BA"/>
              <w:bottom w:val="single" w:sz="4" w:space="0" w:color="C2D9BA"/>
            </w:tcBorders>
            <w:shd w:val="clear" w:color="auto" w:fill="auto"/>
          </w:tcPr>
          <w:p w14:paraId="01852D8A" w14:textId="77777777" w:rsidR="005902D1" w:rsidRPr="00E444B3" w:rsidRDefault="005902D1" w:rsidP="005902D1">
            <w:pPr>
              <w:pStyle w:val="TableText"/>
            </w:pPr>
            <w:r w:rsidRPr="00E444B3">
              <w:t>Carboplatin</w:t>
            </w:r>
          </w:p>
        </w:tc>
        <w:tc>
          <w:tcPr>
            <w:tcW w:w="5103" w:type="dxa"/>
            <w:tcBorders>
              <w:top w:val="single" w:sz="4" w:space="0" w:color="C2D9BA"/>
              <w:bottom w:val="single" w:sz="4" w:space="0" w:color="C2D9BA"/>
            </w:tcBorders>
            <w:shd w:val="clear" w:color="auto" w:fill="auto"/>
          </w:tcPr>
          <w:p w14:paraId="6D30C732" w14:textId="77777777" w:rsidR="005902D1" w:rsidRPr="00E444B3" w:rsidRDefault="005902D1" w:rsidP="005902D1">
            <w:pPr>
              <w:pStyle w:val="TableText"/>
            </w:pPr>
            <w:r w:rsidRPr="00E444B3">
              <w:t>No restriction on cancer type</w:t>
            </w:r>
          </w:p>
        </w:tc>
      </w:tr>
      <w:tr w:rsidR="005902D1" w14:paraId="519A7536" w14:textId="77777777" w:rsidTr="005902D1">
        <w:trPr>
          <w:cantSplit/>
        </w:trPr>
        <w:tc>
          <w:tcPr>
            <w:tcW w:w="2977" w:type="dxa"/>
            <w:tcBorders>
              <w:top w:val="single" w:sz="4" w:space="0" w:color="C2D9BA"/>
              <w:bottom w:val="single" w:sz="4" w:space="0" w:color="C2D9BA"/>
            </w:tcBorders>
            <w:shd w:val="clear" w:color="auto" w:fill="auto"/>
          </w:tcPr>
          <w:p w14:paraId="2F75C688" w14:textId="77777777" w:rsidR="005902D1" w:rsidRPr="00E444B3" w:rsidRDefault="005902D1" w:rsidP="005902D1">
            <w:pPr>
              <w:pStyle w:val="TableText"/>
            </w:pPr>
            <w:r w:rsidRPr="00E444B3">
              <w:t>Cetuximab</w:t>
            </w:r>
          </w:p>
        </w:tc>
        <w:tc>
          <w:tcPr>
            <w:tcW w:w="5103" w:type="dxa"/>
            <w:tcBorders>
              <w:top w:val="single" w:sz="4" w:space="0" w:color="C2D9BA"/>
              <w:bottom w:val="single" w:sz="4" w:space="0" w:color="C2D9BA"/>
            </w:tcBorders>
            <w:shd w:val="clear" w:color="auto" w:fill="auto"/>
          </w:tcPr>
          <w:p w14:paraId="544E0ECB" w14:textId="77777777" w:rsidR="005902D1" w:rsidRPr="00E444B3" w:rsidRDefault="005902D1" w:rsidP="005902D1">
            <w:pPr>
              <w:pStyle w:val="TableText"/>
            </w:pPr>
            <w:r w:rsidRPr="00E444B3">
              <w:t>Head and neck cancer</w:t>
            </w:r>
          </w:p>
        </w:tc>
      </w:tr>
      <w:tr w:rsidR="005902D1" w14:paraId="72535AE0" w14:textId="77777777" w:rsidTr="005902D1">
        <w:trPr>
          <w:cantSplit/>
        </w:trPr>
        <w:tc>
          <w:tcPr>
            <w:tcW w:w="2977" w:type="dxa"/>
            <w:tcBorders>
              <w:top w:val="single" w:sz="4" w:space="0" w:color="C2D9BA"/>
              <w:bottom w:val="single" w:sz="4" w:space="0" w:color="C2D9BA"/>
            </w:tcBorders>
            <w:shd w:val="clear" w:color="auto" w:fill="auto"/>
          </w:tcPr>
          <w:p w14:paraId="2D8F6EF0" w14:textId="77777777" w:rsidR="005902D1" w:rsidRPr="00E444B3" w:rsidRDefault="005902D1" w:rsidP="005902D1">
            <w:pPr>
              <w:pStyle w:val="TableText"/>
            </w:pPr>
            <w:r w:rsidRPr="00E444B3">
              <w:t>Chlorambucil</w:t>
            </w:r>
          </w:p>
        </w:tc>
        <w:tc>
          <w:tcPr>
            <w:tcW w:w="5103" w:type="dxa"/>
            <w:tcBorders>
              <w:top w:val="single" w:sz="4" w:space="0" w:color="C2D9BA"/>
              <w:bottom w:val="single" w:sz="4" w:space="0" w:color="C2D9BA"/>
            </w:tcBorders>
            <w:shd w:val="clear" w:color="auto" w:fill="auto"/>
          </w:tcPr>
          <w:p w14:paraId="729FAA40" w14:textId="77777777" w:rsidR="005902D1" w:rsidRPr="00E444B3" w:rsidRDefault="005902D1" w:rsidP="005902D1">
            <w:pPr>
              <w:pStyle w:val="TableText"/>
            </w:pPr>
            <w:r w:rsidRPr="00E444B3">
              <w:t>No restriction on cancer type</w:t>
            </w:r>
          </w:p>
        </w:tc>
      </w:tr>
      <w:tr w:rsidR="005902D1" w14:paraId="7586425F" w14:textId="77777777" w:rsidTr="005902D1">
        <w:trPr>
          <w:cantSplit/>
        </w:trPr>
        <w:tc>
          <w:tcPr>
            <w:tcW w:w="2977" w:type="dxa"/>
            <w:tcBorders>
              <w:top w:val="single" w:sz="4" w:space="0" w:color="C2D9BA"/>
              <w:bottom w:val="single" w:sz="4" w:space="0" w:color="C2D9BA"/>
            </w:tcBorders>
            <w:shd w:val="clear" w:color="auto" w:fill="auto"/>
          </w:tcPr>
          <w:p w14:paraId="02D22682" w14:textId="77777777" w:rsidR="005902D1" w:rsidRPr="00E444B3" w:rsidRDefault="005902D1" w:rsidP="005902D1">
            <w:pPr>
              <w:pStyle w:val="TableText"/>
            </w:pPr>
            <w:r w:rsidRPr="00E444B3">
              <w:t>Cisplatin</w:t>
            </w:r>
          </w:p>
        </w:tc>
        <w:tc>
          <w:tcPr>
            <w:tcW w:w="5103" w:type="dxa"/>
            <w:tcBorders>
              <w:top w:val="single" w:sz="4" w:space="0" w:color="C2D9BA"/>
              <w:bottom w:val="single" w:sz="4" w:space="0" w:color="C2D9BA"/>
            </w:tcBorders>
            <w:shd w:val="clear" w:color="auto" w:fill="auto"/>
          </w:tcPr>
          <w:p w14:paraId="531C08B1" w14:textId="77777777" w:rsidR="005902D1" w:rsidRPr="00E444B3" w:rsidRDefault="005902D1" w:rsidP="005902D1">
            <w:pPr>
              <w:pStyle w:val="TableText"/>
            </w:pPr>
            <w:r w:rsidRPr="00E444B3">
              <w:t>No restriction on cancer type</w:t>
            </w:r>
          </w:p>
        </w:tc>
      </w:tr>
      <w:tr w:rsidR="005902D1" w14:paraId="7051A11F" w14:textId="77777777" w:rsidTr="005902D1">
        <w:trPr>
          <w:cantSplit/>
        </w:trPr>
        <w:tc>
          <w:tcPr>
            <w:tcW w:w="2977" w:type="dxa"/>
            <w:tcBorders>
              <w:top w:val="single" w:sz="4" w:space="0" w:color="C2D9BA"/>
              <w:bottom w:val="single" w:sz="4" w:space="0" w:color="C2D9BA"/>
            </w:tcBorders>
            <w:shd w:val="clear" w:color="auto" w:fill="auto"/>
          </w:tcPr>
          <w:p w14:paraId="3AAD1FB6" w14:textId="77777777" w:rsidR="005902D1" w:rsidRPr="00E444B3" w:rsidRDefault="005902D1" w:rsidP="005902D1">
            <w:pPr>
              <w:pStyle w:val="TableText"/>
            </w:pPr>
            <w:r w:rsidRPr="00E444B3">
              <w:t>Cladribine**</w:t>
            </w:r>
          </w:p>
        </w:tc>
        <w:tc>
          <w:tcPr>
            <w:tcW w:w="5103" w:type="dxa"/>
            <w:tcBorders>
              <w:top w:val="single" w:sz="4" w:space="0" w:color="C2D9BA"/>
              <w:bottom w:val="single" w:sz="4" w:space="0" w:color="C2D9BA"/>
            </w:tcBorders>
            <w:shd w:val="clear" w:color="auto" w:fill="auto"/>
          </w:tcPr>
          <w:p w14:paraId="1EA663DC" w14:textId="77777777" w:rsidR="005902D1" w:rsidRPr="00E444B3" w:rsidRDefault="005902D1" w:rsidP="005902D1">
            <w:pPr>
              <w:pStyle w:val="TableText"/>
            </w:pPr>
            <w:r w:rsidRPr="00E444B3">
              <w:t>Hairy cell leukaemia***</w:t>
            </w:r>
          </w:p>
        </w:tc>
      </w:tr>
      <w:tr w:rsidR="005902D1" w14:paraId="38A8A404" w14:textId="77777777" w:rsidTr="005902D1">
        <w:trPr>
          <w:cantSplit/>
        </w:trPr>
        <w:tc>
          <w:tcPr>
            <w:tcW w:w="2977" w:type="dxa"/>
            <w:tcBorders>
              <w:top w:val="single" w:sz="4" w:space="0" w:color="C2D9BA"/>
              <w:bottom w:val="single" w:sz="4" w:space="0" w:color="C2D9BA"/>
            </w:tcBorders>
            <w:shd w:val="clear" w:color="auto" w:fill="auto"/>
          </w:tcPr>
          <w:p w14:paraId="069F16EE" w14:textId="77777777" w:rsidR="005902D1" w:rsidRPr="00E444B3" w:rsidRDefault="005902D1" w:rsidP="005902D1">
            <w:pPr>
              <w:pStyle w:val="TableText"/>
            </w:pPr>
            <w:r w:rsidRPr="00E444B3">
              <w:t>Cyclophosphamide</w:t>
            </w:r>
          </w:p>
        </w:tc>
        <w:tc>
          <w:tcPr>
            <w:tcW w:w="5103" w:type="dxa"/>
            <w:tcBorders>
              <w:top w:val="single" w:sz="4" w:space="0" w:color="C2D9BA"/>
              <w:bottom w:val="single" w:sz="4" w:space="0" w:color="C2D9BA"/>
            </w:tcBorders>
            <w:shd w:val="clear" w:color="auto" w:fill="auto"/>
          </w:tcPr>
          <w:p w14:paraId="203F54E5" w14:textId="77777777" w:rsidR="005902D1" w:rsidRPr="00E444B3" w:rsidRDefault="005902D1" w:rsidP="005902D1">
            <w:pPr>
              <w:pStyle w:val="TableText"/>
            </w:pPr>
            <w:r w:rsidRPr="00E444B3">
              <w:t>No restriction on cancer type</w:t>
            </w:r>
          </w:p>
        </w:tc>
      </w:tr>
      <w:tr w:rsidR="005902D1" w14:paraId="78FCD8F2" w14:textId="77777777" w:rsidTr="005902D1">
        <w:trPr>
          <w:cantSplit/>
        </w:trPr>
        <w:tc>
          <w:tcPr>
            <w:tcW w:w="2977" w:type="dxa"/>
            <w:tcBorders>
              <w:top w:val="single" w:sz="4" w:space="0" w:color="C2D9BA"/>
              <w:bottom w:val="single" w:sz="4" w:space="0" w:color="C2D9BA"/>
            </w:tcBorders>
            <w:shd w:val="clear" w:color="auto" w:fill="auto"/>
          </w:tcPr>
          <w:p w14:paraId="38A90A97" w14:textId="77777777" w:rsidR="005902D1" w:rsidRPr="00E444B3" w:rsidRDefault="005902D1" w:rsidP="005902D1">
            <w:pPr>
              <w:pStyle w:val="TableText"/>
            </w:pPr>
            <w:r w:rsidRPr="00E444B3">
              <w:t>Cyproterone</w:t>
            </w:r>
          </w:p>
        </w:tc>
        <w:tc>
          <w:tcPr>
            <w:tcW w:w="5103" w:type="dxa"/>
            <w:tcBorders>
              <w:top w:val="single" w:sz="4" w:space="0" w:color="C2D9BA"/>
              <w:bottom w:val="single" w:sz="4" w:space="0" w:color="C2D9BA"/>
            </w:tcBorders>
            <w:shd w:val="clear" w:color="auto" w:fill="auto"/>
          </w:tcPr>
          <w:p w14:paraId="4808143A" w14:textId="77777777" w:rsidR="005902D1" w:rsidRPr="00E444B3" w:rsidRDefault="005902D1" w:rsidP="005902D1">
            <w:pPr>
              <w:pStyle w:val="TableText"/>
            </w:pPr>
            <w:r>
              <w:t>No restriction on cancer type</w:t>
            </w:r>
          </w:p>
        </w:tc>
      </w:tr>
      <w:tr w:rsidR="005902D1" w14:paraId="64C04952" w14:textId="77777777" w:rsidTr="005902D1">
        <w:trPr>
          <w:cantSplit/>
        </w:trPr>
        <w:tc>
          <w:tcPr>
            <w:tcW w:w="2977" w:type="dxa"/>
            <w:tcBorders>
              <w:top w:val="single" w:sz="4" w:space="0" w:color="C2D9BA"/>
              <w:bottom w:val="single" w:sz="4" w:space="0" w:color="C2D9BA"/>
            </w:tcBorders>
            <w:shd w:val="clear" w:color="auto" w:fill="auto"/>
          </w:tcPr>
          <w:p w14:paraId="171BC0FD" w14:textId="77777777" w:rsidR="005902D1" w:rsidRPr="00E444B3" w:rsidRDefault="005902D1" w:rsidP="005902D1">
            <w:pPr>
              <w:pStyle w:val="TableText"/>
            </w:pPr>
            <w:r w:rsidRPr="00E444B3">
              <w:t>Cytarabine</w:t>
            </w:r>
          </w:p>
        </w:tc>
        <w:tc>
          <w:tcPr>
            <w:tcW w:w="5103" w:type="dxa"/>
            <w:tcBorders>
              <w:top w:val="single" w:sz="4" w:space="0" w:color="C2D9BA"/>
              <w:bottom w:val="single" w:sz="4" w:space="0" w:color="C2D9BA"/>
            </w:tcBorders>
            <w:shd w:val="clear" w:color="auto" w:fill="auto"/>
          </w:tcPr>
          <w:p w14:paraId="1EC7742B" w14:textId="77777777" w:rsidR="005902D1" w:rsidRPr="00E444B3" w:rsidRDefault="005902D1" w:rsidP="005902D1">
            <w:pPr>
              <w:pStyle w:val="TableText"/>
            </w:pPr>
            <w:r w:rsidRPr="00E444B3">
              <w:t>No restriction on cancer type</w:t>
            </w:r>
          </w:p>
        </w:tc>
      </w:tr>
      <w:tr w:rsidR="005902D1" w14:paraId="7C8A21B1" w14:textId="77777777" w:rsidTr="005902D1">
        <w:trPr>
          <w:cantSplit/>
        </w:trPr>
        <w:tc>
          <w:tcPr>
            <w:tcW w:w="2977" w:type="dxa"/>
            <w:tcBorders>
              <w:top w:val="single" w:sz="4" w:space="0" w:color="C2D9BA"/>
              <w:bottom w:val="single" w:sz="4" w:space="0" w:color="C2D9BA"/>
            </w:tcBorders>
            <w:shd w:val="clear" w:color="auto" w:fill="auto"/>
          </w:tcPr>
          <w:p w14:paraId="3FC9B55E" w14:textId="77777777" w:rsidR="005902D1" w:rsidRPr="00E444B3" w:rsidRDefault="005902D1" w:rsidP="005902D1">
            <w:pPr>
              <w:pStyle w:val="TableText"/>
              <w:keepNext/>
            </w:pPr>
            <w:r w:rsidRPr="00E444B3">
              <w:lastRenderedPageBreak/>
              <w:t>Dasatinib</w:t>
            </w:r>
          </w:p>
        </w:tc>
        <w:tc>
          <w:tcPr>
            <w:tcW w:w="5103" w:type="dxa"/>
            <w:tcBorders>
              <w:top w:val="single" w:sz="4" w:space="0" w:color="C2D9BA"/>
              <w:bottom w:val="single" w:sz="4" w:space="0" w:color="C2D9BA"/>
            </w:tcBorders>
            <w:shd w:val="clear" w:color="auto" w:fill="auto"/>
          </w:tcPr>
          <w:p w14:paraId="383FA42D" w14:textId="77777777" w:rsidR="005902D1" w:rsidRPr="00E444B3" w:rsidRDefault="005902D1" w:rsidP="005902D1">
            <w:pPr>
              <w:pStyle w:val="TableText"/>
              <w:keepNext/>
            </w:pPr>
            <w:r w:rsidRPr="00E444B3">
              <w:t>Acute lymphocytic leukaemia***</w:t>
            </w:r>
          </w:p>
        </w:tc>
      </w:tr>
      <w:tr w:rsidR="005902D1" w14:paraId="153F7BE5" w14:textId="77777777" w:rsidTr="005902D1">
        <w:trPr>
          <w:cantSplit/>
        </w:trPr>
        <w:tc>
          <w:tcPr>
            <w:tcW w:w="2977" w:type="dxa"/>
            <w:tcBorders>
              <w:top w:val="single" w:sz="4" w:space="0" w:color="C2D9BA"/>
              <w:bottom w:val="single" w:sz="4" w:space="0" w:color="C2D9BA"/>
            </w:tcBorders>
            <w:shd w:val="clear" w:color="auto" w:fill="auto"/>
          </w:tcPr>
          <w:p w14:paraId="5A3B9137" w14:textId="77777777" w:rsidR="005902D1" w:rsidRPr="00E444B3" w:rsidRDefault="005902D1" w:rsidP="005902D1">
            <w:pPr>
              <w:pStyle w:val="TableText"/>
            </w:pPr>
            <w:r w:rsidRPr="00E444B3">
              <w:t>Dasatinib</w:t>
            </w:r>
          </w:p>
        </w:tc>
        <w:tc>
          <w:tcPr>
            <w:tcW w:w="5103" w:type="dxa"/>
            <w:tcBorders>
              <w:top w:val="single" w:sz="4" w:space="0" w:color="C2D9BA"/>
              <w:bottom w:val="single" w:sz="4" w:space="0" w:color="C2D9BA"/>
            </w:tcBorders>
            <w:shd w:val="clear" w:color="auto" w:fill="auto"/>
          </w:tcPr>
          <w:p w14:paraId="3A3EC605" w14:textId="77777777" w:rsidR="005902D1" w:rsidRPr="00E444B3" w:rsidRDefault="005902D1" w:rsidP="005902D1">
            <w:pPr>
              <w:pStyle w:val="TableText"/>
            </w:pPr>
            <w:r w:rsidRPr="00E444B3">
              <w:t>Chronic myeloid leukaemia***</w:t>
            </w:r>
          </w:p>
        </w:tc>
      </w:tr>
      <w:tr w:rsidR="005902D1" w14:paraId="0C10F20D" w14:textId="77777777" w:rsidTr="005902D1">
        <w:trPr>
          <w:cantSplit/>
        </w:trPr>
        <w:tc>
          <w:tcPr>
            <w:tcW w:w="2977" w:type="dxa"/>
            <w:tcBorders>
              <w:top w:val="single" w:sz="4" w:space="0" w:color="C2D9BA"/>
              <w:bottom w:val="single" w:sz="4" w:space="0" w:color="C2D9BA"/>
            </w:tcBorders>
            <w:shd w:val="clear" w:color="auto" w:fill="auto"/>
          </w:tcPr>
          <w:p w14:paraId="3F80BE02" w14:textId="77777777" w:rsidR="005902D1" w:rsidRPr="00E444B3" w:rsidRDefault="005902D1" w:rsidP="005902D1">
            <w:pPr>
              <w:pStyle w:val="TableText"/>
            </w:pPr>
            <w:r w:rsidRPr="00E444B3">
              <w:t>Docetaxel</w:t>
            </w:r>
          </w:p>
        </w:tc>
        <w:tc>
          <w:tcPr>
            <w:tcW w:w="5103" w:type="dxa"/>
            <w:tcBorders>
              <w:top w:val="single" w:sz="4" w:space="0" w:color="C2D9BA"/>
              <w:bottom w:val="single" w:sz="4" w:space="0" w:color="C2D9BA"/>
            </w:tcBorders>
            <w:shd w:val="clear" w:color="auto" w:fill="auto"/>
          </w:tcPr>
          <w:p w14:paraId="490626F2" w14:textId="77777777" w:rsidR="005902D1" w:rsidRPr="00E444B3" w:rsidRDefault="005902D1" w:rsidP="005902D1">
            <w:pPr>
              <w:pStyle w:val="TableText"/>
            </w:pPr>
            <w:r w:rsidRPr="00E444B3">
              <w:t>No restriction on cancer type</w:t>
            </w:r>
          </w:p>
        </w:tc>
      </w:tr>
      <w:tr w:rsidR="005902D1" w14:paraId="3BCDEF67" w14:textId="77777777" w:rsidTr="005902D1">
        <w:trPr>
          <w:cantSplit/>
        </w:trPr>
        <w:tc>
          <w:tcPr>
            <w:tcW w:w="2977" w:type="dxa"/>
            <w:tcBorders>
              <w:top w:val="single" w:sz="4" w:space="0" w:color="C2D9BA"/>
              <w:bottom w:val="single" w:sz="4" w:space="0" w:color="C2D9BA"/>
            </w:tcBorders>
            <w:shd w:val="clear" w:color="auto" w:fill="auto"/>
          </w:tcPr>
          <w:p w14:paraId="012291ED" w14:textId="77777777" w:rsidR="005902D1" w:rsidRPr="00E444B3" w:rsidRDefault="005902D1" w:rsidP="005902D1">
            <w:pPr>
              <w:pStyle w:val="TableText"/>
            </w:pPr>
            <w:r w:rsidRPr="00E444B3">
              <w:t>Doxorubicin</w:t>
            </w:r>
          </w:p>
        </w:tc>
        <w:tc>
          <w:tcPr>
            <w:tcW w:w="5103" w:type="dxa"/>
            <w:tcBorders>
              <w:top w:val="single" w:sz="4" w:space="0" w:color="C2D9BA"/>
              <w:bottom w:val="single" w:sz="4" w:space="0" w:color="C2D9BA"/>
            </w:tcBorders>
            <w:shd w:val="clear" w:color="auto" w:fill="auto"/>
          </w:tcPr>
          <w:p w14:paraId="2644E33A" w14:textId="77777777" w:rsidR="005902D1" w:rsidRPr="00E444B3" w:rsidRDefault="005902D1" w:rsidP="005902D1">
            <w:pPr>
              <w:pStyle w:val="TableText"/>
            </w:pPr>
            <w:r w:rsidRPr="00E444B3">
              <w:t>No restriction on cancer type</w:t>
            </w:r>
          </w:p>
        </w:tc>
      </w:tr>
      <w:tr w:rsidR="005902D1" w14:paraId="6254D938" w14:textId="77777777" w:rsidTr="005902D1">
        <w:trPr>
          <w:cantSplit/>
        </w:trPr>
        <w:tc>
          <w:tcPr>
            <w:tcW w:w="2977" w:type="dxa"/>
            <w:tcBorders>
              <w:top w:val="single" w:sz="4" w:space="0" w:color="C2D9BA"/>
              <w:bottom w:val="single" w:sz="4" w:space="0" w:color="C2D9BA"/>
            </w:tcBorders>
            <w:shd w:val="clear" w:color="auto" w:fill="auto"/>
          </w:tcPr>
          <w:p w14:paraId="666624C2" w14:textId="77777777" w:rsidR="005902D1" w:rsidRPr="00E444B3" w:rsidRDefault="005902D1" w:rsidP="005902D1">
            <w:pPr>
              <w:pStyle w:val="TableText"/>
            </w:pPr>
            <w:r w:rsidRPr="00E444B3">
              <w:t>Epirubicin</w:t>
            </w:r>
          </w:p>
        </w:tc>
        <w:tc>
          <w:tcPr>
            <w:tcW w:w="5103" w:type="dxa"/>
            <w:tcBorders>
              <w:top w:val="single" w:sz="4" w:space="0" w:color="C2D9BA"/>
              <w:bottom w:val="single" w:sz="4" w:space="0" w:color="C2D9BA"/>
            </w:tcBorders>
            <w:shd w:val="clear" w:color="auto" w:fill="auto"/>
          </w:tcPr>
          <w:p w14:paraId="779D2301" w14:textId="77777777" w:rsidR="005902D1" w:rsidRPr="00E444B3" w:rsidRDefault="005902D1" w:rsidP="005902D1">
            <w:pPr>
              <w:pStyle w:val="TableText"/>
            </w:pPr>
            <w:r w:rsidRPr="00E444B3">
              <w:t>No restriction on cancer type</w:t>
            </w:r>
          </w:p>
        </w:tc>
      </w:tr>
      <w:tr w:rsidR="005902D1" w14:paraId="286E1590" w14:textId="77777777" w:rsidTr="005902D1">
        <w:trPr>
          <w:cantSplit/>
        </w:trPr>
        <w:tc>
          <w:tcPr>
            <w:tcW w:w="2977" w:type="dxa"/>
            <w:tcBorders>
              <w:top w:val="single" w:sz="4" w:space="0" w:color="C2D9BA"/>
              <w:bottom w:val="single" w:sz="4" w:space="0" w:color="C2D9BA"/>
            </w:tcBorders>
            <w:shd w:val="clear" w:color="auto" w:fill="auto"/>
          </w:tcPr>
          <w:p w14:paraId="6C1E1CEC" w14:textId="77777777" w:rsidR="005902D1" w:rsidRPr="00E444B3" w:rsidRDefault="005902D1" w:rsidP="005902D1">
            <w:pPr>
              <w:pStyle w:val="TableText"/>
            </w:pPr>
            <w:r w:rsidRPr="00E444B3">
              <w:t>Erlotinib</w:t>
            </w:r>
          </w:p>
        </w:tc>
        <w:tc>
          <w:tcPr>
            <w:tcW w:w="5103" w:type="dxa"/>
            <w:tcBorders>
              <w:top w:val="single" w:sz="4" w:space="0" w:color="C2D9BA"/>
              <w:bottom w:val="single" w:sz="4" w:space="0" w:color="C2D9BA"/>
            </w:tcBorders>
            <w:shd w:val="clear" w:color="auto" w:fill="auto"/>
          </w:tcPr>
          <w:p w14:paraId="5A4872EF" w14:textId="77777777" w:rsidR="005902D1" w:rsidRPr="00E444B3" w:rsidRDefault="005902D1" w:rsidP="005902D1">
            <w:pPr>
              <w:pStyle w:val="TableText"/>
            </w:pPr>
            <w:r w:rsidRPr="00E444B3">
              <w:t>Lung cancer</w:t>
            </w:r>
          </w:p>
        </w:tc>
      </w:tr>
      <w:tr w:rsidR="005902D1" w14:paraId="482A355A" w14:textId="77777777" w:rsidTr="005902D1">
        <w:trPr>
          <w:cantSplit/>
        </w:trPr>
        <w:tc>
          <w:tcPr>
            <w:tcW w:w="2977" w:type="dxa"/>
            <w:tcBorders>
              <w:top w:val="single" w:sz="4" w:space="0" w:color="C2D9BA"/>
              <w:bottom w:val="single" w:sz="4" w:space="0" w:color="C2D9BA"/>
            </w:tcBorders>
            <w:shd w:val="clear" w:color="auto" w:fill="auto"/>
          </w:tcPr>
          <w:p w14:paraId="223E0DE1" w14:textId="77777777" w:rsidR="005902D1" w:rsidRPr="00E444B3" w:rsidRDefault="005902D1" w:rsidP="005902D1">
            <w:pPr>
              <w:pStyle w:val="TableText"/>
            </w:pPr>
            <w:r w:rsidRPr="00E444B3">
              <w:t>Etoposide</w:t>
            </w:r>
          </w:p>
        </w:tc>
        <w:tc>
          <w:tcPr>
            <w:tcW w:w="5103" w:type="dxa"/>
            <w:tcBorders>
              <w:top w:val="single" w:sz="4" w:space="0" w:color="C2D9BA"/>
              <w:bottom w:val="single" w:sz="4" w:space="0" w:color="C2D9BA"/>
            </w:tcBorders>
            <w:shd w:val="clear" w:color="auto" w:fill="auto"/>
          </w:tcPr>
          <w:p w14:paraId="41A73F0A" w14:textId="77777777" w:rsidR="005902D1" w:rsidRPr="00E444B3" w:rsidRDefault="005902D1" w:rsidP="005902D1">
            <w:pPr>
              <w:pStyle w:val="TableText"/>
            </w:pPr>
            <w:r w:rsidRPr="00E444B3">
              <w:t>No restriction on cancer type</w:t>
            </w:r>
          </w:p>
        </w:tc>
      </w:tr>
      <w:tr w:rsidR="005902D1" w14:paraId="08A82EB4" w14:textId="77777777" w:rsidTr="005902D1">
        <w:trPr>
          <w:cantSplit/>
        </w:trPr>
        <w:tc>
          <w:tcPr>
            <w:tcW w:w="2977" w:type="dxa"/>
            <w:tcBorders>
              <w:top w:val="single" w:sz="4" w:space="0" w:color="C2D9BA"/>
              <w:bottom w:val="single" w:sz="4" w:space="0" w:color="C2D9BA"/>
            </w:tcBorders>
            <w:shd w:val="clear" w:color="auto" w:fill="auto"/>
          </w:tcPr>
          <w:p w14:paraId="164DABEB" w14:textId="77777777" w:rsidR="005902D1" w:rsidRPr="00E444B3" w:rsidRDefault="005902D1" w:rsidP="005902D1">
            <w:pPr>
              <w:pStyle w:val="TableText"/>
            </w:pPr>
            <w:r w:rsidRPr="00E444B3">
              <w:t>Exemestane**</w:t>
            </w:r>
          </w:p>
        </w:tc>
        <w:tc>
          <w:tcPr>
            <w:tcW w:w="5103" w:type="dxa"/>
            <w:tcBorders>
              <w:top w:val="single" w:sz="4" w:space="0" w:color="C2D9BA"/>
              <w:bottom w:val="single" w:sz="4" w:space="0" w:color="C2D9BA"/>
            </w:tcBorders>
            <w:shd w:val="clear" w:color="auto" w:fill="auto"/>
          </w:tcPr>
          <w:p w14:paraId="3CC91144" w14:textId="77777777" w:rsidR="005902D1" w:rsidRPr="00E444B3" w:rsidRDefault="005902D1" w:rsidP="005902D1">
            <w:pPr>
              <w:pStyle w:val="TableText"/>
            </w:pPr>
            <w:r w:rsidRPr="00E444B3">
              <w:t>Breast cancer</w:t>
            </w:r>
          </w:p>
        </w:tc>
      </w:tr>
      <w:tr w:rsidR="005902D1" w14:paraId="333EF164" w14:textId="77777777" w:rsidTr="005902D1">
        <w:trPr>
          <w:cantSplit/>
        </w:trPr>
        <w:tc>
          <w:tcPr>
            <w:tcW w:w="2977" w:type="dxa"/>
            <w:tcBorders>
              <w:top w:val="single" w:sz="4" w:space="0" w:color="C2D9BA"/>
              <w:bottom w:val="single" w:sz="4" w:space="0" w:color="C2D9BA"/>
            </w:tcBorders>
            <w:shd w:val="clear" w:color="auto" w:fill="auto"/>
          </w:tcPr>
          <w:p w14:paraId="3714706E" w14:textId="77777777" w:rsidR="005902D1" w:rsidRPr="00E444B3" w:rsidRDefault="005902D1" w:rsidP="005902D1">
            <w:pPr>
              <w:pStyle w:val="TableText"/>
            </w:pPr>
            <w:r w:rsidRPr="00E444B3">
              <w:t>Fludarabine</w:t>
            </w:r>
          </w:p>
        </w:tc>
        <w:tc>
          <w:tcPr>
            <w:tcW w:w="5103" w:type="dxa"/>
            <w:tcBorders>
              <w:top w:val="single" w:sz="4" w:space="0" w:color="C2D9BA"/>
              <w:bottom w:val="single" w:sz="4" w:space="0" w:color="C2D9BA"/>
            </w:tcBorders>
            <w:shd w:val="clear" w:color="auto" w:fill="auto"/>
          </w:tcPr>
          <w:p w14:paraId="2629F8EA" w14:textId="77777777" w:rsidR="005902D1" w:rsidRPr="00E444B3" w:rsidRDefault="005902D1" w:rsidP="005902D1">
            <w:pPr>
              <w:pStyle w:val="TableText"/>
            </w:pPr>
            <w:r w:rsidRPr="00E444B3">
              <w:t>No restriction on cancer type</w:t>
            </w:r>
          </w:p>
        </w:tc>
      </w:tr>
      <w:tr w:rsidR="005902D1" w14:paraId="1507D299" w14:textId="77777777" w:rsidTr="005902D1">
        <w:trPr>
          <w:cantSplit/>
        </w:trPr>
        <w:tc>
          <w:tcPr>
            <w:tcW w:w="2977" w:type="dxa"/>
            <w:tcBorders>
              <w:top w:val="single" w:sz="4" w:space="0" w:color="C2D9BA"/>
              <w:bottom w:val="single" w:sz="4" w:space="0" w:color="C2D9BA"/>
            </w:tcBorders>
            <w:shd w:val="clear" w:color="auto" w:fill="auto"/>
          </w:tcPr>
          <w:p w14:paraId="10BF4EA4" w14:textId="77777777" w:rsidR="005902D1" w:rsidRPr="00E444B3" w:rsidRDefault="005902D1" w:rsidP="005902D1">
            <w:pPr>
              <w:pStyle w:val="TableText"/>
            </w:pPr>
            <w:r w:rsidRPr="00E444B3">
              <w:t>Fluorouracil</w:t>
            </w:r>
          </w:p>
        </w:tc>
        <w:tc>
          <w:tcPr>
            <w:tcW w:w="5103" w:type="dxa"/>
            <w:tcBorders>
              <w:top w:val="single" w:sz="4" w:space="0" w:color="C2D9BA"/>
              <w:bottom w:val="single" w:sz="4" w:space="0" w:color="C2D9BA"/>
            </w:tcBorders>
            <w:shd w:val="clear" w:color="auto" w:fill="auto"/>
          </w:tcPr>
          <w:p w14:paraId="16389DBB" w14:textId="77777777" w:rsidR="005902D1" w:rsidRPr="00E444B3" w:rsidRDefault="005902D1" w:rsidP="005902D1">
            <w:pPr>
              <w:pStyle w:val="TableText"/>
            </w:pPr>
            <w:r w:rsidRPr="00E444B3">
              <w:t>No restriction on cancer type</w:t>
            </w:r>
          </w:p>
        </w:tc>
      </w:tr>
      <w:tr w:rsidR="005902D1" w14:paraId="4024BB73" w14:textId="77777777" w:rsidTr="005902D1">
        <w:trPr>
          <w:cantSplit/>
        </w:trPr>
        <w:tc>
          <w:tcPr>
            <w:tcW w:w="2977" w:type="dxa"/>
            <w:tcBorders>
              <w:top w:val="single" w:sz="4" w:space="0" w:color="C2D9BA"/>
              <w:bottom w:val="single" w:sz="4" w:space="0" w:color="C2D9BA"/>
            </w:tcBorders>
            <w:shd w:val="clear" w:color="auto" w:fill="auto"/>
          </w:tcPr>
          <w:p w14:paraId="6826EBE1" w14:textId="77777777" w:rsidR="005902D1" w:rsidRPr="00E444B3" w:rsidRDefault="005902D1" w:rsidP="005902D1">
            <w:pPr>
              <w:pStyle w:val="TableText"/>
            </w:pPr>
            <w:r w:rsidRPr="00E444B3">
              <w:t>Flutamide**</w:t>
            </w:r>
          </w:p>
        </w:tc>
        <w:tc>
          <w:tcPr>
            <w:tcW w:w="5103" w:type="dxa"/>
            <w:tcBorders>
              <w:top w:val="single" w:sz="4" w:space="0" w:color="C2D9BA"/>
              <w:bottom w:val="single" w:sz="4" w:space="0" w:color="C2D9BA"/>
            </w:tcBorders>
            <w:shd w:val="clear" w:color="auto" w:fill="auto"/>
          </w:tcPr>
          <w:p w14:paraId="38340EB3" w14:textId="77777777" w:rsidR="005902D1" w:rsidRPr="00E444B3" w:rsidRDefault="005902D1" w:rsidP="005902D1">
            <w:pPr>
              <w:pStyle w:val="TableText"/>
            </w:pPr>
            <w:r w:rsidRPr="00E444B3">
              <w:t>Prostate cancer</w:t>
            </w:r>
          </w:p>
        </w:tc>
      </w:tr>
      <w:tr w:rsidR="005902D1" w14:paraId="0D9975DE" w14:textId="77777777" w:rsidTr="005902D1">
        <w:trPr>
          <w:cantSplit/>
        </w:trPr>
        <w:tc>
          <w:tcPr>
            <w:tcW w:w="2977" w:type="dxa"/>
            <w:tcBorders>
              <w:top w:val="single" w:sz="4" w:space="0" w:color="C2D9BA"/>
              <w:bottom w:val="single" w:sz="4" w:space="0" w:color="C2D9BA"/>
            </w:tcBorders>
            <w:shd w:val="clear" w:color="auto" w:fill="auto"/>
          </w:tcPr>
          <w:p w14:paraId="5C37FD1F" w14:textId="77777777" w:rsidR="005902D1" w:rsidRPr="00E444B3" w:rsidRDefault="005902D1" w:rsidP="005902D1">
            <w:pPr>
              <w:pStyle w:val="TableText"/>
            </w:pPr>
            <w:r w:rsidRPr="00E444B3">
              <w:t>Fulvestrant</w:t>
            </w:r>
          </w:p>
        </w:tc>
        <w:tc>
          <w:tcPr>
            <w:tcW w:w="5103" w:type="dxa"/>
            <w:tcBorders>
              <w:top w:val="single" w:sz="4" w:space="0" w:color="C2D9BA"/>
              <w:bottom w:val="single" w:sz="4" w:space="0" w:color="C2D9BA"/>
            </w:tcBorders>
            <w:shd w:val="clear" w:color="auto" w:fill="auto"/>
          </w:tcPr>
          <w:p w14:paraId="6AF68000" w14:textId="77777777" w:rsidR="005902D1" w:rsidRPr="00E444B3" w:rsidRDefault="005902D1" w:rsidP="005902D1">
            <w:pPr>
              <w:pStyle w:val="TableText"/>
            </w:pPr>
            <w:r w:rsidRPr="00E444B3">
              <w:t>Breast cancer</w:t>
            </w:r>
            <w:r>
              <w:t xml:space="preserve"> (second line)</w:t>
            </w:r>
          </w:p>
        </w:tc>
      </w:tr>
      <w:tr w:rsidR="005902D1" w14:paraId="48548A86" w14:textId="77777777" w:rsidTr="005902D1">
        <w:trPr>
          <w:cantSplit/>
        </w:trPr>
        <w:tc>
          <w:tcPr>
            <w:tcW w:w="2977" w:type="dxa"/>
            <w:tcBorders>
              <w:top w:val="single" w:sz="4" w:space="0" w:color="C2D9BA"/>
              <w:bottom w:val="single" w:sz="4" w:space="0" w:color="C2D9BA"/>
            </w:tcBorders>
            <w:shd w:val="clear" w:color="auto" w:fill="auto"/>
          </w:tcPr>
          <w:p w14:paraId="534B6E7C" w14:textId="77777777" w:rsidR="005902D1" w:rsidRPr="00E444B3" w:rsidRDefault="005902D1" w:rsidP="005902D1">
            <w:pPr>
              <w:pStyle w:val="TableText"/>
            </w:pPr>
            <w:r w:rsidRPr="00E444B3">
              <w:t>Gefitinib</w:t>
            </w:r>
          </w:p>
        </w:tc>
        <w:tc>
          <w:tcPr>
            <w:tcW w:w="5103" w:type="dxa"/>
            <w:tcBorders>
              <w:top w:val="single" w:sz="4" w:space="0" w:color="C2D9BA"/>
              <w:bottom w:val="single" w:sz="4" w:space="0" w:color="C2D9BA"/>
            </w:tcBorders>
            <w:shd w:val="clear" w:color="auto" w:fill="auto"/>
          </w:tcPr>
          <w:p w14:paraId="0FDA64AA" w14:textId="77777777" w:rsidR="005902D1" w:rsidRPr="00E444B3" w:rsidRDefault="005902D1" w:rsidP="005902D1">
            <w:pPr>
              <w:pStyle w:val="TableText"/>
            </w:pPr>
            <w:r w:rsidRPr="00E444B3">
              <w:t>Lung cancer</w:t>
            </w:r>
          </w:p>
        </w:tc>
      </w:tr>
      <w:tr w:rsidR="005902D1" w14:paraId="32357AFE" w14:textId="77777777" w:rsidTr="005902D1">
        <w:trPr>
          <w:cantSplit/>
        </w:trPr>
        <w:tc>
          <w:tcPr>
            <w:tcW w:w="2977" w:type="dxa"/>
            <w:tcBorders>
              <w:top w:val="single" w:sz="4" w:space="0" w:color="C2D9BA"/>
              <w:bottom w:val="single" w:sz="4" w:space="0" w:color="C2D9BA"/>
            </w:tcBorders>
            <w:shd w:val="clear" w:color="auto" w:fill="auto"/>
          </w:tcPr>
          <w:p w14:paraId="6E531C6E" w14:textId="77777777" w:rsidR="005902D1" w:rsidRPr="00E444B3" w:rsidRDefault="005902D1" w:rsidP="005902D1">
            <w:pPr>
              <w:pStyle w:val="TableText"/>
            </w:pPr>
            <w:r w:rsidRPr="00E444B3">
              <w:t>Gemcitabine</w:t>
            </w:r>
          </w:p>
        </w:tc>
        <w:tc>
          <w:tcPr>
            <w:tcW w:w="5103" w:type="dxa"/>
            <w:tcBorders>
              <w:top w:val="single" w:sz="4" w:space="0" w:color="C2D9BA"/>
              <w:bottom w:val="single" w:sz="4" w:space="0" w:color="C2D9BA"/>
            </w:tcBorders>
            <w:shd w:val="clear" w:color="auto" w:fill="auto"/>
          </w:tcPr>
          <w:p w14:paraId="05769B6E" w14:textId="77777777" w:rsidR="005902D1" w:rsidRPr="00E444B3" w:rsidRDefault="005902D1" w:rsidP="005902D1">
            <w:pPr>
              <w:pStyle w:val="TableText"/>
            </w:pPr>
            <w:r w:rsidRPr="00E444B3">
              <w:t>No restriction on cancer type</w:t>
            </w:r>
          </w:p>
        </w:tc>
      </w:tr>
      <w:tr w:rsidR="005902D1" w14:paraId="7A99CA75" w14:textId="77777777" w:rsidTr="005902D1">
        <w:trPr>
          <w:cantSplit/>
        </w:trPr>
        <w:tc>
          <w:tcPr>
            <w:tcW w:w="2977" w:type="dxa"/>
            <w:tcBorders>
              <w:top w:val="single" w:sz="4" w:space="0" w:color="C2D9BA"/>
              <w:bottom w:val="single" w:sz="4" w:space="0" w:color="C2D9BA"/>
            </w:tcBorders>
            <w:shd w:val="clear" w:color="auto" w:fill="auto"/>
          </w:tcPr>
          <w:p w14:paraId="48BC264F" w14:textId="77777777" w:rsidR="005902D1" w:rsidRPr="00E444B3" w:rsidRDefault="005902D1" w:rsidP="005902D1">
            <w:pPr>
              <w:pStyle w:val="TableText"/>
            </w:pPr>
            <w:r w:rsidRPr="00E444B3">
              <w:t>Goserelin**</w:t>
            </w:r>
          </w:p>
        </w:tc>
        <w:tc>
          <w:tcPr>
            <w:tcW w:w="5103" w:type="dxa"/>
            <w:tcBorders>
              <w:top w:val="single" w:sz="4" w:space="0" w:color="C2D9BA"/>
              <w:bottom w:val="single" w:sz="4" w:space="0" w:color="C2D9BA"/>
            </w:tcBorders>
            <w:shd w:val="clear" w:color="auto" w:fill="auto"/>
          </w:tcPr>
          <w:p w14:paraId="75167BD7" w14:textId="77777777" w:rsidR="005902D1" w:rsidRPr="00E444B3" w:rsidRDefault="005902D1" w:rsidP="005902D1">
            <w:pPr>
              <w:pStyle w:val="TableText"/>
            </w:pPr>
            <w:r w:rsidRPr="00E444B3">
              <w:t>Prostate cancer</w:t>
            </w:r>
          </w:p>
        </w:tc>
      </w:tr>
      <w:tr w:rsidR="005902D1" w14:paraId="38CC8DCE" w14:textId="77777777" w:rsidTr="005902D1">
        <w:trPr>
          <w:cantSplit/>
        </w:trPr>
        <w:tc>
          <w:tcPr>
            <w:tcW w:w="2977" w:type="dxa"/>
            <w:tcBorders>
              <w:top w:val="single" w:sz="4" w:space="0" w:color="C2D9BA"/>
              <w:bottom w:val="single" w:sz="4" w:space="0" w:color="C2D9BA"/>
            </w:tcBorders>
            <w:shd w:val="clear" w:color="auto" w:fill="auto"/>
          </w:tcPr>
          <w:p w14:paraId="78F8E54F" w14:textId="77777777" w:rsidR="005902D1" w:rsidRPr="00E444B3" w:rsidRDefault="005902D1" w:rsidP="005902D1">
            <w:pPr>
              <w:pStyle w:val="TableText"/>
            </w:pPr>
            <w:r w:rsidRPr="00E444B3">
              <w:t>Goserelin**</w:t>
            </w:r>
          </w:p>
        </w:tc>
        <w:tc>
          <w:tcPr>
            <w:tcW w:w="5103" w:type="dxa"/>
            <w:tcBorders>
              <w:top w:val="single" w:sz="4" w:space="0" w:color="C2D9BA"/>
              <w:bottom w:val="single" w:sz="4" w:space="0" w:color="C2D9BA"/>
            </w:tcBorders>
            <w:shd w:val="clear" w:color="auto" w:fill="auto"/>
          </w:tcPr>
          <w:p w14:paraId="7F81FCCF" w14:textId="77777777" w:rsidR="005902D1" w:rsidRPr="00E444B3" w:rsidRDefault="005902D1" w:rsidP="005902D1">
            <w:pPr>
              <w:pStyle w:val="TableText"/>
            </w:pPr>
            <w:r w:rsidRPr="00E444B3">
              <w:t>Breast cancer</w:t>
            </w:r>
          </w:p>
        </w:tc>
      </w:tr>
      <w:tr w:rsidR="005902D1" w14:paraId="3FA0EAC5" w14:textId="77777777" w:rsidTr="005902D1">
        <w:trPr>
          <w:cantSplit/>
        </w:trPr>
        <w:tc>
          <w:tcPr>
            <w:tcW w:w="2977" w:type="dxa"/>
            <w:tcBorders>
              <w:top w:val="single" w:sz="4" w:space="0" w:color="C2D9BA"/>
              <w:bottom w:val="single" w:sz="4" w:space="0" w:color="C2D9BA"/>
            </w:tcBorders>
            <w:shd w:val="clear" w:color="auto" w:fill="auto"/>
          </w:tcPr>
          <w:p w14:paraId="1A68F460" w14:textId="77777777" w:rsidR="005902D1" w:rsidRPr="00E444B3" w:rsidRDefault="005902D1" w:rsidP="005902D1">
            <w:pPr>
              <w:pStyle w:val="TableText"/>
            </w:pPr>
            <w:r w:rsidRPr="00E444B3">
              <w:t>Hydroxycarbamide [hydroxyurea]</w:t>
            </w:r>
          </w:p>
        </w:tc>
        <w:tc>
          <w:tcPr>
            <w:tcW w:w="5103" w:type="dxa"/>
            <w:tcBorders>
              <w:top w:val="single" w:sz="4" w:space="0" w:color="C2D9BA"/>
              <w:bottom w:val="single" w:sz="4" w:space="0" w:color="C2D9BA"/>
            </w:tcBorders>
            <w:shd w:val="clear" w:color="auto" w:fill="auto"/>
          </w:tcPr>
          <w:p w14:paraId="4773C6DD" w14:textId="77777777" w:rsidR="005902D1" w:rsidRPr="00E444B3" w:rsidRDefault="005902D1" w:rsidP="005902D1">
            <w:pPr>
              <w:pStyle w:val="TableText"/>
            </w:pPr>
            <w:r w:rsidRPr="00E444B3">
              <w:t>No restriction on cancer type</w:t>
            </w:r>
          </w:p>
        </w:tc>
      </w:tr>
      <w:tr w:rsidR="005902D1" w14:paraId="40F626CC" w14:textId="77777777" w:rsidTr="005902D1">
        <w:trPr>
          <w:cantSplit/>
        </w:trPr>
        <w:tc>
          <w:tcPr>
            <w:tcW w:w="2977" w:type="dxa"/>
            <w:tcBorders>
              <w:top w:val="single" w:sz="4" w:space="0" w:color="C2D9BA"/>
              <w:bottom w:val="single" w:sz="4" w:space="0" w:color="C2D9BA"/>
            </w:tcBorders>
            <w:shd w:val="clear" w:color="auto" w:fill="auto"/>
          </w:tcPr>
          <w:p w14:paraId="1B5B6348" w14:textId="77777777" w:rsidR="005902D1" w:rsidRPr="00E444B3" w:rsidRDefault="005902D1" w:rsidP="005902D1">
            <w:pPr>
              <w:pStyle w:val="TableText"/>
            </w:pPr>
            <w:r w:rsidRPr="00E444B3">
              <w:t>Idarubicin**</w:t>
            </w:r>
          </w:p>
        </w:tc>
        <w:tc>
          <w:tcPr>
            <w:tcW w:w="5103" w:type="dxa"/>
            <w:tcBorders>
              <w:top w:val="single" w:sz="4" w:space="0" w:color="C2D9BA"/>
              <w:bottom w:val="single" w:sz="4" w:space="0" w:color="C2D9BA"/>
            </w:tcBorders>
            <w:shd w:val="clear" w:color="auto" w:fill="auto"/>
          </w:tcPr>
          <w:p w14:paraId="1BFC8139" w14:textId="77777777" w:rsidR="005902D1" w:rsidRPr="00E444B3" w:rsidRDefault="005902D1" w:rsidP="005902D1">
            <w:pPr>
              <w:pStyle w:val="TableText"/>
            </w:pPr>
            <w:r w:rsidRPr="00E444B3">
              <w:t>Acute myeloid leukaemia***</w:t>
            </w:r>
          </w:p>
        </w:tc>
      </w:tr>
      <w:tr w:rsidR="005902D1" w14:paraId="7B2A0AF2" w14:textId="77777777" w:rsidTr="005902D1">
        <w:trPr>
          <w:cantSplit/>
        </w:trPr>
        <w:tc>
          <w:tcPr>
            <w:tcW w:w="2977" w:type="dxa"/>
            <w:tcBorders>
              <w:top w:val="single" w:sz="4" w:space="0" w:color="C2D9BA"/>
              <w:bottom w:val="single" w:sz="4" w:space="0" w:color="C2D9BA"/>
            </w:tcBorders>
            <w:shd w:val="clear" w:color="auto" w:fill="auto"/>
          </w:tcPr>
          <w:p w14:paraId="3E3B37B3" w14:textId="77777777" w:rsidR="005902D1" w:rsidRPr="00E444B3" w:rsidRDefault="005902D1" w:rsidP="005902D1">
            <w:pPr>
              <w:pStyle w:val="TableText"/>
            </w:pPr>
            <w:r w:rsidRPr="00E444B3">
              <w:t>Ifosfamide</w:t>
            </w:r>
          </w:p>
        </w:tc>
        <w:tc>
          <w:tcPr>
            <w:tcW w:w="5103" w:type="dxa"/>
            <w:tcBorders>
              <w:top w:val="single" w:sz="4" w:space="0" w:color="C2D9BA"/>
              <w:bottom w:val="single" w:sz="4" w:space="0" w:color="C2D9BA"/>
            </w:tcBorders>
            <w:shd w:val="clear" w:color="auto" w:fill="auto"/>
          </w:tcPr>
          <w:p w14:paraId="00D4B4D5" w14:textId="77777777" w:rsidR="005902D1" w:rsidRPr="00E444B3" w:rsidRDefault="005902D1" w:rsidP="005902D1">
            <w:pPr>
              <w:pStyle w:val="TableText"/>
            </w:pPr>
            <w:r w:rsidRPr="00E444B3">
              <w:t>No restriction on cancer typ</w:t>
            </w:r>
            <w:r>
              <w:t>e</w:t>
            </w:r>
          </w:p>
        </w:tc>
      </w:tr>
      <w:tr w:rsidR="005902D1" w14:paraId="14A7E3DD" w14:textId="77777777" w:rsidTr="005902D1">
        <w:trPr>
          <w:cantSplit/>
        </w:trPr>
        <w:tc>
          <w:tcPr>
            <w:tcW w:w="2977" w:type="dxa"/>
            <w:tcBorders>
              <w:top w:val="single" w:sz="4" w:space="0" w:color="C2D9BA"/>
              <w:bottom w:val="single" w:sz="4" w:space="0" w:color="C2D9BA"/>
            </w:tcBorders>
            <w:shd w:val="clear" w:color="auto" w:fill="auto"/>
          </w:tcPr>
          <w:p w14:paraId="16F2CF44" w14:textId="77777777" w:rsidR="005902D1" w:rsidRPr="00E444B3" w:rsidRDefault="005902D1" w:rsidP="005902D1">
            <w:pPr>
              <w:pStyle w:val="TableText"/>
            </w:pPr>
            <w:r w:rsidRPr="00E444B3">
              <w:t>Imatinib**</w:t>
            </w:r>
          </w:p>
        </w:tc>
        <w:tc>
          <w:tcPr>
            <w:tcW w:w="5103" w:type="dxa"/>
            <w:tcBorders>
              <w:top w:val="single" w:sz="4" w:space="0" w:color="C2D9BA"/>
              <w:bottom w:val="single" w:sz="4" w:space="0" w:color="C2D9BA"/>
            </w:tcBorders>
            <w:shd w:val="clear" w:color="auto" w:fill="auto"/>
          </w:tcPr>
          <w:p w14:paraId="7C06318D" w14:textId="77777777" w:rsidR="005902D1" w:rsidRPr="00E444B3" w:rsidRDefault="005902D1" w:rsidP="005902D1">
            <w:pPr>
              <w:pStyle w:val="TableText"/>
            </w:pPr>
            <w:r w:rsidRPr="00E444B3">
              <w:t>Acute lymphoblastic leukaemia***</w:t>
            </w:r>
          </w:p>
        </w:tc>
      </w:tr>
      <w:tr w:rsidR="005902D1" w14:paraId="1B15B2EC" w14:textId="77777777" w:rsidTr="005902D1">
        <w:trPr>
          <w:cantSplit/>
        </w:trPr>
        <w:tc>
          <w:tcPr>
            <w:tcW w:w="2977" w:type="dxa"/>
            <w:tcBorders>
              <w:top w:val="single" w:sz="4" w:space="0" w:color="C2D9BA"/>
              <w:bottom w:val="single" w:sz="4" w:space="0" w:color="C2D9BA"/>
            </w:tcBorders>
            <w:shd w:val="clear" w:color="auto" w:fill="auto"/>
          </w:tcPr>
          <w:p w14:paraId="07DD4FA8" w14:textId="77777777" w:rsidR="005902D1" w:rsidRPr="00E444B3" w:rsidRDefault="005902D1" w:rsidP="005902D1">
            <w:pPr>
              <w:pStyle w:val="TableText"/>
            </w:pPr>
            <w:r w:rsidRPr="00E444B3">
              <w:t>Imatinib**</w:t>
            </w:r>
          </w:p>
        </w:tc>
        <w:tc>
          <w:tcPr>
            <w:tcW w:w="5103" w:type="dxa"/>
            <w:tcBorders>
              <w:top w:val="single" w:sz="4" w:space="0" w:color="C2D9BA"/>
              <w:bottom w:val="single" w:sz="4" w:space="0" w:color="C2D9BA"/>
            </w:tcBorders>
            <w:shd w:val="clear" w:color="auto" w:fill="auto"/>
          </w:tcPr>
          <w:p w14:paraId="5045A69D" w14:textId="77777777" w:rsidR="005902D1" w:rsidRPr="00E444B3" w:rsidRDefault="005902D1" w:rsidP="005902D1">
            <w:pPr>
              <w:pStyle w:val="TableText"/>
            </w:pPr>
            <w:r w:rsidRPr="00E444B3">
              <w:t>Chronic eosinophilic leukaemia</w:t>
            </w:r>
          </w:p>
        </w:tc>
      </w:tr>
      <w:tr w:rsidR="005902D1" w14:paraId="22F190ED" w14:textId="77777777" w:rsidTr="005902D1">
        <w:trPr>
          <w:cantSplit/>
        </w:trPr>
        <w:tc>
          <w:tcPr>
            <w:tcW w:w="2977" w:type="dxa"/>
            <w:tcBorders>
              <w:top w:val="single" w:sz="4" w:space="0" w:color="C2D9BA"/>
              <w:bottom w:val="single" w:sz="4" w:space="0" w:color="C2D9BA"/>
            </w:tcBorders>
            <w:shd w:val="clear" w:color="auto" w:fill="auto"/>
          </w:tcPr>
          <w:p w14:paraId="2A7DD211" w14:textId="77777777" w:rsidR="005902D1" w:rsidRPr="00E444B3" w:rsidRDefault="005902D1" w:rsidP="005902D1">
            <w:pPr>
              <w:pStyle w:val="TableText"/>
            </w:pPr>
            <w:r w:rsidRPr="00E444B3">
              <w:t>Imatinib**</w:t>
            </w:r>
          </w:p>
        </w:tc>
        <w:tc>
          <w:tcPr>
            <w:tcW w:w="5103" w:type="dxa"/>
            <w:tcBorders>
              <w:top w:val="single" w:sz="4" w:space="0" w:color="C2D9BA"/>
              <w:bottom w:val="single" w:sz="4" w:space="0" w:color="C2D9BA"/>
            </w:tcBorders>
            <w:shd w:val="clear" w:color="auto" w:fill="auto"/>
          </w:tcPr>
          <w:p w14:paraId="37F090D8" w14:textId="77777777" w:rsidR="005902D1" w:rsidRPr="00E444B3" w:rsidRDefault="005902D1" w:rsidP="005902D1">
            <w:pPr>
              <w:pStyle w:val="TableText"/>
            </w:pPr>
            <w:r w:rsidRPr="00E444B3">
              <w:t>Chronic myeloid leukaemia</w:t>
            </w:r>
          </w:p>
        </w:tc>
      </w:tr>
      <w:tr w:rsidR="005902D1" w14:paraId="3FC7A476" w14:textId="77777777" w:rsidTr="005902D1">
        <w:trPr>
          <w:cantSplit/>
        </w:trPr>
        <w:tc>
          <w:tcPr>
            <w:tcW w:w="2977" w:type="dxa"/>
            <w:tcBorders>
              <w:top w:val="single" w:sz="4" w:space="0" w:color="C2D9BA"/>
              <w:bottom w:val="single" w:sz="4" w:space="0" w:color="C2D9BA"/>
            </w:tcBorders>
            <w:shd w:val="clear" w:color="auto" w:fill="auto"/>
          </w:tcPr>
          <w:p w14:paraId="2851A180" w14:textId="77777777" w:rsidR="005902D1" w:rsidRPr="00E444B3" w:rsidRDefault="005902D1" w:rsidP="005902D1">
            <w:pPr>
              <w:pStyle w:val="TableText"/>
            </w:pPr>
            <w:r w:rsidRPr="00E444B3">
              <w:t>Imatinib**</w:t>
            </w:r>
          </w:p>
        </w:tc>
        <w:tc>
          <w:tcPr>
            <w:tcW w:w="5103" w:type="dxa"/>
            <w:tcBorders>
              <w:top w:val="single" w:sz="4" w:space="0" w:color="C2D9BA"/>
              <w:bottom w:val="single" w:sz="4" w:space="0" w:color="C2D9BA"/>
            </w:tcBorders>
            <w:shd w:val="clear" w:color="auto" w:fill="auto"/>
          </w:tcPr>
          <w:p w14:paraId="5EAD7753" w14:textId="77777777" w:rsidR="005902D1" w:rsidRPr="00E444B3" w:rsidRDefault="005902D1" w:rsidP="005902D1">
            <w:pPr>
              <w:pStyle w:val="TableText"/>
            </w:pPr>
            <w:r w:rsidRPr="00E444B3">
              <w:t>Dermatofibrosarcoma protuberans</w:t>
            </w:r>
          </w:p>
        </w:tc>
      </w:tr>
      <w:tr w:rsidR="005902D1" w14:paraId="6386D9B9" w14:textId="77777777" w:rsidTr="005902D1">
        <w:trPr>
          <w:cantSplit/>
        </w:trPr>
        <w:tc>
          <w:tcPr>
            <w:tcW w:w="2977" w:type="dxa"/>
            <w:tcBorders>
              <w:top w:val="single" w:sz="4" w:space="0" w:color="C2D9BA"/>
              <w:bottom w:val="single" w:sz="4" w:space="0" w:color="C2D9BA"/>
            </w:tcBorders>
            <w:shd w:val="clear" w:color="auto" w:fill="auto"/>
          </w:tcPr>
          <w:p w14:paraId="68FD1FA0" w14:textId="77777777" w:rsidR="005902D1" w:rsidRPr="00E444B3" w:rsidRDefault="005902D1" w:rsidP="005902D1">
            <w:pPr>
              <w:pStyle w:val="TableText"/>
            </w:pPr>
            <w:r w:rsidRPr="00E444B3">
              <w:t>Imatinib</w:t>
            </w:r>
          </w:p>
        </w:tc>
        <w:tc>
          <w:tcPr>
            <w:tcW w:w="5103" w:type="dxa"/>
            <w:tcBorders>
              <w:top w:val="single" w:sz="4" w:space="0" w:color="C2D9BA"/>
              <w:bottom w:val="single" w:sz="4" w:space="0" w:color="C2D9BA"/>
            </w:tcBorders>
            <w:shd w:val="clear" w:color="auto" w:fill="auto"/>
          </w:tcPr>
          <w:p w14:paraId="51B33862" w14:textId="77777777" w:rsidR="005902D1" w:rsidRPr="00E444B3" w:rsidRDefault="005902D1" w:rsidP="005902D1">
            <w:pPr>
              <w:pStyle w:val="TableText"/>
            </w:pPr>
            <w:r w:rsidRPr="00E444B3">
              <w:t>Gastrointestinal stromal tumour</w:t>
            </w:r>
          </w:p>
        </w:tc>
      </w:tr>
      <w:tr w:rsidR="005902D1" w14:paraId="705EA5EB" w14:textId="77777777" w:rsidTr="005902D1">
        <w:trPr>
          <w:cantSplit/>
        </w:trPr>
        <w:tc>
          <w:tcPr>
            <w:tcW w:w="2977" w:type="dxa"/>
            <w:tcBorders>
              <w:top w:val="single" w:sz="4" w:space="0" w:color="C2D9BA"/>
              <w:bottom w:val="single" w:sz="4" w:space="0" w:color="C2D9BA"/>
            </w:tcBorders>
            <w:shd w:val="clear" w:color="auto" w:fill="auto"/>
          </w:tcPr>
          <w:p w14:paraId="475B6B0B" w14:textId="77777777" w:rsidR="005902D1" w:rsidRPr="00E444B3" w:rsidRDefault="005902D1" w:rsidP="005902D1">
            <w:pPr>
              <w:pStyle w:val="TableText"/>
            </w:pPr>
            <w:r w:rsidRPr="00E444B3">
              <w:t>Imatinib**</w:t>
            </w:r>
          </w:p>
        </w:tc>
        <w:tc>
          <w:tcPr>
            <w:tcW w:w="5103" w:type="dxa"/>
            <w:tcBorders>
              <w:top w:val="single" w:sz="4" w:space="0" w:color="C2D9BA"/>
              <w:bottom w:val="single" w:sz="4" w:space="0" w:color="C2D9BA"/>
            </w:tcBorders>
            <w:shd w:val="clear" w:color="auto" w:fill="auto"/>
          </w:tcPr>
          <w:p w14:paraId="192660DC" w14:textId="77777777" w:rsidR="005902D1" w:rsidRPr="00E444B3" w:rsidRDefault="005902D1" w:rsidP="005902D1">
            <w:pPr>
              <w:pStyle w:val="TableText"/>
            </w:pPr>
            <w:r w:rsidRPr="00E444B3">
              <w:t>Myelodysplastic syndrome</w:t>
            </w:r>
          </w:p>
        </w:tc>
      </w:tr>
      <w:tr w:rsidR="005902D1" w14:paraId="21868C73" w14:textId="77777777" w:rsidTr="005902D1">
        <w:trPr>
          <w:cantSplit/>
        </w:trPr>
        <w:tc>
          <w:tcPr>
            <w:tcW w:w="2977" w:type="dxa"/>
            <w:tcBorders>
              <w:top w:val="single" w:sz="4" w:space="0" w:color="C2D9BA"/>
              <w:bottom w:val="single" w:sz="4" w:space="0" w:color="C2D9BA"/>
            </w:tcBorders>
            <w:shd w:val="clear" w:color="auto" w:fill="auto"/>
          </w:tcPr>
          <w:p w14:paraId="7A102BF1" w14:textId="77777777" w:rsidR="005902D1" w:rsidRPr="00E444B3" w:rsidRDefault="005902D1" w:rsidP="005902D1">
            <w:pPr>
              <w:pStyle w:val="TableText"/>
            </w:pPr>
            <w:r w:rsidRPr="00E444B3">
              <w:t>Irinotecan</w:t>
            </w:r>
          </w:p>
        </w:tc>
        <w:tc>
          <w:tcPr>
            <w:tcW w:w="5103" w:type="dxa"/>
            <w:tcBorders>
              <w:top w:val="single" w:sz="4" w:space="0" w:color="C2D9BA"/>
              <w:bottom w:val="single" w:sz="4" w:space="0" w:color="C2D9BA"/>
            </w:tcBorders>
            <w:shd w:val="clear" w:color="auto" w:fill="auto"/>
          </w:tcPr>
          <w:p w14:paraId="5972BB41" w14:textId="77777777" w:rsidR="005902D1" w:rsidRPr="00E444B3" w:rsidRDefault="005902D1" w:rsidP="005902D1">
            <w:pPr>
              <w:pStyle w:val="TableText"/>
            </w:pPr>
            <w:r w:rsidRPr="00E444B3">
              <w:t>No restriction on cancer type</w:t>
            </w:r>
          </w:p>
        </w:tc>
      </w:tr>
      <w:tr w:rsidR="005902D1" w14:paraId="604D8C16" w14:textId="77777777" w:rsidTr="005902D1">
        <w:trPr>
          <w:cantSplit/>
        </w:trPr>
        <w:tc>
          <w:tcPr>
            <w:tcW w:w="2977" w:type="dxa"/>
            <w:tcBorders>
              <w:top w:val="single" w:sz="4" w:space="0" w:color="C2D9BA"/>
              <w:bottom w:val="single" w:sz="4" w:space="0" w:color="C2D9BA"/>
            </w:tcBorders>
            <w:shd w:val="clear" w:color="auto" w:fill="auto"/>
          </w:tcPr>
          <w:p w14:paraId="41C6D777" w14:textId="77777777" w:rsidR="005902D1" w:rsidRPr="00E444B3" w:rsidRDefault="005902D1" w:rsidP="005902D1">
            <w:pPr>
              <w:pStyle w:val="TableText"/>
            </w:pPr>
            <w:r w:rsidRPr="00E444B3">
              <w:t>Lapatinib</w:t>
            </w:r>
          </w:p>
        </w:tc>
        <w:tc>
          <w:tcPr>
            <w:tcW w:w="5103" w:type="dxa"/>
            <w:tcBorders>
              <w:top w:val="single" w:sz="4" w:space="0" w:color="C2D9BA"/>
              <w:bottom w:val="single" w:sz="4" w:space="0" w:color="C2D9BA"/>
            </w:tcBorders>
            <w:shd w:val="clear" w:color="auto" w:fill="auto"/>
          </w:tcPr>
          <w:p w14:paraId="0444D935" w14:textId="77777777" w:rsidR="005902D1" w:rsidRPr="00E444B3" w:rsidRDefault="005902D1" w:rsidP="005902D1">
            <w:pPr>
              <w:pStyle w:val="TableText"/>
            </w:pPr>
            <w:r w:rsidRPr="00E444B3">
              <w:t>Breast cancer</w:t>
            </w:r>
          </w:p>
        </w:tc>
      </w:tr>
      <w:tr w:rsidR="005902D1" w14:paraId="7FF475ED" w14:textId="77777777" w:rsidTr="005902D1">
        <w:trPr>
          <w:cantSplit/>
        </w:trPr>
        <w:tc>
          <w:tcPr>
            <w:tcW w:w="2977" w:type="dxa"/>
            <w:tcBorders>
              <w:top w:val="single" w:sz="4" w:space="0" w:color="C2D9BA"/>
              <w:bottom w:val="single" w:sz="4" w:space="0" w:color="C2D9BA"/>
            </w:tcBorders>
            <w:shd w:val="clear" w:color="auto" w:fill="auto"/>
          </w:tcPr>
          <w:p w14:paraId="1A040CEC" w14:textId="77777777" w:rsidR="005902D1" w:rsidRPr="00E444B3" w:rsidRDefault="005902D1" w:rsidP="005902D1">
            <w:pPr>
              <w:pStyle w:val="TableText"/>
            </w:pPr>
            <w:r w:rsidRPr="00E444B3">
              <w:t>Lenalidomide</w:t>
            </w:r>
          </w:p>
        </w:tc>
        <w:tc>
          <w:tcPr>
            <w:tcW w:w="5103" w:type="dxa"/>
            <w:tcBorders>
              <w:top w:val="single" w:sz="4" w:space="0" w:color="C2D9BA"/>
              <w:bottom w:val="single" w:sz="4" w:space="0" w:color="C2D9BA"/>
            </w:tcBorders>
            <w:shd w:val="clear" w:color="auto" w:fill="auto"/>
          </w:tcPr>
          <w:p w14:paraId="287086EA" w14:textId="77777777" w:rsidR="005902D1" w:rsidRPr="00E444B3" w:rsidRDefault="005902D1" w:rsidP="005902D1">
            <w:pPr>
              <w:pStyle w:val="TableText"/>
            </w:pPr>
            <w:r w:rsidRPr="00E444B3">
              <w:t>Multiple myelom</w:t>
            </w:r>
            <w:r>
              <w:t xml:space="preserve">a (maintenance – post autologous stem cell </w:t>
            </w:r>
            <w:proofErr w:type="gramStart"/>
            <w:r>
              <w:t>transplant)*</w:t>
            </w:r>
            <w:proofErr w:type="gramEnd"/>
            <w:r>
              <w:t>**</w:t>
            </w:r>
          </w:p>
        </w:tc>
      </w:tr>
      <w:tr w:rsidR="005902D1" w14:paraId="134EC15A" w14:textId="77777777" w:rsidTr="005902D1">
        <w:trPr>
          <w:cantSplit/>
        </w:trPr>
        <w:tc>
          <w:tcPr>
            <w:tcW w:w="2977" w:type="dxa"/>
            <w:tcBorders>
              <w:top w:val="single" w:sz="4" w:space="0" w:color="C2D9BA"/>
              <w:bottom w:val="single" w:sz="4" w:space="0" w:color="C2D9BA"/>
            </w:tcBorders>
            <w:shd w:val="clear" w:color="auto" w:fill="auto"/>
          </w:tcPr>
          <w:p w14:paraId="605D0AC5" w14:textId="77777777" w:rsidR="005902D1" w:rsidRPr="00E444B3" w:rsidRDefault="005902D1" w:rsidP="005902D1">
            <w:pPr>
              <w:pStyle w:val="TableText"/>
            </w:pPr>
            <w:r w:rsidRPr="00E444B3">
              <w:t>Lenalidomide</w:t>
            </w:r>
          </w:p>
        </w:tc>
        <w:tc>
          <w:tcPr>
            <w:tcW w:w="5103" w:type="dxa"/>
            <w:tcBorders>
              <w:top w:val="single" w:sz="4" w:space="0" w:color="C2D9BA"/>
              <w:bottom w:val="single" w:sz="4" w:space="0" w:color="C2D9BA"/>
            </w:tcBorders>
            <w:shd w:val="clear" w:color="auto" w:fill="auto"/>
          </w:tcPr>
          <w:p w14:paraId="6C730334" w14:textId="77777777" w:rsidR="005902D1" w:rsidRPr="005902D1" w:rsidRDefault="005902D1" w:rsidP="005902D1">
            <w:pPr>
              <w:pStyle w:val="TableText"/>
              <w:rPr>
                <w:spacing w:val="-2"/>
              </w:rPr>
            </w:pPr>
            <w:r w:rsidRPr="005902D1">
              <w:rPr>
                <w:spacing w:val="-2"/>
              </w:rPr>
              <w:t xml:space="preserve">Multiple myeloma (relapsed/refractory, after at least one line of treatment, with dexamethasone, transplant </w:t>
            </w:r>
            <w:proofErr w:type="gramStart"/>
            <w:r w:rsidRPr="005902D1">
              <w:rPr>
                <w:spacing w:val="-2"/>
              </w:rPr>
              <w:t>ineligible)*</w:t>
            </w:r>
            <w:proofErr w:type="gramEnd"/>
            <w:r w:rsidRPr="005902D1">
              <w:rPr>
                <w:spacing w:val="-2"/>
              </w:rPr>
              <w:t>**</w:t>
            </w:r>
          </w:p>
        </w:tc>
      </w:tr>
      <w:tr w:rsidR="005902D1" w14:paraId="0C6A513F" w14:textId="77777777" w:rsidTr="005902D1">
        <w:trPr>
          <w:cantSplit/>
        </w:trPr>
        <w:tc>
          <w:tcPr>
            <w:tcW w:w="2977" w:type="dxa"/>
            <w:tcBorders>
              <w:top w:val="single" w:sz="4" w:space="0" w:color="C2D9BA"/>
              <w:bottom w:val="single" w:sz="4" w:space="0" w:color="C2D9BA"/>
            </w:tcBorders>
            <w:shd w:val="clear" w:color="auto" w:fill="auto"/>
          </w:tcPr>
          <w:p w14:paraId="4F5C5D0E" w14:textId="77777777" w:rsidR="005902D1" w:rsidRPr="00E444B3" w:rsidRDefault="005902D1" w:rsidP="005902D1">
            <w:pPr>
              <w:pStyle w:val="TableText"/>
            </w:pPr>
            <w:r w:rsidRPr="00E444B3">
              <w:t>Letrozole**</w:t>
            </w:r>
          </w:p>
        </w:tc>
        <w:tc>
          <w:tcPr>
            <w:tcW w:w="5103" w:type="dxa"/>
            <w:tcBorders>
              <w:top w:val="single" w:sz="4" w:space="0" w:color="C2D9BA"/>
              <w:bottom w:val="single" w:sz="4" w:space="0" w:color="C2D9BA"/>
            </w:tcBorders>
            <w:shd w:val="clear" w:color="auto" w:fill="auto"/>
          </w:tcPr>
          <w:p w14:paraId="256AC73E" w14:textId="77777777" w:rsidR="005902D1" w:rsidRPr="00E444B3" w:rsidRDefault="005902D1" w:rsidP="005902D1">
            <w:pPr>
              <w:pStyle w:val="TableText"/>
            </w:pPr>
            <w:r w:rsidRPr="00E444B3">
              <w:t>Breast cancer</w:t>
            </w:r>
          </w:p>
        </w:tc>
      </w:tr>
      <w:tr w:rsidR="005902D1" w14:paraId="33131EE8" w14:textId="77777777" w:rsidTr="005902D1">
        <w:trPr>
          <w:cantSplit/>
        </w:trPr>
        <w:tc>
          <w:tcPr>
            <w:tcW w:w="2977" w:type="dxa"/>
            <w:tcBorders>
              <w:top w:val="single" w:sz="4" w:space="0" w:color="C2D9BA"/>
              <w:bottom w:val="single" w:sz="4" w:space="0" w:color="C2D9BA"/>
            </w:tcBorders>
            <w:shd w:val="clear" w:color="auto" w:fill="auto"/>
          </w:tcPr>
          <w:p w14:paraId="65BB8872" w14:textId="77777777" w:rsidR="005902D1" w:rsidRPr="00E444B3" w:rsidRDefault="005902D1" w:rsidP="005902D1">
            <w:pPr>
              <w:pStyle w:val="TableText"/>
            </w:pPr>
            <w:r w:rsidRPr="00E444B3">
              <w:t>Medroxyprogesterone**</w:t>
            </w:r>
          </w:p>
        </w:tc>
        <w:tc>
          <w:tcPr>
            <w:tcW w:w="5103" w:type="dxa"/>
            <w:tcBorders>
              <w:top w:val="single" w:sz="4" w:space="0" w:color="C2D9BA"/>
              <w:bottom w:val="single" w:sz="4" w:space="0" w:color="C2D9BA"/>
            </w:tcBorders>
            <w:shd w:val="clear" w:color="auto" w:fill="auto"/>
          </w:tcPr>
          <w:p w14:paraId="666E5DD8" w14:textId="77777777" w:rsidR="005902D1" w:rsidRPr="00E444B3" w:rsidRDefault="005902D1" w:rsidP="005902D1">
            <w:pPr>
              <w:pStyle w:val="TableText"/>
            </w:pPr>
            <w:r w:rsidRPr="00E444B3">
              <w:t>Breast cancer</w:t>
            </w:r>
          </w:p>
        </w:tc>
      </w:tr>
      <w:tr w:rsidR="005902D1" w14:paraId="0D6EBA3D" w14:textId="77777777" w:rsidTr="005902D1">
        <w:trPr>
          <w:cantSplit/>
        </w:trPr>
        <w:tc>
          <w:tcPr>
            <w:tcW w:w="2977" w:type="dxa"/>
            <w:tcBorders>
              <w:top w:val="single" w:sz="4" w:space="0" w:color="C2D9BA"/>
              <w:bottom w:val="single" w:sz="4" w:space="0" w:color="C2D9BA"/>
            </w:tcBorders>
            <w:shd w:val="clear" w:color="auto" w:fill="auto"/>
          </w:tcPr>
          <w:p w14:paraId="7F957249" w14:textId="77777777" w:rsidR="005902D1" w:rsidRPr="00E444B3" w:rsidRDefault="005902D1" w:rsidP="005902D1">
            <w:pPr>
              <w:pStyle w:val="TableText"/>
            </w:pPr>
            <w:r w:rsidRPr="00E444B3">
              <w:t>Medroxyprogesterone**</w:t>
            </w:r>
          </w:p>
        </w:tc>
        <w:tc>
          <w:tcPr>
            <w:tcW w:w="5103" w:type="dxa"/>
            <w:tcBorders>
              <w:top w:val="single" w:sz="4" w:space="0" w:color="C2D9BA"/>
              <w:bottom w:val="single" w:sz="4" w:space="0" w:color="C2D9BA"/>
            </w:tcBorders>
            <w:shd w:val="clear" w:color="auto" w:fill="auto"/>
          </w:tcPr>
          <w:p w14:paraId="234E49B7" w14:textId="77777777" w:rsidR="005902D1" w:rsidRPr="00E444B3" w:rsidRDefault="005902D1" w:rsidP="005902D1">
            <w:pPr>
              <w:pStyle w:val="TableText"/>
            </w:pPr>
            <w:r w:rsidRPr="00E444B3">
              <w:t>Endometrial cancer</w:t>
            </w:r>
          </w:p>
        </w:tc>
      </w:tr>
      <w:tr w:rsidR="005902D1" w14:paraId="24CDD60C" w14:textId="77777777" w:rsidTr="005902D1">
        <w:trPr>
          <w:cantSplit/>
        </w:trPr>
        <w:tc>
          <w:tcPr>
            <w:tcW w:w="2977" w:type="dxa"/>
            <w:tcBorders>
              <w:top w:val="single" w:sz="4" w:space="0" w:color="C2D9BA"/>
              <w:bottom w:val="single" w:sz="4" w:space="0" w:color="C2D9BA"/>
            </w:tcBorders>
            <w:shd w:val="clear" w:color="auto" w:fill="auto"/>
          </w:tcPr>
          <w:p w14:paraId="6BEB77F2" w14:textId="77777777" w:rsidR="005902D1" w:rsidRPr="00E444B3" w:rsidRDefault="005902D1" w:rsidP="005902D1">
            <w:pPr>
              <w:pStyle w:val="TableText"/>
            </w:pPr>
            <w:r w:rsidRPr="00E444B3">
              <w:t>Melphalan</w:t>
            </w:r>
          </w:p>
        </w:tc>
        <w:tc>
          <w:tcPr>
            <w:tcW w:w="5103" w:type="dxa"/>
            <w:tcBorders>
              <w:top w:val="single" w:sz="4" w:space="0" w:color="C2D9BA"/>
              <w:bottom w:val="single" w:sz="4" w:space="0" w:color="C2D9BA"/>
            </w:tcBorders>
            <w:shd w:val="clear" w:color="auto" w:fill="auto"/>
          </w:tcPr>
          <w:p w14:paraId="43656B30" w14:textId="77777777" w:rsidR="005902D1" w:rsidRPr="00E444B3" w:rsidRDefault="005902D1" w:rsidP="005902D1">
            <w:pPr>
              <w:pStyle w:val="TableText"/>
            </w:pPr>
            <w:r w:rsidRPr="00E444B3">
              <w:t>No restriction on cancer type</w:t>
            </w:r>
          </w:p>
        </w:tc>
      </w:tr>
      <w:tr w:rsidR="005902D1" w14:paraId="5F42B03D" w14:textId="77777777" w:rsidTr="005902D1">
        <w:trPr>
          <w:cantSplit/>
        </w:trPr>
        <w:tc>
          <w:tcPr>
            <w:tcW w:w="2977" w:type="dxa"/>
            <w:tcBorders>
              <w:top w:val="single" w:sz="4" w:space="0" w:color="C2D9BA"/>
              <w:bottom w:val="single" w:sz="4" w:space="0" w:color="C2D9BA"/>
            </w:tcBorders>
            <w:shd w:val="clear" w:color="auto" w:fill="auto"/>
          </w:tcPr>
          <w:p w14:paraId="07995A63" w14:textId="77777777" w:rsidR="005902D1" w:rsidRPr="00E444B3" w:rsidRDefault="005902D1" w:rsidP="005902D1">
            <w:pPr>
              <w:pStyle w:val="TableText"/>
            </w:pPr>
            <w:r w:rsidRPr="00E444B3">
              <w:t>Mercaptopurine</w:t>
            </w:r>
          </w:p>
        </w:tc>
        <w:tc>
          <w:tcPr>
            <w:tcW w:w="5103" w:type="dxa"/>
            <w:tcBorders>
              <w:top w:val="single" w:sz="4" w:space="0" w:color="C2D9BA"/>
              <w:bottom w:val="single" w:sz="4" w:space="0" w:color="C2D9BA"/>
            </w:tcBorders>
            <w:shd w:val="clear" w:color="auto" w:fill="auto"/>
          </w:tcPr>
          <w:p w14:paraId="212D3B25" w14:textId="77777777" w:rsidR="005902D1" w:rsidRPr="00E444B3" w:rsidRDefault="005902D1" w:rsidP="005902D1">
            <w:pPr>
              <w:pStyle w:val="TableText"/>
            </w:pPr>
            <w:r w:rsidRPr="00E444B3">
              <w:t>No restriction on cancer type</w:t>
            </w:r>
          </w:p>
        </w:tc>
      </w:tr>
      <w:tr w:rsidR="005902D1" w14:paraId="0D48EF7B" w14:textId="77777777" w:rsidTr="005902D1">
        <w:trPr>
          <w:cantSplit/>
        </w:trPr>
        <w:tc>
          <w:tcPr>
            <w:tcW w:w="2977" w:type="dxa"/>
            <w:tcBorders>
              <w:top w:val="single" w:sz="4" w:space="0" w:color="C2D9BA"/>
              <w:bottom w:val="single" w:sz="4" w:space="0" w:color="C2D9BA"/>
            </w:tcBorders>
            <w:shd w:val="clear" w:color="auto" w:fill="auto"/>
          </w:tcPr>
          <w:p w14:paraId="1C6FFE09" w14:textId="77777777" w:rsidR="005902D1" w:rsidRPr="00E444B3" w:rsidRDefault="005902D1" w:rsidP="005902D1">
            <w:pPr>
              <w:pStyle w:val="TableText"/>
            </w:pPr>
            <w:r w:rsidRPr="00E444B3">
              <w:t>Methotrexate</w:t>
            </w:r>
          </w:p>
        </w:tc>
        <w:tc>
          <w:tcPr>
            <w:tcW w:w="5103" w:type="dxa"/>
            <w:tcBorders>
              <w:top w:val="single" w:sz="4" w:space="0" w:color="C2D9BA"/>
              <w:bottom w:val="single" w:sz="4" w:space="0" w:color="C2D9BA"/>
            </w:tcBorders>
            <w:shd w:val="clear" w:color="auto" w:fill="auto"/>
          </w:tcPr>
          <w:p w14:paraId="0F716C00" w14:textId="77777777" w:rsidR="005902D1" w:rsidRPr="00E444B3" w:rsidRDefault="005902D1" w:rsidP="005902D1">
            <w:pPr>
              <w:pStyle w:val="TableText"/>
            </w:pPr>
            <w:r w:rsidRPr="00E444B3">
              <w:t>No restriction on cancer type</w:t>
            </w:r>
          </w:p>
        </w:tc>
      </w:tr>
      <w:tr w:rsidR="005902D1" w14:paraId="2D3F38FC" w14:textId="77777777" w:rsidTr="005902D1">
        <w:trPr>
          <w:cantSplit/>
        </w:trPr>
        <w:tc>
          <w:tcPr>
            <w:tcW w:w="2977" w:type="dxa"/>
            <w:tcBorders>
              <w:top w:val="single" w:sz="4" w:space="0" w:color="C2D9BA"/>
              <w:bottom w:val="single" w:sz="4" w:space="0" w:color="C2D9BA"/>
            </w:tcBorders>
            <w:shd w:val="clear" w:color="auto" w:fill="auto"/>
          </w:tcPr>
          <w:p w14:paraId="4217ECFE" w14:textId="77777777" w:rsidR="005902D1" w:rsidRPr="00E444B3" w:rsidRDefault="005902D1" w:rsidP="005902D1">
            <w:pPr>
              <w:pStyle w:val="TableText"/>
              <w:keepNext/>
            </w:pPr>
            <w:r w:rsidRPr="00E444B3">
              <w:lastRenderedPageBreak/>
              <w:t>Mitozantrone</w:t>
            </w:r>
          </w:p>
        </w:tc>
        <w:tc>
          <w:tcPr>
            <w:tcW w:w="5103" w:type="dxa"/>
            <w:tcBorders>
              <w:top w:val="single" w:sz="4" w:space="0" w:color="C2D9BA"/>
              <w:bottom w:val="single" w:sz="4" w:space="0" w:color="C2D9BA"/>
            </w:tcBorders>
            <w:shd w:val="clear" w:color="auto" w:fill="auto"/>
          </w:tcPr>
          <w:p w14:paraId="2AEBA5AA" w14:textId="77777777" w:rsidR="005902D1" w:rsidRPr="00E444B3" w:rsidRDefault="005902D1" w:rsidP="005902D1">
            <w:pPr>
              <w:pStyle w:val="TableText"/>
              <w:keepNext/>
            </w:pPr>
            <w:r w:rsidRPr="00E444B3">
              <w:t>No restriction on cancer type</w:t>
            </w:r>
          </w:p>
        </w:tc>
      </w:tr>
      <w:tr w:rsidR="005902D1" w14:paraId="5CE78B4F" w14:textId="77777777" w:rsidTr="005902D1">
        <w:trPr>
          <w:cantSplit/>
        </w:trPr>
        <w:tc>
          <w:tcPr>
            <w:tcW w:w="2977" w:type="dxa"/>
            <w:tcBorders>
              <w:top w:val="single" w:sz="4" w:space="0" w:color="C2D9BA"/>
              <w:bottom w:val="single" w:sz="4" w:space="0" w:color="C2D9BA"/>
            </w:tcBorders>
            <w:shd w:val="clear" w:color="auto" w:fill="auto"/>
          </w:tcPr>
          <w:p w14:paraId="6D79E74C" w14:textId="77777777" w:rsidR="005902D1" w:rsidRPr="00E444B3" w:rsidRDefault="005902D1" w:rsidP="005902D1">
            <w:pPr>
              <w:pStyle w:val="TableText"/>
            </w:pPr>
            <w:r w:rsidRPr="00E444B3">
              <w:t>Mycobacterium bovis (BCG) TICE strain</w:t>
            </w:r>
          </w:p>
        </w:tc>
        <w:tc>
          <w:tcPr>
            <w:tcW w:w="5103" w:type="dxa"/>
            <w:tcBorders>
              <w:top w:val="single" w:sz="4" w:space="0" w:color="C2D9BA"/>
              <w:bottom w:val="single" w:sz="4" w:space="0" w:color="C2D9BA"/>
            </w:tcBorders>
            <w:shd w:val="clear" w:color="auto" w:fill="auto"/>
          </w:tcPr>
          <w:p w14:paraId="78AB40F2" w14:textId="77777777" w:rsidR="005902D1" w:rsidRPr="00E444B3" w:rsidRDefault="005902D1" w:rsidP="005902D1">
            <w:pPr>
              <w:pStyle w:val="TableText"/>
            </w:pPr>
            <w:r w:rsidRPr="00E444B3">
              <w:t>Urothelial (bladder) cancer</w:t>
            </w:r>
          </w:p>
        </w:tc>
      </w:tr>
      <w:tr w:rsidR="005902D1" w14:paraId="7D88BD8A" w14:textId="77777777" w:rsidTr="005902D1">
        <w:trPr>
          <w:cantSplit/>
        </w:trPr>
        <w:tc>
          <w:tcPr>
            <w:tcW w:w="2977" w:type="dxa"/>
            <w:tcBorders>
              <w:top w:val="single" w:sz="4" w:space="0" w:color="C2D9BA"/>
              <w:bottom w:val="single" w:sz="4" w:space="0" w:color="C2D9BA"/>
            </w:tcBorders>
            <w:shd w:val="clear" w:color="auto" w:fill="auto"/>
          </w:tcPr>
          <w:p w14:paraId="39D8383B" w14:textId="77777777" w:rsidR="005902D1" w:rsidRPr="00E444B3" w:rsidRDefault="005902D1" w:rsidP="005902D1">
            <w:pPr>
              <w:pStyle w:val="TableText"/>
            </w:pPr>
            <w:r w:rsidRPr="00E444B3">
              <w:t>Nilotinib</w:t>
            </w:r>
          </w:p>
        </w:tc>
        <w:tc>
          <w:tcPr>
            <w:tcW w:w="5103" w:type="dxa"/>
            <w:tcBorders>
              <w:top w:val="single" w:sz="4" w:space="0" w:color="C2D9BA"/>
              <w:bottom w:val="single" w:sz="4" w:space="0" w:color="C2D9BA"/>
            </w:tcBorders>
            <w:shd w:val="clear" w:color="auto" w:fill="auto"/>
          </w:tcPr>
          <w:p w14:paraId="36F203CE" w14:textId="77777777" w:rsidR="005902D1" w:rsidRPr="00E444B3" w:rsidRDefault="005902D1" w:rsidP="005902D1">
            <w:pPr>
              <w:pStyle w:val="TableText"/>
            </w:pPr>
            <w:r w:rsidRPr="00E444B3">
              <w:t>Chronic myeloid leukaemia***</w:t>
            </w:r>
          </w:p>
        </w:tc>
      </w:tr>
      <w:tr w:rsidR="005902D1" w14:paraId="558BA0E9" w14:textId="77777777" w:rsidTr="005902D1">
        <w:trPr>
          <w:cantSplit/>
        </w:trPr>
        <w:tc>
          <w:tcPr>
            <w:tcW w:w="2977" w:type="dxa"/>
            <w:tcBorders>
              <w:top w:val="single" w:sz="4" w:space="0" w:color="C2D9BA"/>
              <w:bottom w:val="single" w:sz="4" w:space="0" w:color="C2D9BA"/>
            </w:tcBorders>
            <w:shd w:val="clear" w:color="auto" w:fill="auto"/>
          </w:tcPr>
          <w:p w14:paraId="01DC50D2" w14:textId="77777777" w:rsidR="005902D1" w:rsidRPr="00E444B3" w:rsidRDefault="005902D1" w:rsidP="005902D1">
            <w:pPr>
              <w:pStyle w:val="TableText"/>
            </w:pPr>
            <w:r w:rsidRPr="00E444B3">
              <w:t>Nivolumab</w:t>
            </w:r>
          </w:p>
        </w:tc>
        <w:tc>
          <w:tcPr>
            <w:tcW w:w="5103" w:type="dxa"/>
            <w:tcBorders>
              <w:top w:val="single" w:sz="4" w:space="0" w:color="C2D9BA"/>
              <w:bottom w:val="single" w:sz="4" w:space="0" w:color="C2D9BA"/>
            </w:tcBorders>
            <w:shd w:val="clear" w:color="auto" w:fill="auto"/>
          </w:tcPr>
          <w:p w14:paraId="7C153B29" w14:textId="77777777" w:rsidR="005902D1" w:rsidRPr="00E444B3" w:rsidRDefault="005902D1" w:rsidP="005902D1">
            <w:pPr>
              <w:pStyle w:val="TableText"/>
            </w:pPr>
            <w:r w:rsidRPr="00E444B3">
              <w:t>Melanoma (unresectable)</w:t>
            </w:r>
          </w:p>
        </w:tc>
      </w:tr>
      <w:tr w:rsidR="005902D1" w14:paraId="2AE6A116" w14:textId="77777777" w:rsidTr="005902D1">
        <w:trPr>
          <w:cantSplit/>
        </w:trPr>
        <w:tc>
          <w:tcPr>
            <w:tcW w:w="2977" w:type="dxa"/>
            <w:tcBorders>
              <w:top w:val="single" w:sz="4" w:space="0" w:color="C2D9BA"/>
              <w:bottom w:val="single" w:sz="4" w:space="0" w:color="C2D9BA"/>
            </w:tcBorders>
            <w:shd w:val="clear" w:color="auto" w:fill="auto"/>
          </w:tcPr>
          <w:p w14:paraId="68A8F5B7" w14:textId="77777777" w:rsidR="005902D1" w:rsidRPr="00E444B3" w:rsidRDefault="005902D1" w:rsidP="005902D1">
            <w:pPr>
              <w:pStyle w:val="TableText"/>
            </w:pPr>
            <w:r w:rsidRPr="00E444B3">
              <w:t>Obinutuzumab</w:t>
            </w:r>
          </w:p>
        </w:tc>
        <w:tc>
          <w:tcPr>
            <w:tcW w:w="5103" w:type="dxa"/>
            <w:tcBorders>
              <w:top w:val="single" w:sz="4" w:space="0" w:color="C2D9BA"/>
              <w:bottom w:val="single" w:sz="4" w:space="0" w:color="C2D9BA"/>
            </w:tcBorders>
            <w:shd w:val="clear" w:color="auto" w:fill="auto"/>
          </w:tcPr>
          <w:p w14:paraId="34E75CFA" w14:textId="77777777" w:rsidR="005902D1" w:rsidRPr="00E444B3" w:rsidRDefault="005902D1" w:rsidP="005902D1">
            <w:pPr>
              <w:pStyle w:val="TableText"/>
            </w:pPr>
            <w:r w:rsidRPr="00E444B3">
              <w:t>Chronic lymphocytic leukaemia***</w:t>
            </w:r>
          </w:p>
        </w:tc>
      </w:tr>
      <w:tr w:rsidR="005902D1" w14:paraId="1DAAA85C" w14:textId="77777777" w:rsidTr="005902D1">
        <w:trPr>
          <w:cantSplit/>
        </w:trPr>
        <w:tc>
          <w:tcPr>
            <w:tcW w:w="2977" w:type="dxa"/>
            <w:tcBorders>
              <w:top w:val="single" w:sz="4" w:space="0" w:color="C2D9BA"/>
              <w:bottom w:val="single" w:sz="4" w:space="0" w:color="C2D9BA"/>
            </w:tcBorders>
            <w:shd w:val="clear" w:color="auto" w:fill="auto"/>
          </w:tcPr>
          <w:p w14:paraId="6CBEA0A8" w14:textId="77777777" w:rsidR="005902D1" w:rsidRPr="00E444B3" w:rsidRDefault="005902D1" w:rsidP="005902D1">
            <w:pPr>
              <w:pStyle w:val="TableText"/>
            </w:pPr>
            <w:r w:rsidRPr="00E444B3">
              <w:t>Octreotide (long</w:t>
            </w:r>
            <w:r>
              <w:t xml:space="preserve"> </w:t>
            </w:r>
            <w:r w:rsidRPr="00E444B3">
              <w:t>acting)</w:t>
            </w:r>
          </w:p>
        </w:tc>
        <w:tc>
          <w:tcPr>
            <w:tcW w:w="5103" w:type="dxa"/>
            <w:tcBorders>
              <w:top w:val="single" w:sz="4" w:space="0" w:color="C2D9BA"/>
              <w:bottom w:val="single" w:sz="4" w:space="0" w:color="C2D9BA"/>
            </w:tcBorders>
            <w:shd w:val="clear" w:color="auto" w:fill="auto"/>
          </w:tcPr>
          <w:p w14:paraId="68263ACD" w14:textId="77777777" w:rsidR="005902D1" w:rsidRPr="00E444B3" w:rsidRDefault="005902D1" w:rsidP="005902D1">
            <w:pPr>
              <w:pStyle w:val="TableText"/>
            </w:pPr>
            <w:r w:rsidRPr="00E444B3">
              <w:t>Neuroendocrine cancer (functional)</w:t>
            </w:r>
          </w:p>
        </w:tc>
      </w:tr>
      <w:tr w:rsidR="005902D1" w14:paraId="1AE9DC1D" w14:textId="77777777" w:rsidTr="005902D1">
        <w:trPr>
          <w:cantSplit/>
        </w:trPr>
        <w:tc>
          <w:tcPr>
            <w:tcW w:w="2977" w:type="dxa"/>
            <w:tcBorders>
              <w:top w:val="single" w:sz="4" w:space="0" w:color="C2D9BA"/>
              <w:bottom w:val="single" w:sz="4" w:space="0" w:color="C2D9BA"/>
            </w:tcBorders>
            <w:shd w:val="clear" w:color="auto" w:fill="auto"/>
          </w:tcPr>
          <w:p w14:paraId="37099BC0" w14:textId="77777777" w:rsidR="005902D1" w:rsidRPr="00E444B3" w:rsidRDefault="005902D1" w:rsidP="005902D1">
            <w:pPr>
              <w:pStyle w:val="TableText"/>
            </w:pPr>
            <w:r w:rsidRPr="00E444B3">
              <w:t>Olaparib</w:t>
            </w:r>
          </w:p>
        </w:tc>
        <w:tc>
          <w:tcPr>
            <w:tcW w:w="5103" w:type="dxa"/>
            <w:tcBorders>
              <w:top w:val="single" w:sz="4" w:space="0" w:color="C2D9BA"/>
              <w:bottom w:val="single" w:sz="4" w:space="0" w:color="C2D9BA"/>
            </w:tcBorders>
            <w:shd w:val="clear" w:color="auto" w:fill="auto"/>
          </w:tcPr>
          <w:p w14:paraId="06A8F5C9" w14:textId="77777777" w:rsidR="005902D1" w:rsidRPr="00E444B3" w:rsidRDefault="005902D1" w:rsidP="005902D1">
            <w:pPr>
              <w:pStyle w:val="TableText"/>
            </w:pPr>
            <w:r w:rsidRPr="00E444B3">
              <w:t>Ovarian cancer (</w:t>
            </w:r>
            <w:r>
              <w:t>second</w:t>
            </w:r>
            <w:r w:rsidRPr="00E444B3">
              <w:t xml:space="preserve"> line)</w:t>
            </w:r>
          </w:p>
        </w:tc>
      </w:tr>
      <w:tr w:rsidR="005902D1" w14:paraId="4AEE9C66" w14:textId="77777777" w:rsidTr="005902D1">
        <w:trPr>
          <w:cantSplit/>
        </w:trPr>
        <w:tc>
          <w:tcPr>
            <w:tcW w:w="2977" w:type="dxa"/>
            <w:tcBorders>
              <w:top w:val="single" w:sz="4" w:space="0" w:color="C2D9BA"/>
              <w:bottom w:val="single" w:sz="4" w:space="0" w:color="C2D9BA"/>
            </w:tcBorders>
            <w:shd w:val="clear" w:color="auto" w:fill="auto"/>
          </w:tcPr>
          <w:p w14:paraId="18AE11F0" w14:textId="77777777" w:rsidR="005902D1" w:rsidRPr="00E444B3" w:rsidRDefault="005902D1" w:rsidP="005902D1">
            <w:pPr>
              <w:pStyle w:val="TableText"/>
            </w:pPr>
            <w:r w:rsidRPr="00E444B3">
              <w:t>Oxaliplatin</w:t>
            </w:r>
          </w:p>
        </w:tc>
        <w:tc>
          <w:tcPr>
            <w:tcW w:w="5103" w:type="dxa"/>
            <w:tcBorders>
              <w:top w:val="single" w:sz="4" w:space="0" w:color="C2D9BA"/>
              <w:bottom w:val="single" w:sz="4" w:space="0" w:color="C2D9BA"/>
            </w:tcBorders>
            <w:shd w:val="clear" w:color="auto" w:fill="auto"/>
          </w:tcPr>
          <w:p w14:paraId="68F2F003" w14:textId="77777777" w:rsidR="005902D1" w:rsidRPr="00E444B3" w:rsidRDefault="005902D1" w:rsidP="005902D1">
            <w:pPr>
              <w:pStyle w:val="TableText"/>
            </w:pPr>
            <w:r w:rsidRPr="00E444B3">
              <w:t>No restriction on cancer type</w:t>
            </w:r>
          </w:p>
        </w:tc>
      </w:tr>
      <w:tr w:rsidR="005902D1" w14:paraId="27CD316A" w14:textId="77777777" w:rsidTr="005902D1">
        <w:trPr>
          <w:cantSplit/>
        </w:trPr>
        <w:tc>
          <w:tcPr>
            <w:tcW w:w="2977" w:type="dxa"/>
            <w:tcBorders>
              <w:top w:val="single" w:sz="4" w:space="0" w:color="C2D9BA"/>
              <w:bottom w:val="single" w:sz="4" w:space="0" w:color="C2D9BA"/>
            </w:tcBorders>
            <w:shd w:val="clear" w:color="auto" w:fill="auto"/>
          </w:tcPr>
          <w:p w14:paraId="3EF2D1D1" w14:textId="77777777" w:rsidR="005902D1" w:rsidRPr="00E444B3" w:rsidRDefault="005902D1" w:rsidP="005902D1">
            <w:pPr>
              <w:pStyle w:val="TableText"/>
            </w:pPr>
            <w:r w:rsidRPr="00E444B3">
              <w:t>Paclitaxel</w:t>
            </w:r>
          </w:p>
        </w:tc>
        <w:tc>
          <w:tcPr>
            <w:tcW w:w="5103" w:type="dxa"/>
            <w:tcBorders>
              <w:top w:val="single" w:sz="4" w:space="0" w:color="C2D9BA"/>
              <w:bottom w:val="single" w:sz="4" w:space="0" w:color="C2D9BA"/>
            </w:tcBorders>
            <w:shd w:val="clear" w:color="auto" w:fill="auto"/>
          </w:tcPr>
          <w:p w14:paraId="046813D3" w14:textId="77777777" w:rsidR="005902D1" w:rsidRPr="00E444B3" w:rsidRDefault="005902D1" w:rsidP="005902D1">
            <w:pPr>
              <w:pStyle w:val="TableText"/>
            </w:pPr>
            <w:r w:rsidRPr="00E444B3">
              <w:t>No restriction on cancer type</w:t>
            </w:r>
          </w:p>
        </w:tc>
      </w:tr>
      <w:tr w:rsidR="005902D1" w14:paraId="404FDC5C" w14:textId="77777777" w:rsidTr="005902D1">
        <w:trPr>
          <w:cantSplit/>
        </w:trPr>
        <w:tc>
          <w:tcPr>
            <w:tcW w:w="2977" w:type="dxa"/>
            <w:tcBorders>
              <w:top w:val="single" w:sz="4" w:space="0" w:color="C2D9BA"/>
              <w:bottom w:val="single" w:sz="4" w:space="0" w:color="C2D9BA"/>
            </w:tcBorders>
            <w:shd w:val="clear" w:color="auto" w:fill="auto"/>
          </w:tcPr>
          <w:p w14:paraId="05ED65FC" w14:textId="77777777" w:rsidR="005902D1" w:rsidRPr="00E444B3" w:rsidRDefault="005902D1" w:rsidP="005902D1">
            <w:pPr>
              <w:pStyle w:val="TableText"/>
            </w:pPr>
            <w:r w:rsidRPr="00E444B3">
              <w:t>Palbociclib</w:t>
            </w:r>
          </w:p>
        </w:tc>
        <w:tc>
          <w:tcPr>
            <w:tcW w:w="5103" w:type="dxa"/>
            <w:tcBorders>
              <w:top w:val="single" w:sz="4" w:space="0" w:color="C2D9BA"/>
              <w:bottom w:val="single" w:sz="4" w:space="0" w:color="C2D9BA"/>
            </w:tcBorders>
            <w:shd w:val="clear" w:color="auto" w:fill="auto"/>
          </w:tcPr>
          <w:p w14:paraId="7F6E2A0B" w14:textId="77777777" w:rsidR="005902D1" w:rsidRPr="00E444B3" w:rsidRDefault="005902D1" w:rsidP="005902D1">
            <w:pPr>
              <w:pStyle w:val="TableText"/>
            </w:pPr>
            <w:r w:rsidRPr="00E444B3">
              <w:t>Breast cancer</w:t>
            </w:r>
          </w:p>
        </w:tc>
      </w:tr>
      <w:tr w:rsidR="005902D1" w14:paraId="305A8673" w14:textId="77777777" w:rsidTr="005902D1">
        <w:trPr>
          <w:cantSplit/>
        </w:trPr>
        <w:tc>
          <w:tcPr>
            <w:tcW w:w="2977" w:type="dxa"/>
            <w:tcBorders>
              <w:top w:val="single" w:sz="4" w:space="0" w:color="C2D9BA"/>
              <w:bottom w:val="single" w:sz="4" w:space="0" w:color="C2D9BA"/>
            </w:tcBorders>
            <w:shd w:val="clear" w:color="auto" w:fill="auto"/>
          </w:tcPr>
          <w:p w14:paraId="52C592B5" w14:textId="77777777" w:rsidR="005902D1" w:rsidRPr="00E444B3" w:rsidRDefault="005902D1" w:rsidP="005902D1">
            <w:pPr>
              <w:pStyle w:val="TableText"/>
            </w:pPr>
            <w:r w:rsidRPr="00E444B3">
              <w:t>Pazopanib</w:t>
            </w:r>
          </w:p>
        </w:tc>
        <w:tc>
          <w:tcPr>
            <w:tcW w:w="5103" w:type="dxa"/>
            <w:tcBorders>
              <w:top w:val="single" w:sz="4" w:space="0" w:color="C2D9BA"/>
              <w:bottom w:val="single" w:sz="4" w:space="0" w:color="C2D9BA"/>
            </w:tcBorders>
            <w:shd w:val="clear" w:color="auto" w:fill="auto"/>
          </w:tcPr>
          <w:p w14:paraId="009A0911" w14:textId="77777777" w:rsidR="005902D1" w:rsidRPr="002E09B2" w:rsidRDefault="005902D1" w:rsidP="005902D1">
            <w:pPr>
              <w:pStyle w:val="TableText"/>
              <w:rPr>
                <w:highlight w:val="yellow"/>
              </w:rPr>
            </w:pPr>
            <w:r w:rsidRPr="00DC17CB">
              <w:t>Renal cell carcinoma</w:t>
            </w:r>
          </w:p>
        </w:tc>
      </w:tr>
      <w:tr w:rsidR="005902D1" w14:paraId="7A1A0BE0" w14:textId="77777777" w:rsidTr="005902D1">
        <w:trPr>
          <w:cantSplit/>
        </w:trPr>
        <w:tc>
          <w:tcPr>
            <w:tcW w:w="2977" w:type="dxa"/>
            <w:tcBorders>
              <w:top w:val="single" w:sz="4" w:space="0" w:color="C2D9BA"/>
              <w:bottom w:val="single" w:sz="4" w:space="0" w:color="C2D9BA"/>
            </w:tcBorders>
            <w:shd w:val="clear" w:color="auto" w:fill="auto"/>
          </w:tcPr>
          <w:p w14:paraId="1BE4C93D" w14:textId="77777777" w:rsidR="005902D1" w:rsidRPr="00E444B3" w:rsidRDefault="005902D1" w:rsidP="005902D1">
            <w:pPr>
              <w:pStyle w:val="TableText"/>
            </w:pPr>
            <w:r w:rsidRPr="00E444B3">
              <w:t>Pembrolizumab</w:t>
            </w:r>
          </w:p>
        </w:tc>
        <w:tc>
          <w:tcPr>
            <w:tcW w:w="5103" w:type="dxa"/>
            <w:tcBorders>
              <w:top w:val="single" w:sz="4" w:space="0" w:color="C2D9BA"/>
              <w:bottom w:val="single" w:sz="4" w:space="0" w:color="C2D9BA"/>
            </w:tcBorders>
            <w:shd w:val="clear" w:color="auto" w:fill="auto"/>
          </w:tcPr>
          <w:p w14:paraId="3308F7E0" w14:textId="77777777" w:rsidR="005902D1" w:rsidRPr="00E444B3" w:rsidRDefault="005902D1" w:rsidP="005902D1">
            <w:pPr>
              <w:pStyle w:val="TableText"/>
            </w:pPr>
            <w:r w:rsidRPr="00E444B3">
              <w:t>Melanoma (unresectable)</w:t>
            </w:r>
          </w:p>
        </w:tc>
      </w:tr>
      <w:tr w:rsidR="005902D1" w14:paraId="729C2335" w14:textId="77777777" w:rsidTr="005902D1">
        <w:trPr>
          <w:cantSplit/>
        </w:trPr>
        <w:tc>
          <w:tcPr>
            <w:tcW w:w="2977" w:type="dxa"/>
            <w:tcBorders>
              <w:top w:val="single" w:sz="4" w:space="0" w:color="C2D9BA"/>
              <w:bottom w:val="single" w:sz="4" w:space="0" w:color="C2D9BA"/>
            </w:tcBorders>
            <w:shd w:val="clear" w:color="auto" w:fill="auto"/>
          </w:tcPr>
          <w:p w14:paraId="54467B1C" w14:textId="77777777" w:rsidR="005902D1" w:rsidRPr="00E444B3" w:rsidRDefault="005902D1" w:rsidP="005902D1">
            <w:pPr>
              <w:pStyle w:val="TableText"/>
            </w:pPr>
            <w:r w:rsidRPr="00E444B3">
              <w:t>Pemetrexed</w:t>
            </w:r>
            <w:r>
              <w:t>*</w:t>
            </w:r>
          </w:p>
        </w:tc>
        <w:tc>
          <w:tcPr>
            <w:tcW w:w="5103" w:type="dxa"/>
            <w:tcBorders>
              <w:top w:val="single" w:sz="4" w:space="0" w:color="C2D9BA"/>
              <w:bottom w:val="single" w:sz="4" w:space="0" w:color="C2D9BA"/>
            </w:tcBorders>
            <w:shd w:val="clear" w:color="auto" w:fill="auto"/>
          </w:tcPr>
          <w:p w14:paraId="2EEDC49A" w14:textId="77777777" w:rsidR="005902D1" w:rsidRPr="00E444B3" w:rsidRDefault="005902D1" w:rsidP="005902D1">
            <w:pPr>
              <w:pStyle w:val="TableText"/>
            </w:pPr>
            <w:r w:rsidRPr="00E444B3">
              <w:t>Mesothelioma</w:t>
            </w:r>
          </w:p>
        </w:tc>
      </w:tr>
      <w:tr w:rsidR="005902D1" w14:paraId="10F6C054" w14:textId="77777777" w:rsidTr="005902D1">
        <w:trPr>
          <w:cantSplit/>
        </w:trPr>
        <w:tc>
          <w:tcPr>
            <w:tcW w:w="2977" w:type="dxa"/>
            <w:tcBorders>
              <w:top w:val="single" w:sz="4" w:space="0" w:color="C2D9BA"/>
              <w:bottom w:val="single" w:sz="4" w:space="0" w:color="C2D9BA"/>
            </w:tcBorders>
            <w:shd w:val="clear" w:color="auto" w:fill="auto"/>
          </w:tcPr>
          <w:p w14:paraId="6AFF8B3B" w14:textId="77777777" w:rsidR="005902D1" w:rsidRPr="00E444B3" w:rsidRDefault="005902D1" w:rsidP="005902D1">
            <w:pPr>
              <w:pStyle w:val="TableText"/>
            </w:pPr>
            <w:r w:rsidRPr="00E444B3">
              <w:t>Pemetrexed</w:t>
            </w:r>
            <w:r>
              <w:t>*</w:t>
            </w:r>
          </w:p>
        </w:tc>
        <w:tc>
          <w:tcPr>
            <w:tcW w:w="5103" w:type="dxa"/>
            <w:tcBorders>
              <w:top w:val="single" w:sz="4" w:space="0" w:color="C2D9BA"/>
              <w:bottom w:val="single" w:sz="4" w:space="0" w:color="C2D9BA"/>
            </w:tcBorders>
            <w:shd w:val="clear" w:color="auto" w:fill="auto"/>
          </w:tcPr>
          <w:p w14:paraId="688D54B0" w14:textId="77777777" w:rsidR="005902D1" w:rsidRPr="00E444B3" w:rsidRDefault="005902D1" w:rsidP="005902D1">
            <w:pPr>
              <w:pStyle w:val="TableText"/>
            </w:pPr>
            <w:r w:rsidRPr="00E444B3">
              <w:t>Non-small cell lung cancer</w:t>
            </w:r>
          </w:p>
        </w:tc>
      </w:tr>
      <w:tr w:rsidR="005902D1" w14:paraId="1E6A0F62" w14:textId="77777777" w:rsidTr="005902D1">
        <w:trPr>
          <w:cantSplit/>
        </w:trPr>
        <w:tc>
          <w:tcPr>
            <w:tcW w:w="2977" w:type="dxa"/>
            <w:tcBorders>
              <w:top w:val="single" w:sz="4" w:space="0" w:color="C2D9BA"/>
              <w:bottom w:val="single" w:sz="4" w:space="0" w:color="C2D9BA"/>
            </w:tcBorders>
            <w:shd w:val="clear" w:color="auto" w:fill="auto"/>
          </w:tcPr>
          <w:p w14:paraId="653D0891" w14:textId="77777777" w:rsidR="005902D1" w:rsidRPr="00E444B3" w:rsidRDefault="005902D1" w:rsidP="005902D1">
            <w:pPr>
              <w:pStyle w:val="TableText"/>
            </w:pPr>
            <w:r w:rsidRPr="00E444B3">
              <w:t>Pertuzumab</w:t>
            </w:r>
          </w:p>
        </w:tc>
        <w:tc>
          <w:tcPr>
            <w:tcW w:w="5103" w:type="dxa"/>
            <w:tcBorders>
              <w:top w:val="single" w:sz="4" w:space="0" w:color="C2D9BA"/>
              <w:bottom w:val="single" w:sz="4" w:space="0" w:color="C2D9BA"/>
            </w:tcBorders>
            <w:shd w:val="clear" w:color="auto" w:fill="auto"/>
          </w:tcPr>
          <w:p w14:paraId="717E8966" w14:textId="77777777" w:rsidR="005902D1" w:rsidRPr="00E444B3" w:rsidRDefault="005902D1" w:rsidP="005902D1">
            <w:pPr>
              <w:pStyle w:val="TableText"/>
            </w:pPr>
            <w:r w:rsidRPr="00E444B3">
              <w:t>Breast cancer</w:t>
            </w:r>
          </w:p>
        </w:tc>
      </w:tr>
      <w:tr w:rsidR="005902D1" w14:paraId="2FCE99B7" w14:textId="77777777" w:rsidTr="005902D1">
        <w:trPr>
          <w:cantSplit/>
        </w:trPr>
        <w:tc>
          <w:tcPr>
            <w:tcW w:w="2977" w:type="dxa"/>
            <w:tcBorders>
              <w:top w:val="single" w:sz="4" w:space="0" w:color="C2D9BA"/>
              <w:bottom w:val="single" w:sz="4" w:space="0" w:color="C2D9BA"/>
            </w:tcBorders>
            <w:shd w:val="clear" w:color="auto" w:fill="auto"/>
          </w:tcPr>
          <w:p w14:paraId="65DCE9DB" w14:textId="77777777" w:rsidR="005902D1" w:rsidRPr="00E444B3" w:rsidRDefault="005902D1" w:rsidP="005902D1">
            <w:pPr>
              <w:pStyle w:val="TableText"/>
            </w:pPr>
            <w:r w:rsidRPr="00E444B3">
              <w:t>Rituximab</w:t>
            </w:r>
          </w:p>
        </w:tc>
        <w:tc>
          <w:tcPr>
            <w:tcW w:w="5103" w:type="dxa"/>
            <w:tcBorders>
              <w:top w:val="single" w:sz="4" w:space="0" w:color="C2D9BA"/>
              <w:bottom w:val="single" w:sz="4" w:space="0" w:color="C2D9BA"/>
            </w:tcBorders>
            <w:shd w:val="clear" w:color="auto" w:fill="auto"/>
          </w:tcPr>
          <w:p w14:paraId="67046CCB" w14:textId="77777777" w:rsidR="005902D1" w:rsidRPr="00E444B3" w:rsidRDefault="005902D1" w:rsidP="005902D1">
            <w:pPr>
              <w:pStyle w:val="TableText"/>
            </w:pPr>
            <w:r w:rsidRPr="00E444B3">
              <w:t>Acute lymphoblastic leukaemia***</w:t>
            </w:r>
          </w:p>
        </w:tc>
      </w:tr>
      <w:tr w:rsidR="005902D1" w14:paraId="1711D4D3" w14:textId="77777777" w:rsidTr="005902D1">
        <w:trPr>
          <w:cantSplit/>
        </w:trPr>
        <w:tc>
          <w:tcPr>
            <w:tcW w:w="2977" w:type="dxa"/>
            <w:tcBorders>
              <w:top w:val="single" w:sz="4" w:space="0" w:color="C2D9BA"/>
              <w:bottom w:val="single" w:sz="4" w:space="0" w:color="C2D9BA"/>
            </w:tcBorders>
            <w:shd w:val="clear" w:color="auto" w:fill="auto"/>
          </w:tcPr>
          <w:p w14:paraId="23EBBF86" w14:textId="77777777" w:rsidR="005902D1" w:rsidRPr="00E444B3" w:rsidRDefault="005902D1" w:rsidP="005902D1">
            <w:pPr>
              <w:pStyle w:val="TableText"/>
            </w:pPr>
            <w:r w:rsidRPr="00E444B3">
              <w:t>Rituximab</w:t>
            </w:r>
          </w:p>
        </w:tc>
        <w:tc>
          <w:tcPr>
            <w:tcW w:w="5103" w:type="dxa"/>
            <w:tcBorders>
              <w:top w:val="single" w:sz="4" w:space="0" w:color="C2D9BA"/>
              <w:bottom w:val="single" w:sz="4" w:space="0" w:color="C2D9BA"/>
            </w:tcBorders>
            <w:shd w:val="clear" w:color="auto" w:fill="auto"/>
          </w:tcPr>
          <w:p w14:paraId="261F3A71" w14:textId="77777777" w:rsidR="005902D1" w:rsidRPr="00E444B3" w:rsidRDefault="005902D1" w:rsidP="005902D1">
            <w:pPr>
              <w:pStyle w:val="TableText"/>
            </w:pPr>
            <w:r w:rsidRPr="00E444B3">
              <w:t>B-cell lymphoma</w:t>
            </w:r>
            <w:r>
              <w:t xml:space="preserve"> (induction/re-</w:t>
            </w:r>
            <w:proofErr w:type="gramStart"/>
            <w:r>
              <w:t>induction)*</w:t>
            </w:r>
            <w:proofErr w:type="gramEnd"/>
            <w:r>
              <w:t>**</w:t>
            </w:r>
          </w:p>
        </w:tc>
      </w:tr>
      <w:tr w:rsidR="005902D1" w14:paraId="4B4F41A1" w14:textId="77777777" w:rsidTr="005902D1">
        <w:trPr>
          <w:cantSplit/>
        </w:trPr>
        <w:tc>
          <w:tcPr>
            <w:tcW w:w="2977" w:type="dxa"/>
            <w:tcBorders>
              <w:top w:val="single" w:sz="4" w:space="0" w:color="C2D9BA"/>
              <w:bottom w:val="single" w:sz="4" w:space="0" w:color="C2D9BA"/>
            </w:tcBorders>
            <w:shd w:val="clear" w:color="auto" w:fill="auto"/>
          </w:tcPr>
          <w:p w14:paraId="221E58FA" w14:textId="77777777" w:rsidR="005902D1" w:rsidRPr="00E444B3" w:rsidRDefault="005902D1" w:rsidP="005902D1">
            <w:pPr>
              <w:pStyle w:val="TableText"/>
            </w:pPr>
            <w:r w:rsidRPr="00E444B3">
              <w:t>Rituximab</w:t>
            </w:r>
          </w:p>
        </w:tc>
        <w:tc>
          <w:tcPr>
            <w:tcW w:w="5103" w:type="dxa"/>
            <w:tcBorders>
              <w:top w:val="single" w:sz="4" w:space="0" w:color="C2D9BA"/>
              <w:bottom w:val="single" w:sz="4" w:space="0" w:color="C2D9BA"/>
            </w:tcBorders>
            <w:shd w:val="clear" w:color="auto" w:fill="auto"/>
          </w:tcPr>
          <w:p w14:paraId="01483CC0" w14:textId="77777777" w:rsidR="005902D1" w:rsidRPr="00E444B3" w:rsidRDefault="005902D1" w:rsidP="005902D1">
            <w:pPr>
              <w:pStyle w:val="TableText"/>
            </w:pPr>
            <w:r w:rsidRPr="00E444B3">
              <w:t>B-cell lymphoma</w:t>
            </w:r>
            <w:r>
              <w:t xml:space="preserve"> (maintenance)***</w:t>
            </w:r>
          </w:p>
        </w:tc>
      </w:tr>
      <w:tr w:rsidR="005902D1" w14:paraId="6705A836" w14:textId="77777777" w:rsidTr="005902D1">
        <w:trPr>
          <w:cantSplit/>
        </w:trPr>
        <w:tc>
          <w:tcPr>
            <w:tcW w:w="2977" w:type="dxa"/>
            <w:tcBorders>
              <w:top w:val="single" w:sz="4" w:space="0" w:color="C2D9BA"/>
              <w:bottom w:val="single" w:sz="4" w:space="0" w:color="C2D9BA"/>
            </w:tcBorders>
            <w:shd w:val="clear" w:color="auto" w:fill="auto"/>
          </w:tcPr>
          <w:p w14:paraId="3A9599F4" w14:textId="77777777" w:rsidR="005902D1" w:rsidRPr="00E444B3" w:rsidRDefault="005902D1" w:rsidP="005902D1">
            <w:pPr>
              <w:pStyle w:val="TableText"/>
            </w:pPr>
            <w:r w:rsidRPr="00E444B3">
              <w:t>Rituximab</w:t>
            </w:r>
          </w:p>
        </w:tc>
        <w:tc>
          <w:tcPr>
            <w:tcW w:w="5103" w:type="dxa"/>
            <w:tcBorders>
              <w:top w:val="single" w:sz="4" w:space="0" w:color="C2D9BA"/>
              <w:bottom w:val="single" w:sz="4" w:space="0" w:color="C2D9BA"/>
            </w:tcBorders>
            <w:shd w:val="clear" w:color="auto" w:fill="auto"/>
          </w:tcPr>
          <w:p w14:paraId="183FEA21" w14:textId="77777777" w:rsidR="005902D1" w:rsidRPr="00E444B3" w:rsidRDefault="005902D1" w:rsidP="005902D1">
            <w:pPr>
              <w:pStyle w:val="TableText"/>
            </w:pPr>
            <w:r w:rsidRPr="00E444B3">
              <w:t>Chronic lymphocytic leukaemia***</w:t>
            </w:r>
          </w:p>
        </w:tc>
      </w:tr>
      <w:tr w:rsidR="005902D1" w14:paraId="002E9AF5" w14:textId="77777777" w:rsidTr="005902D1">
        <w:trPr>
          <w:cantSplit/>
        </w:trPr>
        <w:tc>
          <w:tcPr>
            <w:tcW w:w="2977" w:type="dxa"/>
            <w:tcBorders>
              <w:top w:val="single" w:sz="4" w:space="0" w:color="C2D9BA"/>
              <w:bottom w:val="single" w:sz="4" w:space="0" w:color="C2D9BA"/>
            </w:tcBorders>
            <w:shd w:val="clear" w:color="auto" w:fill="auto"/>
          </w:tcPr>
          <w:p w14:paraId="5F13109C" w14:textId="77777777" w:rsidR="005902D1" w:rsidRPr="00E444B3" w:rsidRDefault="005902D1" w:rsidP="005902D1">
            <w:pPr>
              <w:pStyle w:val="TableText"/>
            </w:pPr>
            <w:r w:rsidRPr="00E444B3">
              <w:t>Sunitinib</w:t>
            </w:r>
          </w:p>
        </w:tc>
        <w:tc>
          <w:tcPr>
            <w:tcW w:w="5103" w:type="dxa"/>
            <w:tcBorders>
              <w:top w:val="single" w:sz="4" w:space="0" w:color="C2D9BA"/>
              <w:bottom w:val="single" w:sz="4" w:space="0" w:color="C2D9BA"/>
            </w:tcBorders>
            <w:shd w:val="clear" w:color="auto" w:fill="auto"/>
          </w:tcPr>
          <w:p w14:paraId="79710736" w14:textId="77777777" w:rsidR="005902D1" w:rsidRPr="00E444B3" w:rsidRDefault="005902D1" w:rsidP="005902D1">
            <w:pPr>
              <w:pStyle w:val="TableText"/>
            </w:pPr>
            <w:r w:rsidRPr="00E444B3">
              <w:t>Renal cell carcinoma</w:t>
            </w:r>
          </w:p>
        </w:tc>
      </w:tr>
      <w:tr w:rsidR="005902D1" w14:paraId="53A0768F" w14:textId="77777777" w:rsidTr="005902D1">
        <w:trPr>
          <w:cantSplit/>
        </w:trPr>
        <w:tc>
          <w:tcPr>
            <w:tcW w:w="2977" w:type="dxa"/>
            <w:tcBorders>
              <w:top w:val="single" w:sz="4" w:space="0" w:color="C2D9BA"/>
              <w:bottom w:val="single" w:sz="4" w:space="0" w:color="C2D9BA"/>
            </w:tcBorders>
            <w:shd w:val="clear" w:color="auto" w:fill="auto"/>
          </w:tcPr>
          <w:p w14:paraId="16FB51B1" w14:textId="77777777" w:rsidR="005902D1" w:rsidRPr="00E444B3" w:rsidRDefault="005902D1" w:rsidP="005902D1">
            <w:pPr>
              <w:pStyle w:val="TableText"/>
            </w:pPr>
            <w:r w:rsidRPr="00E444B3">
              <w:t>Sunitinib</w:t>
            </w:r>
          </w:p>
        </w:tc>
        <w:tc>
          <w:tcPr>
            <w:tcW w:w="5103" w:type="dxa"/>
            <w:tcBorders>
              <w:top w:val="single" w:sz="4" w:space="0" w:color="C2D9BA"/>
              <w:bottom w:val="single" w:sz="4" w:space="0" w:color="C2D9BA"/>
            </w:tcBorders>
            <w:shd w:val="clear" w:color="auto" w:fill="auto"/>
          </w:tcPr>
          <w:p w14:paraId="4279BEFB" w14:textId="77777777" w:rsidR="005902D1" w:rsidRPr="00E444B3" w:rsidRDefault="005902D1" w:rsidP="005902D1">
            <w:pPr>
              <w:pStyle w:val="TableText"/>
            </w:pPr>
            <w:r w:rsidRPr="00E444B3">
              <w:t>Gastrointestinal stromal tumour</w:t>
            </w:r>
          </w:p>
        </w:tc>
      </w:tr>
      <w:tr w:rsidR="005902D1" w14:paraId="0D09F1B4" w14:textId="77777777" w:rsidTr="005902D1">
        <w:trPr>
          <w:cantSplit/>
        </w:trPr>
        <w:tc>
          <w:tcPr>
            <w:tcW w:w="2977" w:type="dxa"/>
            <w:tcBorders>
              <w:top w:val="single" w:sz="4" w:space="0" w:color="C2D9BA"/>
              <w:bottom w:val="single" w:sz="4" w:space="0" w:color="C2D9BA"/>
            </w:tcBorders>
            <w:shd w:val="clear" w:color="auto" w:fill="auto"/>
          </w:tcPr>
          <w:p w14:paraId="4DF13406" w14:textId="77777777" w:rsidR="005902D1" w:rsidRPr="00E444B3" w:rsidRDefault="005902D1" w:rsidP="005902D1">
            <w:pPr>
              <w:pStyle w:val="TableText"/>
            </w:pPr>
            <w:r w:rsidRPr="00E444B3">
              <w:t>Tamoxifen**</w:t>
            </w:r>
          </w:p>
        </w:tc>
        <w:tc>
          <w:tcPr>
            <w:tcW w:w="5103" w:type="dxa"/>
            <w:tcBorders>
              <w:top w:val="single" w:sz="4" w:space="0" w:color="C2D9BA"/>
              <w:bottom w:val="single" w:sz="4" w:space="0" w:color="C2D9BA"/>
            </w:tcBorders>
            <w:shd w:val="clear" w:color="auto" w:fill="auto"/>
          </w:tcPr>
          <w:p w14:paraId="3965AF7C" w14:textId="77777777" w:rsidR="005902D1" w:rsidRPr="00E444B3" w:rsidRDefault="005902D1" w:rsidP="005902D1">
            <w:pPr>
              <w:pStyle w:val="TableText"/>
            </w:pPr>
            <w:r w:rsidRPr="00E444B3">
              <w:t>Breast cancer</w:t>
            </w:r>
          </w:p>
        </w:tc>
      </w:tr>
      <w:tr w:rsidR="005902D1" w14:paraId="528DF13C" w14:textId="77777777" w:rsidTr="005902D1">
        <w:trPr>
          <w:cantSplit/>
        </w:trPr>
        <w:tc>
          <w:tcPr>
            <w:tcW w:w="2977" w:type="dxa"/>
            <w:tcBorders>
              <w:top w:val="single" w:sz="4" w:space="0" w:color="C2D9BA"/>
              <w:bottom w:val="single" w:sz="4" w:space="0" w:color="C2D9BA"/>
            </w:tcBorders>
            <w:shd w:val="clear" w:color="auto" w:fill="auto"/>
          </w:tcPr>
          <w:p w14:paraId="518A4F12" w14:textId="77777777" w:rsidR="005902D1" w:rsidRPr="00E444B3" w:rsidRDefault="005902D1" w:rsidP="005902D1">
            <w:pPr>
              <w:pStyle w:val="TableText"/>
            </w:pPr>
            <w:r w:rsidRPr="00E444B3">
              <w:t>Temozolomide*</w:t>
            </w:r>
          </w:p>
        </w:tc>
        <w:tc>
          <w:tcPr>
            <w:tcW w:w="5103" w:type="dxa"/>
            <w:tcBorders>
              <w:top w:val="single" w:sz="4" w:space="0" w:color="C2D9BA"/>
              <w:bottom w:val="single" w:sz="4" w:space="0" w:color="C2D9BA"/>
            </w:tcBorders>
            <w:shd w:val="clear" w:color="auto" w:fill="auto"/>
          </w:tcPr>
          <w:p w14:paraId="420846B9" w14:textId="77777777" w:rsidR="005902D1" w:rsidRPr="00E444B3" w:rsidRDefault="005902D1" w:rsidP="005902D1">
            <w:pPr>
              <w:pStyle w:val="TableText"/>
            </w:pPr>
            <w:r w:rsidRPr="00E444B3">
              <w:t>Anaplastic astrocytoma</w:t>
            </w:r>
          </w:p>
        </w:tc>
      </w:tr>
      <w:tr w:rsidR="005902D1" w14:paraId="18C2860E" w14:textId="77777777" w:rsidTr="005902D1">
        <w:trPr>
          <w:cantSplit/>
        </w:trPr>
        <w:tc>
          <w:tcPr>
            <w:tcW w:w="2977" w:type="dxa"/>
            <w:tcBorders>
              <w:top w:val="single" w:sz="4" w:space="0" w:color="C2D9BA"/>
              <w:bottom w:val="single" w:sz="4" w:space="0" w:color="C2D9BA"/>
            </w:tcBorders>
            <w:shd w:val="clear" w:color="auto" w:fill="auto"/>
          </w:tcPr>
          <w:p w14:paraId="2A6C7652" w14:textId="77777777" w:rsidR="005902D1" w:rsidRPr="00E444B3" w:rsidRDefault="005902D1" w:rsidP="005902D1">
            <w:pPr>
              <w:pStyle w:val="TableText"/>
            </w:pPr>
            <w:r w:rsidRPr="00E444B3">
              <w:t>Temozolomide*</w:t>
            </w:r>
          </w:p>
        </w:tc>
        <w:tc>
          <w:tcPr>
            <w:tcW w:w="5103" w:type="dxa"/>
            <w:tcBorders>
              <w:top w:val="single" w:sz="4" w:space="0" w:color="C2D9BA"/>
              <w:bottom w:val="single" w:sz="4" w:space="0" w:color="C2D9BA"/>
            </w:tcBorders>
            <w:shd w:val="clear" w:color="auto" w:fill="auto"/>
          </w:tcPr>
          <w:p w14:paraId="1E03F45E" w14:textId="77777777" w:rsidR="005902D1" w:rsidRPr="00E444B3" w:rsidRDefault="005902D1" w:rsidP="005902D1">
            <w:pPr>
              <w:pStyle w:val="TableText"/>
            </w:pPr>
            <w:r w:rsidRPr="00E444B3">
              <w:t>Ewing</w:t>
            </w:r>
            <w:r>
              <w:t>’</w:t>
            </w:r>
            <w:r w:rsidRPr="00E444B3">
              <w:t>s sarcoma</w:t>
            </w:r>
          </w:p>
        </w:tc>
      </w:tr>
      <w:tr w:rsidR="005902D1" w14:paraId="45AC81E7" w14:textId="77777777" w:rsidTr="005902D1">
        <w:trPr>
          <w:cantSplit/>
        </w:trPr>
        <w:tc>
          <w:tcPr>
            <w:tcW w:w="2977" w:type="dxa"/>
            <w:tcBorders>
              <w:top w:val="single" w:sz="4" w:space="0" w:color="C2D9BA"/>
              <w:bottom w:val="single" w:sz="4" w:space="0" w:color="C2D9BA"/>
            </w:tcBorders>
            <w:shd w:val="clear" w:color="auto" w:fill="auto"/>
          </w:tcPr>
          <w:p w14:paraId="799D7AA2" w14:textId="77777777" w:rsidR="005902D1" w:rsidRPr="00E444B3" w:rsidRDefault="005902D1" w:rsidP="005902D1">
            <w:pPr>
              <w:pStyle w:val="TableText"/>
            </w:pPr>
            <w:r w:rsidRPr="00E444B3">
              <w:t>Temozolomide*</w:t>
            </w:r>
          </w:p>
        </w:tc>
        <w:tc>
          <w:tcPr>
            <w:tcW w:w="5103" w:type="dxa"/>
            <w:tcBorders>
              <w:top w:val="single" w:sz="4" w:space="0" w:color="C2D9BA"/>
              <w:bottom w:val="single" w:sz="4" w:space="0" w:color="C2D9BA"/>
            </w:tcBorders>
            <w:shd w:val="clear" w:color="auto" w:fill="auto"/>
          </w:tcPr>
          <w:p w14:paraId="297697DB" w14:textId="77777777" w:rsidR="005902D1" w:rsidRPr="00E444B3" w:rsidRDefault="005902D1" w:rsidP="005902D1">
            <w:pPr>
              <w:pStyle w:val="TableText"/>
            </w:pPr>
            <w:r w:rsidRPr="00E444B3">
              <w:t>Glioblastoma multiforme</w:t>
            </w:r>
          </w:p>
        </w:tc>
      </w:tr>
      <w:tr w:rsidR="005902D1" w14:paraId="43BABF6D" w14:textId="77777777" w:rsidTr="005902D1">
        <w:trPr>
          <w:cantSplit/>
        </w:trPr>
        <w:tc>
          <w:tcPr>
            <w:tcW w:w="2977" w:type="dxa"/>
            <w:tcBorders>
              <w:top w:val="single" w:sz="4" w:space="0" w:color="C2D9BA"/>
              <w:bottom w:val="single" w:sz="4" w:space="0" w:color="C2D9BA"/>
            </w:tcBorders>
            <w:shd w:val="clear" w:color="auto" w:fill="auto"/>
          </w:tcPr>
          <w:p w14:paraId="0600507D" w14:textId="77777777" w:rsidR="005902D1" w:rsidRPr="00E444B3" w:rsidRDefault="005902D1" w:rsidP="005902D1">
            <w:pPr>
              <w:pStyle w:val="TableText"/>
            </w:pPr>
            <w:r w:rsidRPr="00E444B3">
              <w:t>Temozolomide*</w:t>
            </w:r>
          </w:p>
        </w:tc>
        <w:tc>
          <w:tcPr>
            <w:tcW w:w="5103" w:type="dxa"/>
            <w:tcBorders>
              <w:top w:val="single" w:sz="4" w:space="0" w:color="C2D9BA"/>
              <w:bottom w:val="single" w:sz="4" w:space="0" w:color="C2D9BA"/>
            </w:tcBorders>
            <w:shd w:val="clear" w:color="auto" w:fill="auto"/>
          </w:tcPr>
          <w:p w14:paraId="551C8F85" w14:textId="77777777" w:rsidR="005902D1" w:rsidRPr="00E444B3" w:rsidRDefault="005902D1" w:rsidP="005902D1">
            <w:pPr>
              <w:pStyle w:val="TableText"/>
            </w:pPr>
            <w:r w:rsidRPr="00E444B3">
              <w:t>Neuroendocrine cancer</w:t>
            </w:r>
          </w:p>
        </w:tc>
      </w:tr>
      <w:tr w:rsidR="005902D1" w14:paraId="68FFFF16" w14:textId="77777777" w:rsidTr="005902D1">
        <w:trPr>
          <w:cantSplit/>
        </w:trPr>
        <w:tc>
          <w:tcPr>
            <w:tcW w:w="2977" w:type="dxa"/>
            <w:tcBorders>
              <w:top w:val="single" w:sz="4" w:space="0" w:color="C2D9BA"/>
              <w:bottom w:val="single" w:sz="4" w:space="0" w:color="C2D9BA"/>
            </w:tcBorders>
            <w:shd w:val="clear" w:color="auto" w:fill="auto"/>
          </w:tcPr>
          <w:p w14:paraId="6E4E97D4" w14:textId="77777777" w:rsidR="005902D1" w:rsidRPr="00E444B3" w:rsidRDefault="005902D1" w:rsidP="005902D1">
            <w:pPr>
              <w:pStyle w:val="TableText"/>
            </w:pPr>
            <w:r w:rsidRPr="00E444B3">
              <w:t>Thalidomide</w:t>
            </w:r>
          </w:p>
        </w:tc>
        <w:tc>
          <w:tcPr>
            <w:tcW w:w="5103" w:type="dxa"/>
            <w:tcBorders>
              <w:top w:val="single" w:sz="4" w:space="0" w:color="C2D9BA"/>
              <w:bottom w:val="single" w:sz="4" w:space="0" w:color="C2D9BA"/>
            </w:tcBorders>
            <w:shd w:val="clear" w:color="auto" w:fill="auto"/>
          </w:tcPr>
          <w:p w14:paraId="58239B0C" w14:textId="77777777" w:rsidR="005902D1" w:rsidRPr="00E444B3" w:rsidRDefault="005902D1" w:rsidP="005902D1">
            <w:pPr>
              <w:pStyle w:val="TableText"/>
            </w:pPr>
            <w:r w:rsidRPr="00E444B3">
              <w:t>Multiple myeloma***</w:t>
            </w:r>
          </w:p>
        </w:tc>
      </w:tr>
      <w:tr w:rsidR="005902D1" w14:paraId="0B1F385D" w14:textId="77777777" w:rsidTr="005902D1">
        <w:trPr>
          <w:cantSplit/>
        </w:trPr>
        <w:tc>
          <w:tcPr>
            <w:tcW w:w="2977" w:type="dxa"/>
            <w:tcBorders>
              <w:top w:val="single" w:sz="4" w:space="0" w:color="C2D9BA"/>
              <w:bottom w:val="single" w:sz="4" w:space="0" w:color="C2D9BA"/>
            </w:tcBorders>
            <w:shd w:val="clear" w:color="auto" w:fill="auto"/>
          </w:tcPr>
          <w:p w14:paraId="3FE9E621" w14:textId="77777777" w:rsidR="005902D1" w:rsidRPr="00E444B3" w:rsidRDefault="005902D1" w:rsidP="005902D1">
            <w:pPr>
              <w:pStyle w:val="TableText"/>
            </w:pPr>
            <w:r w:rsidRPr="00E444B3">
              <w:t>Thioguanine [tioguanine]</w:t>
            </w:r>
          </w:p>
        </w:tc>
        <w:tc>
          <w:tcPr>
            <w:tcW w:w="5103" w:type="dxa"/>
            <w:tcBorders>
              <w:top w:val="single" w:sz="4" w:space="0" w:color="C2D9BA"/>
              <w:bottom w:val="single" w:sz="4" w:space="0" w:color="C2D9BA"/>
            </w:tcBorders>
            <w:shd w:val="clear" w:color="auto" w:fill="auto"/>
          </w:tcPr>
          <w:p w14:paraId="0B2E527D" w14:textId="77777777" w:rsidR="005902D1" w:rsidRPr="00E444B3" w:rsidRDefault="005902D1" w:rsidP="005902D1">
            <w:pPr>
              <w:pStyle w:val="TableText"/>
            </w:pPr>
            <w:r w:rsidRPr="00E444B3">
              <w:t>No restriction on cancer type</w:t>
            </w:r>
          </w:p>
        </w:tc>
      </w:tr>
      <w:tr w:rsidR="005902D1" w14:paraId="623D7E9D" w14:textId="77777777" w:rsidTr="005902D1">
        <w:trPr>
          <w:cantSplit/>
        </w:trPr>
        <w:tc>
          <w:tcPr>
            <w:tcW w:w="2977" w:type="dxa"/>
            <w:tcBorders>
              <w:top w:val="single" w:sz="4" w:space="0" w:color="C2D9BA"/>
              <w:bottom w:val="single" w:sz="4" w:space="0" w:color="C2D9BA"/>
            </w:tcBorders>
            <w:shd w:val="clear" w:color="auto" w:fill="auto"/>
          </w:tcPr>
          <w:p w14:paraId="47C20F0B" w14:textId="77777777" w:rsidR="005902D1" w:rsidRPr="00E444B3" w:rsidRDefault="005902D1" w:rsidP="005902D1">
            <w:pPr>
              <w:pStyle w:val="TableText"/>
            </w:pPr>
            <w:r w:rsidRPr="00E444B3">
              <w:t>Trastuzumab</w:t>
            </w:r>
          </w:p>
        </w:tc>
        <w:tc>
          <w:tcPr>
            <w:tcW w:w="5103" w:type="dxa"/>
            <w:tcBorders>
              <w:top w:val="single" w:sz="4" w:space="0" w:color="C2D9BA"/>
              <w:bottom w:val="single" w:sz="4" w:space="0" w:color="C2D9BA"/>
            </w:tcBorders>
            <w:shd w:val="clear" w:color="auto" w:fill="auto"/>
          </w:tcPr>
          <w:p w14:paraId="7AC7E8DE" w14:textId="77777777" w:rsidR="005902D1" w:rsidRPr="00E444B3" w:rsidRDefault="005902D1" w:rsidP="005902D1">
            <w:pPr>
              <w:pStyle w:val="TableText"/>
            </w:pPr>
            <w:r w:rsidRPr="00E444B3">
              <w:t>Breast cancer (early)</w:t>
            </w:r>
          </w:p>
        </w:tc>
      </w:tr>
      <w:tr w:rsidR="005902D1" w14:paraId="22BC2F3A" w14:textId="77777777" w:rsidTr="005902D1">
        <w:trPr>
          <w:cantSplit/>
        </w:trPr>
        <w:tc>
          <w:tcPr>
            <w:tcW w:w="2977" w:type="dxa"/>
            <w:tcBorders>
              <w:top w:val="single" w:sz="4" w:space="0" w:color="C2D9BA"/>
              <w:bottom w:val="single" w:sz="4" w:space="0" w:color="C2D9BA"/>
            </w:tcBorders>
            <w:shd w:val="clear" w:color="auto" w:fill="auto"/>
          </w:tcPr>
          <w:p w14:paraId="6C2F3183" w14:textId="77777777" w:rsidR="005902D1" w:rsidRPr="00E444B3" w:rsidRDefault="005902D1" w:rsidP="005902D1">
            <w:pPr>
              <w:pStyle w:val="TableText"/>
            </w:pPr>
            <w:r w:rsidRPr="00E444B3">
              <w:t>Trastuzumab</w:t>
            </w:r>
          </w:p>
        </w:tc>
        <w:tc>
          <w:tcPr>
            <w:tcW w:w="5103" w:type="dxa"/>
            <w:tcBorders>
              <w:top w:val="single" w:sz="4" w:space="0" w:color="C2D9BA"/>
              <w:bottom w:val="single" w:sz="4" w:space="0" w:color="C2D9BA"/>
            </w:tcBorders>
            <w:shd w:val="clear" w:color="auto" w:fill="auto"/>
          </w:tcPr>
          <w:p w14:paraId="698B5EAE" w14:textId="77777777" w:rsidR="005902D1" w:rsidRPr="00E444B3" w:rsidRDefault="005902D1" w:rsidP="005902D1">
            <w:pPr>
              <w:pStyle w:val="TableText"/>
            </w:pPr>
            <w:r w:rsidRPr="00E444B3">
              <w:t>Breast cancer (advanced)</w:t>
            </w:r>
          </w:p>
        </w:tc>
      </w:tr>
      <w:tr w:rsidR="005902D1" w14:paraId="1A888F19" w14:textId="77777777" w:rsidTr="005902D1">
        <w:trPr>
          <w:cantSplit/>
        </w:trPr>
        <w:tc>
          <w:tcPr>
            <w:tcW w:w="2977" w:type="dxa"/>
            <w:tcBorders>
              <w:top w:val="single" w:sz="4" w:space="0" w:color="C2D9BA"/>
              <w:bottom w:val="single" w:sz="4" w:space="0" w:color="C2D9BA"/>
            </w:tcBorders>
            <w:shd w:val="clear" w:color="auto" w:fill="auto"/>
          </w:tcPr>
          <w:p w14:paraId="286C7AC5" w14:textId="77777777" w:rsidR="005902D1" w:rsidRPr="00E444B3" w:rsidRDefault="005902D1" w:rsidP="005902D1">
            <w:pPr>
              <w:pStyle w:val="TableText"/>
            </w:pPr>
            <w:r w:rsidRPr="00E444B3">
              <w:t>Trastuzumab emtansine</w:t>
            </w:r>
          </w:p>
        </w:tc>
        <w:tc>
          <w:tcPr>
            <w:tcW w:w="5103" w:type="dxa"/>
            <w:tcBorders>
              <w:top w:val="single" w:sz="4" w:space="0" w:color="C2D9BA"/>
              <w:bottom w:val="single" w:sz="4" w:space="0" w:color="C2D9BA"/>
            </w:tcBorders>
            <w:shd w:val="clear" w:color="auto" w:fill="auto"/>
          </w:tcPr>
          <w:p w14:paraId="64AEA1F8" w14:textId="77777777" w:rsidR="005902D1" w:rsidRPr="00E444B3" w:rsidRDefault="005902D1" w:rsidP="005902D1">
            <w:pPr>
              <w:pStyle w:val="TableText"/>
            </w:pPr>
            <w:r w:rsidRPr="00E444B3">
              <w:t>Breast cancer (advanced)</w:t>
            </w:r>
          </w:p>
        </w:tc>
      </w:tr>
      <w:tr w:rsidR="005902D1" w14:paraId="67E6AE97" w14:textId="77777777" w:rsidTr="005902D1">
        <w:trPr>
          <w:cantSplit/>
        </w:trPr>
        <w:tc>
          <w:tcPr>
            <w:tcW w:w="2977" w:type="dxa"/>
            <w:tcBorders>
              <w:top w:val="single" w:sz="4" w:space="0" w:color="C2D9BA"/>
              <w:bottom w:val="single" w:sz="4" w:space="0" w:color="C2D9BA"/>
            </w:tcBorders>
            <w:shd w:val="clear" w:color="auto" w:fill="auto"/>
          </w:tcPr>
          <w:p w14:paraId="03E66A0F" w14:textId="77777777" w:rsidR="005902D1" w:rsidRPr="00E444B3" w:rsidRDefault="005902D1" w:rsidP="005902D1">
            <w:pPr>
              <w:pStyle w:val="TableText"/>
            </w:pPr>
            <w:r w:rsidRPr="00E444B3">
              <w:t>Venetoclax</w:t>
            </w:r>
          </w:p>
        </w:tc>
        <w:tc>
          <w:tcPr>
            <w:tcW w:w="5103" w:type="dxa"/>
            <w:tcBorders>
              <w:top w:val="single" w:sz="4" w:space="0" w:color="C2D9BA"/>
              <w:bottom w:val="single" w:sz="4" w:space="0" w:color="C2D9BA"/>
            </w:tcBorders>
            <w:shd w:val="clear" w:color="auto" w:fill="auto"/>
          </w:tcPr>
          <w:p w14:paraId="397F68DD" w14:textId="77777777" w:rsidR="005902D1" w:rsidRPr="00E444B3" w:rsidRDefault="005902D1" w:rsidP="005902D1">
            <w:pPr>
              <w:pStyle w:val="TableText"/>
            </w:pPr>
            <w:r w:rsidRPr="00E444B3">
              <w:t>Chronic lymphocytic leukaemia***</w:t>
            </w:r>
          </w:p>
        </w:tc>
      </w:tr>
      <w:tr w:rsidR="005902D1" w14:paraId="7A66ACC6" w14:textId="77777777" w:rsidTr="005902D1">
        <w:trPr>
          <w:cantSplit/>
        </w:trPr>
        <w:tc>
          <w:tcPr>
            <w:tcW w:w="2977" w:type="dxa"/>
            <w:tcBorders>
              <w:top w:val="single" w:sz="4" w:space="0" w:color="C2D9BA"/>
              <w:bottom w:val="single" w:sz="4" w:space="0" w:color="C2D9BA"/>
            </w:tcBorders>
            <w:shd w:val="clear" w:color="auto" w:fill="auto"/>
          </w:tcPr>
          <w:p w14:paraId="17C4BB90" w14:textId="77777777" w:rsidR="005902D1" w:rsidRPr="00E444B3" w:rsidRDefault="005902D1" w:rsidP="005902D1">
            <w:pPr>
              <w:pStyle w:val="TableText"/>
            </w:pPr>
            <w:r w:rsidRPr="00E444B3">
              <w:t>Vinblastine</w:t>
            </w:r>
          </w:p>
        </w:tc>
        <w:tc>
          <w:tcPr>
            <w:tcW w:w="5103" w:type="dxa"/>
            <w:tcBorders>
              <w:top w:val="single" w:sz="4" w:space="0" w:color="C2D9BA"/>
              <w:bottom w:val="single" w:sz="4" w:space="0" w:color="C2D9BA"/>
            </w:tcBorders>
            <w:shd w:val="clear" w:color="auto" w:fill="auto"/>
          </w:tcPr>
          <w:p w14:paraId="715C3B95" w14:textId="77777777" w:rsidR="005902D1" w:rsidRPr="00E444B3" w:rsidRDefault="005902D1" w:rsidP="005902D1">
            <w:pPr>
              <w:pStyle w:val="TableText"/>
            </w:pPr>
            <w:r w:rsidRPr="00E444B3">
              <w:t>No restriction on cancer type</w:t>
            </w:r>
          </w:p>
        </w:tc>
      </w:tr>
      <w:tr w:rsidR="005902D1" w14:paraId="79ADDAE0" w14:textId="77777777" w:rsidTr="005902D1">
        <w:trPr>
          <w:cantSplit/>
        </w:trPr>
        <w:tc>
          <w:tcPr>
            <w:tcW w:w="2977" w:type="dxa"/>
            <w:tcBorders>
              <w:top w:val="single" w:sz="4" w:space="0" w:color="C2D9BA"/>
              <w:bottom w:val="single" w:sz="4" w:space="0" w:color="C2D9BA"/>
            </w:tcBorders>
            <w:shd w:val="clear" w:color="auto" w:fill="auto"/>
          </w:tcPr>
          <w:p w14:paraId="4FFF2CA1" w14:textId="77777777" w:rsidR="005902D1" w:rsidRPr="00E444B3" w:rsidRDefault="005902D1" w:rsidP="005902D1">
            <w:pPr>
              <w:pStyle w:val="TableText"/>
            </w:pPr>
            <w:r w:rsidRPr="00E444B3">
              <w:t>Vincristine</w:t>
            </w:r>
          </w:p>
        </w:tc>
        <w:tc>
          <w:tcPr>
            <w:tcW w:w="5103" w:type="dxa"/>
            <w:tcBorders>
              <w:top w:val="single" w:sz="4" w:space="0" w:color="C2D9BA"/>
              <w:bottom w:val="single" w:sz="4" w:space="0" w:color="C2D9BA"/>
            </w:tcBorders>
            <w:shd w:val="clear" w:color="auto" w:fill="auto"/>
          </w:tcPr>
          <w:p w14:paraId="0B5FEA58" w14:textId="77777777" w:rsidR="005902D1" w:rsidRPr="00E444B3" w:rsidRDefault="005902D1" w:rsidP="005902D1">
            <w:pPr>
              <w:pStyle w:val="TableText"/>
            </w:pPr>
            <w:r w:rsidRPr="00E444B3">
              <w:t>No restriction on cancer type</w:t>
            </w:r>
          </w:p>
        </w:tc>
      </w:tr>
      <w:tr w:rsidR="005902D1" w14:paraId="35C47A1C" w14:textId="77777777" w:rsidTr="005902D1">
        <w:trPr>
          <w:cantSplit/>
        </w:trPr>
        <w:tc>
          <w:tcPr>
            <w:tcW w:w="2977" w:type="dxa"/>
            <w:tcBorders>
              <w:top w:val="single" w:sz="4" w:space="0" w:color="C2D9BA"/>
              <w:bottom w:val="single" w:sz="4" w:space="0" w:color="C2D9BA"/>
            </w:tcBorders>
            <w:shd w:val="clear" w:color="auto" w:fill="auto"/>
          </w:tcPr>
          <w:p w14:paraId="1DB2CA53" w14:textId="77777777" w:rsidR="005902D1" w:rsidRPr="00E444B3" w:rsidRDefault="005902D1" w:rsidP="005902D1">
            <w:pPr>
              <w:pStyle w:val="TableText"/>
            </w:pPr>
            <w:r w:rsidRPr="00E444B3">
              <w:t>Vinorelbine</w:t>
            </w:r>
          </w:p>
        </w:tc>
        <w:tc>
          <w:tcPr>
            <w:tcW w:w="5103" w:type="dxa"/>
            <w:tcBorders>
              <w:top w:val="single" w:sz="4" w:space="0" w:color="C2D9BA"/>
              <w:bottom w:val="single" w:sz="4" w:space="0" w:color="C2D9BA"/>
            </w:tcBorders>
            <w:shd w:val="clear" w:color="auto" w:fill="auto"/>
          </w:tcPr>
          <w:p w14:paraId="6F088ADF" w14:textId="77777777" w:rsidR="005902D1" w:rsidRPr="00E444B3" w:rsidRDefault="005902D1" w:rsidP="005902D1">
            <w:pPr>
              <w:pStyle w:val="TableText"/>
            </w:pPr>
            <w:r w:rsidRPr="00E444B3">
              <w:t>No restriction on cancer type</w:t>
            </w:r>
          </w:p>
        </w:tc>
      </w:tr>
    </w:tbl>
    <w:bookmarkEnd w:id="356"/>
    <w:p w14:paraId="4D8D49A1" w14:textId="77777777" w:rsidR="00C338E8" w:rsidRDefault="00B12E4F" w:rsidP="005902D1">
      <w:pPr>
        <w:pStyle w:val="Note"/>
        <w:keepNext/>
      </w:pPr>
      <w:r>
        <w:rPr>
          <w:rFonts w:cstheme="minorHAnsi"/>
        </w:rPr>
        <w:lastRenderedPageBreak/>
        <w:t>†</w:t>
      </w:r>
      <w:r>
        <w:rPr>
          <w:rFonts w:cstheme="minorHAnsi"/>
        </w:rPr>
        <w:tab/>
      </w:r>
      <w:r>
        <w:t>These are broad descriptions of indication and further restrictions may apply – please refer to the PBS and Pharmac schedules for more information.</w:t>
      </w:r>
    </w:p>
    <w:p w14:paraId="404E8DF0" w14:textId="77777777" w:rsidR="00C338E8" w:rsidRDefault="00B12E4F" w:rsidP="005902D1">
      <w:pPr>
        <w:pStyle w:val="Note"/>
      </w:pPr>
      <w:r w:rsidRPr="00E444B3">
        <w:t>*</w:t>
      </w:r>
      <w:r>
        <w:tab/>
      </w:r>
      <w:r w:rsidRPr="00E444B3">
        <w:t>Funded without restriction in Australia. Indications from TGA</w:t>
      </w:r>
      <w:r>
        <w:t>-</w:t>
      </w:r>
      <w:r w:rsidRPr="00E444B3">
        <w:t>approved product information and eviQ</w:t>
      </w:r>
      <w:r>
        <w:t>.</w:t>
      </w:r>
    </w:p>
    <w:p w14:paraId="20A811F9" w14:textId="77777777" w:rsidR="00C338E8" w:rsidRDefault="00B12E4F" w:rsidP="005902D1">
      <w:pPr>
        <w:pStyle w:val="Note"/>
      </w:pPr>
      <w:r w:rsidRPr="00E444B3">
        <w:t>**</w:t>
      </w:r>
      <w:r>
        <w:tab/>
      </w:r>
      <w:r w:rsidRPr="00E444B3">
        <w:t>Funded without restriction in Aotearoa. Indications from PBS</w:t>
      </w:r>
      <w:r>
        <w:t>.</w:t>
      </w:r>
    </w:p>
    <w:p w14:paraId="6AC63281" w14:textId="77777777" w:rsidR="00C338E8" w:rsidRDefault="00B12E4F" w:rsidP="005902D1">
      <w:pPr>
        <w:pStyle w:val="Note"/>
      </w:pPr>
      <w:r w:rsidRPr="00E444B3">
        <w:t>***</w:t>
      </w:r>
      <w:r>
        <w:tab/>
        <w:t>Haematology indications; s</w:t>
      </w:r>
      <w:r w:rsidRPr="00E444B3">
        <w:t>ome</w:t>
      </w:r>
      <w:r>
        <w:t xml:space="preserve"> specified</w:t>
      </w:r>
      <w:r w:rsidRPr="00E444B3">
        <w:t xml:space="preserve"> indications may be non-malignant haematological disorders</w:t>
      </w:r>
      <w:r>
        <w:t>.</w:t>
      </w:r>
    </w:p>
    <w:p w14:paraId="508C6FC8" w14:textId="77777777" w:rsidR="00C338E8" w:rsidRDefault="00C338E8" w:rsidP="005902D1"/>
    <w:p w14:paraId="36A91B4E" w14:textId="77777777" w:rsidR="00C338E8" w:rsidRDefault="00B12E4F" w:rsidP="005902D1">
      <w:pPr>
        <w:pStyle w:val="Heading2"/>
        <w:keepNext w:val="0"/>
        <w:pageBreakBefore/>
        <w:spacing w:before="0"/>
      </w:pPr>
      <w:bookmarkStart w:id="357" w:name="_Toc100739057"/>
      <w:bookmarkStart w:id="358" w:name="_Toc101618173"/>
      <w:r w:rsidRPr="006143EB">
        <w:lastRenderedPageBreak/>
        <w:t xml:space="preserve">Appendix </w:t>
      </w:r>
      <w:r>
        <w:t>4</w:t>
      </w:r>
      <w:r w:rsidRPr="006143EB">
        <w:t xml:space="preserve">: Results table from </w:t>
      </w:r>
      <w:r>
        <w:t xml:space="preserve">the </w:t>
      </w:r>
      <w:r w:rsidRPr="006143EB">
        <w:t xml:space="preserve">comparison with </w:t>
      </w:r>
      <w:r>
        <w:t xml:space="preserve">the </w:t>
      </w:r>
      <w:r w:rsidRPr="006143EB">
        <w:t xml:space="preserve">Australian Pharmaceutical Benefits Schedule (PBS) </w:t>
      </w:r>
      <w:r>
        <w:t>– medicines funded in Aotearoa but not Australia</w:t>
      </w:r>
      <w:bookmarkEnd w:id="357"/>
      <w:bookmarkEnd w:id="358"/>
    </w:p>
    <w:p w14:paraId="10895C66" w14:textId="77777777" w:rsidR="00C338E8" w:rsidRDefault="00B12E4F" w:rsidP="005902D1">
      <w:r>
        <w:t>This appendix provides results from the comparison of cancer medicines publicly funded in Aotearoa with those included in the Australian PBS list of pharmaceuticals, specifically for medicines funded in Aotearoa but not in Australia (</w:t>
      </w:r>
      <w:hyperlink w:anchor="Appendix_4_Table_4point1" w:history="1">
        <w:r w:rsidR="00F047DF" w:rsidRPr="00F047DF">
          <w:rPr>
            <w:rStyle w:val="Hyperlink"/>
          </w:rPr>
          <w:t>Table 4.1</w:t>
        </w:r>
      </w:hyperlink>
      <w:r>
        <w:t>).</w:t>
      </w:r>
    </w:p>
    <w:p w14:paraId="00AA7F76" w14:textId="77777777" w:rsidR="00C338E8" w:rsidRDefault="00C338E8" w:rsidP="005902D1"/>
    <w:p w14:paraId="27E89382" w14:textId="77777777" w:rsidR="00B12E4F" w:rsidRDefault="00B12E4F" w:rsidP="005902D1">
      <w:pPr>
        <w:pStyle w:val="Table"/>
      </w:pPr>
      <w:bookmarkStart w:id="359" w:name="_Toc101365608"/>
      <w:bookmarkStart w:id="360" w:name="Appendix_4_Table_4point1"/>
      <w:r w:rsidRPr="00E444B3">
        <w:t>Table</w:t>
      </w:r>
      <w:r w:rsidR="005902D1">
        <w:t> </w:t>
      </w:r>
      <w:r>
        <w:t>4.1</w:t>
      </w:r>
      <w:r w:rsidRPr="00E444B3">
        <w:t xml:space="preserve">: Medicines funded in Aotearoa </w:t>
      </w:r>
      <w:r>
        <w:t>but</w:t>
      </w:r>
      <w:r w:rsidRPr="00E444B3">
        <w:t xml:space="preserve"> not in Australia*</w:t>
      </w:r>
      <w:bookmarkEnd w:id="359"/>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977"/>
        <w:gridCol w:w="5103"/>
      </w:tblGrid>
      <w:tr w:rsidR="005902D1" w:rsidRPr="005902D1" w14:paraId="3E7D08CA" w14:textId="77777777" w:rsidTr="005902D1">
        <w:trPr>
          <w:cantSplit/>
          <w:tblHeader/>
        </w:trPr>
        <w:tc>
          <w:tcPr>
            <w:tcW w:w="2977" w:type="dxa"/>
            <w:tcBorders>
              <w:top w:val="nil"/>
              <w:bottom w:val="nil"/>
            </w:tcBorders>
            <w:shd w:val="clear" w:color="auto" w:fill="C2D9BA"/>
          </w:tcPr>
          <w:p w14:paraId="206F9A34" w14:textId="77777777" w:rsidR="005902D1" w:rsidRPr="005902D1" w:rsidRDefault="005902D1" w:rsidP="005902D1">
            <w:pPr>
              <w:pStyle w:val="TableText"/>
              <w:rPr>
                <w:b/>
              </w:rPr>
            </w:pPr>
            <w:r w:rsidRPr="005902D1">
              <w:rPr>
                <w:b/>
              </w:rPr>
              <w:t>Medicine</w:t>
            </w:r>
          </w:p>
        </w:tc>
        <w:tc>
          <w:tcPr>
            <w:tcW w:w="5103" w:type="dxa"/>
            <w:tcBorders>
              <w:top w:val="nil"/>
              <w:bottom w:val="nil"/>
            </w:tcBorders>
            <w:shd w:val="clear" w:color="auto" w:fill="C2D9BA"/>
          </w:tcPr>
          <w:p w14:paraId="747B6FCD" w14:textId="77777777" w:rsidR="005902D1" w:rsidRPr="005902D1" w:rsidRDefault="005902D1" w:rsidP="005902D1">
            <w:pPr>
              <w:pStyle w:val="TableText"/>
              <w:rPr>
                <w:b/>
              </w:rPr>
            </w:pPr>
            <w:r w:rsidRPr="005902D1">
              <w:rPr>
                <w:b/>
              </w:rPr>
              <w:t>Indication per Pharmac’s schedule**</w:t>
            </w:r>
          </w:p>
        </w:tc>
      </w:tr>
      <w:tr w:rsidR="005902D1" w14:paraId="61C42D02" w14:textId="77777777" w:rsidTr="005902D1">
        <w:trPr>
          <w:cantSplit/>
        </w:trPr>
        <w:tc>
          <w:tcPr>
            <w:tcW w:w="2977" w:type="dxa"/>
            <w:tcBorders>
              <w:top w:val="nil"/>
              <w:bottom w:val="single" w:sz="4" w:space="0" w:color="C2D9BA"/>
            </w:tcBorders>
            <w:shd w:val="clear" w:color="auto" w:fill="auto"/>
          </w:tcPr>
          <w:p w14:paraId="5DC7129C" w14:textId="77777777" w:rsidR="005902D1" w:rsidRPr="00E444B3" w:rsidRDefault="005902D1" w:rsidP="005902D1">
            <w:pPr>
              <w:pStyle w:val="TableText"/>
            </w:pPr>
            <w:r w:rsidRPr="00E444B3">
              <w:t>Amsacrine</w:t>
            </w:r>
          </w:p>
        </w:tc>
        <w:tc>
          <w:tcPr>
            <w:tcW w:w="5103" w:type="dxa"/>
            <w:tcBorders>
              <w:top w:val="nil"/>
              <w:bottom w:val="single" w:sz="4" w:space="0" w:color="C2D9BA"/>
            </w:tcBorders>
            <w:shd w:val="clear" w:color="auto" w:fill="auto"/>
          </w:tcPr>
          <w:p w14:paraId="3921D3B9" w14:textId="77777777" w:rsidR="005902D1" w:rsidRPr="00E444B3" w:rsidRDefault="005902D1" w:rsidP="005902D1">
            <w:pPr>
              <w:pStyle w:val="TableText"/>
            </w:pPr>
            <w:r w:rsidRPr="00E444B3">
              <w:t>No restriction on cancer type</w:t>
            </w:r>
          </w:p>
        </w:tc>
      </w:tr>
      <w:tr w:rsidR="005902D1" w14:paraId="36613A8E" w14:textId="77777777" w:rsidTr="005902D1">
        <w:trPr>
          <w:cantSplit/>
        </w:trPr>
        <w:tc>
          <w:tcPr>
            <w:tcW w:w="2977" w:type="dxa"/>
            <w:tcBorders>
              <w:top w:val="single" w:sz="4" w:space="0" w:color="C2D9BA"/>
              <w:bottom w:val="single" w:sz="4" w:space="0" w:color="C2D9BA"/>
            </w:tcBorders>
            <w:shd w:val="clear" w:color="auto" w:fill="auto"/>
          </w:tcPr>
          <w:p w14:paraId="3DFF8689" w14:textId="77777777" w:rsidR="005902D1" w:rsidRPr="00E444B3" w:rsidRDefault="005902D1" w:rsidP="005902D1">
            <w:pPr>
              <w:pStyle w:val="TableText"/>
            </w:pPr>
            <w:r w:rsidRPr="00E444B3">
              <w:t>Anagrelide hydrochloride</w:t>
            </w:r>
          </w:p>
        </w:tc>
        <w:tc>
          <w:tcPr>
            <w:tcW w:w="5103" w:type="dxa"/>
            <w:tcBorders>
              <w:top w:val="single" w:sz="4" w:space="0" w:color="C2D9BA"/>
              <w:bottom w:val="single" w:sz="4" w:space="0" w:color="C2D9BA"/>
            </w:tcBorders>
            <w:shd w:val="clear" w:color="auto" w:fill="auto"/>
          </w:tcPr>
          <w:p w14:paraId="0ED90353" w14:textId="77777777" w:rsidR="005902D1" w:rsidRPr="00E444B3" w:rsidRDefault="005902D1" w:rsidP="005902D1">
            <w:pPr>
              <w:pStyle w:val="TableText"/>
            </w:pPr>
            <w:r w:rsidRPr="00E444B3">
              <w:t>No restriction on cancer type</w:t>
            </w:r>
          </w:p>
        </w:tc>
      </w:tr>
      <w:tr w:rsidR="005902D1" w14:paraId="3747D88B" w14:textId="77777777" w:rsidTr="005902D1">
        <w:trPr>
          <w:cantSplit/>
        </w:trPr>
        <w:tc>
          <w:tcPr>
            <w:tcW w:w="2977" w:type="dxa"/>
            <w:tcBorders>
              <w:top w:val="single" w:sz="4" w:space="0" w:color="C2D9BA"/>
              <w:bottom w:val="single" w:sz="4" w:space="0" w:color="C2D9BA"/>
            </w:tcBorders>
            <w:shd w:val="clear" w:color="auto" w:fill="auto"/>
          </w:tcPr>
          <w:p w14:paraId="4B10244A" w14:textId="77777777" w:rsidR="005902D1" w:rsidRPr="00E444B3" w:rsidRDefault="005902D1" w:rsidP="005902D1">
            <w:pPr>
              <w:pStyle w:val="TableText"/>
            </w:pPr>
            <w:r w:rsidRPr="00E444B3">
              <w:t>Bendamustine</w:t>
            </w:r>
          </w:p>
        </w:tc>
        <w:tc>
          <w:tcPr>
            <w:tcW w:w="5103" w:type="dxa"/>
            <w:tcBorders>
              <w:top w:val="single" w:sz="4" w:space="0" w:color="C2D9BA"/>
              <w:bottom w:val="single" w:sz="4" w:space="0" w:color="C2D9BA"/>
            </w:tcBorders>
            <w:shd w:val="clear" w:color="auto" w:fill="auto"/>
          </w:tcPr>
          <w:p w14:paraId="454D0865" w14:textId="77777777" w:rsidR="005902D1" w:rsidRPr="00E444B3" w:rsidRDefault="005902D1" w:rsidP="005902D1">
            <w:pPr>
              <w:pStyle w:val="TableText"/>
            </w:pPr>
            <w:r w:rsidRPr="00E444B3">
              <w:t>Chronic lymphocytic leukae</w:t>
            </w:r>
            <w:r>
              <w:t>mia</w:t>
            </w:r>
          </w:p>
        </w:tc>
      </w:tr>
      <w:tr w:rsidR="005902D1" w14:paraId="4184D1D0" w14:textId="77777777" w:rsidTr="005902D1">
        <w:trPr>
          <w:cantSplit/>
        </w:trPr>
        <w:tc>
          <w:tcPr>
            <w:tcW w:w="2977" w:type="dxa"/>
            <w:tcBorders>
              <w:top w:val="single" w:sz="4" w:space="0" w:color="C2D9BA"/>
              <w:bottom w:val="single" w:sz="4" w:space="0" w:color="C2D9BA"/>
            </w:tcBorders>
            <w:shd w:val="clear" w:color="auto" w:fill="auto"/>
          </w:tcPr>
          <w:p w14:paraId="5A4B1BC5" w14:textId="77777777" w:rsidR="005902D1" w:rsidRPr="00E444B3" w:rsidRDefault="005902D1" w:rsidP="005902D1">
            <w:pPr>
              <w:pStyle w:val="TableText"/>
            </w:pPr>
            <w:r w:rsidRPr="00E444B3">
              <w:t>Bendamustine</w:t>
            </w:r>
          </w:p>
        </w:tc>
        <w:tc>
          <w:tcPr>
            <w:tcW w:w="5103" w:type="dxa"/>
            <w:tcBorders>
              <w:top w:val="single" w:sz="4" w:space="0" w:color="C2D9BA"/>
              <w:bottom w:val="single" w:sz="4" w:space="0" w:color="C2D9BA"/>
            </w:tcBorders>
            <w:shd w:val="clear" w:color="auto" w:fill="auto"/>
          </w:tcPr>
          <w:p w14:paraId="0E753527" w14:textId="77777777" w:rsidR="005902D1" w:rsidRPr="00E444B3" w:rsidRDefault="005902D1" w:rsidP="005902D1">
            <w:pPr>
              <w:pStyle w:val="TableText"/>
            </w:pPr>
            <w:r w:rsidRPr="00E444B3">
              <w:t>Hodgkin lymphoma</w:t>
            </w:r>
          </w:p>
        </w:tc>
      </w:tr>
      <w:tr w:rsidR="005902D1" w14:paraId="2936C0D1" w14:textId="77777777" w:rsidTr="005902D1">
        <w:trPr>
          <w:cantSplit/>
        </w:trPr>
        <w:tc>
          <w:tcPr>
            <w:tcW w:w="2977" w:type="dxa"/>
            <w:tcBorders>
              <w:top w:val="single" w:sz="4" w:space="0" w:color="C2D9BA"/>
              <w:bottom w:val="single" w:sz="4" w:space="0" w:color="C2D9BA"/>
            </w:tcBorders>
            <w:shd w:val="clear" w:color="auto" w:fill="auto"/>
          </w:tcPr>
          <w:p w14:paraId="1F71FEB1" w14:textId="77777777" w:rsidR="005902D1" w:rsidRPr="00E444B3" w:rsidRDefault="005902D1" w:rsidP="005902D1">
            <w:pPr>
              <w:pStyle w:val="TableText"/>
            </w:pPr>
            <w:r w:rsidRPr="00E444B3">
              <w:t xml:space="preserve">Carmustine </w:t>
            </w:r>
            <w:r>
              <w:t>–</w:t>
            </w:r>
            <w:r w:rsidRPr="00E444B3">
              <w:t xml:space="preserve"> injection</w:t>
            </w:r>
          </w:p>
        </w:tc>
        <w:tc>
          <w:tcPr>
            <w:tcW w:w="5103" w:type="dxa"/>
            <w:tcBorders>
              <w:top w:val="single" w:sz="4" w:space="0" w:color="C2D9BA"/>
              <w:bottom w:val="single" w:sz="4" w:space="0" w:color="C2D9BA"/>
            </w:tcBorders>
            <w:shd w:val="clear" w:color="auto" w:fill="auto"/>
          </w:tcPr>
          <w:p w14:paraId="734495E1" w14:textId="77777777" w:rsidR="005902D1" w:rsidRPr="00E444B3" w:rsidRDefault="005902D1" w:rsidP="005902D1">
            <w:pPr>
              <w:pStyle w:val="TableText"/>
            </w:pPr>
            <w:r w:rsidRPr="00E444B3">
              <w:t>No restriction on cancer type</w:t>
            </w:r>
          </w:p>
        </w:tc>
      </w:tr>
      <w:tr w:rsidR="005902D1" w14:paraId="60A848E8" w14:textId="77777777" w:rsidTr="005902D1">
        <w:trPr>
          <w:cantSplit/>
        </w:trPr>
        <w:tc>
          <w:tcPr>
            <w:tcW w:w="2977" w:type="dxa"/>
            <w:tcBorders>
              <w:top w:val="single" w:sz="4" w:space="0" w:color="C2D9BA"/>
              <w:bottom w:val="single" w:sz="4" w:space="0" w:color="C2D9BA"/>
            </w:tcBorders>
            <w:shd w:val="clear" w:color="auto" w:fill="auto"/>
          </w:tcPr>
          <w:p w14:paraId="348FD0F1" w14:textId="77777777" w:rsidR="005902D1" w:rsidRPr="00E444B3" w:rsidRDefault="005902D1" w:rsidP="005902D1">
            <w:pPr>
              <w:pStyle w:val="TableText"/>
            </w:pPr>
            <w:r w:rsidRPr="00E444B3">
              <w:t>Dacarbazine</w:t>
            </w:r>
          </w:p>
        </w:tc>
        <w:tc>
          <w:tcPr>
            <w:tcW w:w="5103" w:type="dxa"/>
            <w:tcBorders>
              <w:top w:val="single" w:sz="4" w:space="0" w:color="C2D9BA"/>
              <w:bottom w:val="single" w:sz="4" w:space="0" w:color="C2D9BA"/>
            </w:tcBorders>
            <w:shd w:val="clear" w:color="auto" w:fill="auto"/>
          </w:tcPr>
          <w:p w14:paraId="0C4F7E2D" w14:textId="77777777" w:rsidR="005902D1" w:rsidRPr="00E444B3" w:rsidRDefault="005902D1" w:rsidP="005902D1">
            <w:pPr>
              <w:pStyle w:val="TableText"/>
            </w:pPr>
            <w:r w:rsidRPr="00E444B3">
              <w:t>No restriction on cancer type</w:t>
            </w:r>
          </w:p>
        </w:tc>
      </w:tr>
      <w:tr w:rsidR="005902D1" w14:paraId="7BF398F3" w14:textId="77777777" w:rsidTr="005902D1">
        <w:trPr>
          <w:cantSplit/>
        </w:trPr>
        <w:tc>
          <w:tcPr>
            <w:tcW w:w="2977" w:type="dxa"/>
            <w:tcBorders>
              <w:top w:val="single" w:sz="4" w:space="0" w:color="C2D9BA"/>
              <w:bottom w:val="single" w:sz="4" w:space="0" w:color="C2D9BA"/>
            </w:tcBorders>
            <w:shd w:val="clear" w:color="auto" w:fill="auto"/>
          </w:tcPr>
          <w:p w14:paraId="3301CDD7" w14:textId="77777777" w:rsidR="005902D1" w:rsidRPr="00E444B3" w:rsidRDefault="005902D1" w:rsidP="005902D1">
            <w:pPr>
              <w:pStyle w:val="TableText"/>
            </w:pPr>
            <w:r w:rsidRPr="00E444B3">
              <w:t>Dactinomycin</w:t>
            </w:r>
          </w:p>
        </w:tc>
        <w:tc>
          <w:tcPr>
            <w:tcW w:w="5103" w:type="dxa"/>
            <w:tcBorders>
              <w:top w:val="single" w:sz="4" w:space="0" w:color="C2D9BA"/>
              <w:bottom w:val="single" w:sz="4" w:space="0" w:color="C2D9BA"/>
            </w:tcBorders>
            <w:shd w:val="clear" w:color="auto" w:fill="auto"/>
          </w:tcPr>
          <w:p w14:paraId="6742779C" w14:textId="77777777" w:rsidR="005902D1" w:rsidRPr="00E444B3" w:rsidRDefault="005902D1" w:rsidP="005902D1">
            <w:pPr>
              <w:pStyle w:val="TableText"/>
            </w:pPr>
            <w:r w:rsidRPr="00E444B3">
              <w:t>No restriction on cancer type</w:t>
            </w:r>
          </w:p>
        </w:tc>
      </w:tr>
      <w:tr w:rsidR="005902D1" w14:paraId="0CB8EEF1" w14:textId="77777777" w:rsidTr="005902D1">
        <w:trPr>
          <w:cantSplit/>
        </w:trPr>
        <w:tc>
          <w:tcPr>
            <w:tcW w:w="2977" w:type="dxa"/>
            <w:tcBorders>
              <w:top w:val="single" w:sz="4" w:space="0" w:color="C2D9BA"/>
              <w:bottom w:val="single" w:sz="4" w:space="0" w:color="C2D9BA"/>
            </w:tcBorders>
            <w:shd w:val="clear" w:color="auto" w:fill="auto"/>
          </w:tcPr>
          <w:p w14:paraId="4B3F9717" w14:textId="77777777" w:rsidR="005902D1" w:rsidRPr="00E444B3" w:rsidRDefault="005902D1" w:rsidP="005902D1">
            <w:pPr>
              <w:pStyle w:val="TableText"/>
            </w:pPr>
            <w:r w:rsidRPr="00E444B3">
              <w:t>Daunorubicin</w:t>
            </w:r>
          </w:p>
        </w:tc>
        <w:tc>
          <w:tcPr>
            <w:tcW w:w="5103" w:type="dxa"/>
            <w:tcBorders>
              <w:top w:val="single" w:sz="4" w:space="0" w:color="C2D9BA"/>
              <w:bottom w:val="single" w:sz="4" w:space="0" w:color="C2D9BA"/>
            </w:tcBorders>
            <w:shd w:val="clear" w:color="auto" w:fill="auto"/>
          </w:tcPr>
          <w:p w14:paraId="61942E16" w14:textId="77777777" w:rsidR="005902D1" w:rsidRPr="00E444B3" w:rsidRDefault="005902D1" w:rsidP="005902D1">
            <w:pPr>
              <w:pStyle w:val="TableText"/>
            </w:pPr>
            <w:r w:rsidRPr="00E444B3">
              <w:t>No restriction on cancer type</w:t>
            </w:r>
          </w:p>
        </w:tc>
      </w:tr>
      <w:tr w:rsidR="005902D1" w14:paraId="771AD276" w14:textId="77777777" w:rsidTr="005902D1">
        <w:trPr>
          <w:cantSplit/>
        </w:trPr>
        <w:tc>
          <w:tcPr>
            <w:tcW w:w="2977" w:type="dxa"/>
            <w:tcBorders>
              <w:top w:val="single" w:sz="4" w:space="0" w:color="C2D9BA"/>
              <w:bottom w:val="single" w:sz="4" w:space="0" w:color="C2D9BA"/>
            </w:tcBorders>
            <w:shd w:val="clear" w:color="auto" w:fill="auto"/>
          </w:tcPr>
          <w:p w14:paraId="2DB34B13" w14:textId="77777777" w:rsidR="005902D1" w:rsidRPr="00E444B3" w:rsidRDefault="005902D1" w:rsidP="005902D1">
            <w:pPr>
              <w:pStyle w:val="TableText"/>
            </w:pPr>
            <w:r w:rsidRPr="00E444B3">
              <w:t>Lomustine^</w:t>
            </w:r>
          </w:p>
        </w:tc>
        <w:tc>
          <w:tcPr>
            <w:tcW w:w="5103" w:type="dxa"/>
            <w:tcBorders>
              <w:top w:val="single" w:sz="4" w:space="0" w:color="C2D9BA"/>
              <w:bottom w:val="single" w:sz="4" w:space="0" w:color="C2D9BA"/>
            </w:tcBorders>
            <w:shd w:val="clear" w:color="auto" w:fill="auto"/>
          </w:tcPr>
          <w:p w14:paraId="5253E23B" w14:textId="77777777" w:rsidR="005902D1" w:rsidRPr="00E444B3" w:rsidRDefault="005902D1" w:rsidP="005902D1">
            <w:pPr>
              <w:pStyle w:val="TableText"/>
            </w:pPr>
            <w:r w:rsidRPr="00E444B3">
              <w:t xml:space="preserve">No restriction on cancer type </w:t>
            </w:r>
          </w:p>
        </w:tc>
      </w:tr>
      <w:tr w:rsidR="005902D1" w14:paraId="27D7B72D" w14:textId="77777777" w:rsidTr="005902D1">
        <w:trPr>
          <w:cantSplit/>
        </w:trPr>
        <w:tc>
          <w:tcPr>
            <w:tcW w:w="2977" w:type="dxa"/>
            <w:tcBorders>
              <w:top w:val="single" w:sz="4" w:space="0" w:color="C2D9BA"/>
              <w:bottom w:val="single" w:sz="4" w:space="0" w:color="C2D9BA"/>
            </w:tcBorders>
            <w:shd w:val="clear" w:color="auto" w:fill="auto"/>
          </w:tcPr>
          <w:p w14:paraId="5B0901AF" w14:textId="77777777" w:rsidR="005902D1" w:rsidRPr="00E444B3" w:rsidRDefault="005902D1" w:rsidP="005902D1">
            <w:pPr>
              <w:pStyle w:val="TableText"/>
            </w:pPr>
            <w:r w:rsidRPr="00E444B3">
              <w:t>Mitomycin C</w:t>
            </w:r>
          </w:p>
        </w:tc>
        <w:tc>
          <w:tcPr>
            <w:tcW w:w="5103" w:type="dxa"/>
            <w:tcBorders>
              <w:top w:val="single" w:sz="4" w:space="0" w:color="C2D9BA"/>
              <w:bottom w:val="single" w:sz="4" w:space="0" w:color="C2D9BA"/>
            </w:tcBorders>
            <w:shd w:val="clear" w:color="auto" w:fill="auto"/>
          </w:tcPr>
          <w:p w14:paraId="03928A7E" w14:textId="77777777" w:rsidR="005902D1" w:rsidRPr="00E444B3" w:rsidRDefault="005902D1" w:rsidP="005902D1">
            <w:pPr>
              <w:pStyle w:val="TableText"/>
            </w:pPr>
            <w:r w:rsidRPr="00E444B3">
              <w:t>No restriction on cancer type</w:t>
            </w:r>
          </w:p>
        </w:tc>
      </w:tr>
      <w:tr w:rsidR="005902D1" w14:paraId="2B017FA6" w14:textId="77777777" w:rsidTr="005902D1">
        <w:trPr>
          <w:cantSplit/>
        </w:trPr>
        <w:tc>
          <w:tcPr>
            <w:tcW w:w="2977" w:type="dxa"/>
            <w:tcBorders>
              <w:top w:val="single" w:sz="4" w:space="0" w:color="C2D9BA"/>
              <w:bottom w:val="single" w:sz="4" w:space="0" w:color="C2D9BA"/>
            </w:tcBorders>
            <w:shd w:val="clear" w:color="auto" w:fill="auto"/>
          </w:tcPr>
          <w:p w14:paraId="199B040E" w14:textId="77777777" w:rsidR="005902D1" w:rsidRPr="00E444B3" w:rsidRDefault="005902D1" w:rsidP="005902D1">
            <w:pPr>
              <w:pStyle w:val="TableText"/>
            </w:pPr>
            <w:r w:rsidRPr="00E444B3">
              <w:t>Pegaspargase</w:t>
            </w:r>
          </w:p>
        </w:tc>
        <w:tc>
          <w:tcPr>
            <w:tcW w:w="5103" w:type="dxa"/>
            <w:tcBorders>
              <w:top w:val="single" w:sz="4" w:space="0" w:color="C2D9BA"/>
              <w:bottom w:val="single" w:sz="4" w:space="0" w:color="C2D9BA"/>
            </w:tcBorders>
            <w:shd w:val="clear" w:color="auto" w:fill="auto"/>
          </w:tcPr>
          <w:p w14:paraId="6AF7443B" w14:textId="77777777" w:rsidR="005902D1" w:rsidRPr="00E444B3" w:rsidRDefault="005902D1" w:rsidP="005902D1">
            <w:pPr>
              <w:pStyle w:val="TableText"/>
            </w:pPr>
            <w:r w:rsidRPr="00E444B3">
              <w:t>Acute lymphoblastic leukaemia</w:t>
            </w:r>
          </w:p>
        </w:tc>
      </w:tr>
      <w:tr w:rsidR="005902D1" w14:paraId="7C399761" w14:textId="77777777" w:rsidTr="005902D1">
        <w:trPr>
          <w:cantSplit/>
        </w:trPr>
        <w:tc>
          <w:tcPr>
            <w:tcW w:w="2977" w:type="dxa"/>
            <w:tcBorders>
              <w:top w:val="single" w:sz="4" w:space="0" w:color="C2D9BA"/>
              <w:bottom w:val="single" w:sz="4" w:space="0" w:color="C2D9BA"/>
            </w:tcBorders>
            <w:shd w:val="clear" w:color="auto" w:fill="auto"/>
          </w:tcPr>
          <w:p w14:paraId="738AD2A7" w14:textId="77777777" w:rsidR="005902D1" w:rsidRPr="00E444B3" w:rsidRDefault="005902D1" w:rsidP="005902D1">
            <w:pPr>
              <w:pStyle w:val="TableText"/>
            </w:pPr>
            <w:r w:rsidRPr="00E444B3">
              <w:t>Pentostatin</w:t>
            </w:r>
          </w:p>
        </w:tc>
        <w:tc>
          <w:tcPr>
            <w:tcW w:w="5103" w:type="dxa"/>
            <w:tcBorders>
              <w:top w:val="single" w:sz="4" w:space="0" w:color="C2D9BA"/>
              <w:bottom w:val="single" w:sz="4" w:space="0" w:color="C2D9BA"/>
            </w:tcBorders>
            <w:shd w:val="clear" w:color="auto" w:fill="auto"/>
          </w:tcPr>
          <w:p w14:paraId="2FC03838" w14:textId="77777777" w:rsidR="005902D1" w:rsidRPr="00E444B3" w:rsidRDefault="005902D1" w:rsidP="005902D1">
            <w:pPr>
              <w:pStyle w:val="TableText"/>
            </w:pPr>
            <w:r w:rsidRPr="00E444B3">
              <w:t>No restriction on cancer type</w:t>
            </w:r>
          </w:p>
        </w:tc>
      </w:tr>
      <w:tr w:rsidR="005902D1" w14:paraId="7229A580" w14:textId="77777777" w:rsidTr="005902D1">
        <w:trPr>
          <w:cantSplit/>
        </w:trPr>
        <w:tc>
          <w:tcPr>
            <w:tcW w:w="2977" w:type="dxa"/>
            <w:tcBorders>
              <w:top w:val="single" w:sz="4" w:space="0" w:color="C2D9BA"/>
              <w:bottom w:val="single" w:sz="4" w:space="0" w:color="C2D9BA"/>
            </w:tcBorders>
            <w:shd w:val="clear" w:color="auto" w:fill="auto"/>
          </w:tcPr>
          <w:p w14:paraId="487158AD" w14:textId="77777777" w:rsidR="005902D1" w:rsidRPr="00E444B3" w:rsidRDefault="005902D1" w:rsidP="005902D1">
            <w:pPr>
              <w:pStyle w:val="TableText"/>
            </w:pPr>
            <w:r w:rsidRPr="00E444B3">
              <w:t>Procarbazine</w:t>
            </w:r>
          </w:p>
        </w:tc>
        <w:tc>
          <w:tcPr>
            <w:tcW w:w="5103" w:type="dxa"/>
            <w:tcBorders>
              <w:top w:val="single" w:sz="4" w:space="0" w:color="C2D9BA"/>
              <w:bottom w:val="single" w:sz="4" w:space="0" w:color="C2D9BA"/>
            </w:tcBorders>
            <w:shd w:val="clear" w:color="auto" w:fill="auto"/>
          </w:tcPr>
          <w:p w14:paraId="3F63C92D" w14:textId="77777777" w:rsidR="005902D1" w:rsidRPr="00E444B3" w:rsidRDefault="005902D1" w:rsidP="005902D1">
            <w:pPr>
              <w:pStyle w:val="TableText"/>
            </w:pPr>
            <w:r w:rsidRPr="00E444B3">
              <w:t>No restriction on cancer type</w:t>
            </w:r>
          </w:p>
        </w:tc>
      </w:tr>
      <w:tr w:rsidR="005902D1" w14:paraId="507473EA" w14:textId="77777777" w:rsidTr="005902D1">
        <w:trPr>
          <w:cantSplit/>
        </w:trPr>
        <w:tc>
          <w:tcPr>
            <w:tcW w:w="2977" w:type="dxa"/>
            <w:tcBorders>
              <w:top w:val="single" w:sz="4" w:space="0" w:color="C2D9BA"/>
              <w:bottom w:val="single" w:sz="4" w:space="0" w:color="C2D9BA"/>
            </w:tcBorders>
            <w:shd w:val="clear" w:color="auto" w:fill="auto"/>
          </w:tcPr>
          <w:p w14:paraId="42BF1DC1" w14:textId="77777777" w:rsidR="005902D1" w:rsidRPr="00E444B3" w:rsidRDefault="005902D1" w:rsidP="005902D1">
            <w:pPr>
              <w:pStyle w:val="TableText"/>
            </w:pPr>
            <w:r w:rsidRPr="00E444B3">
              <w:t>Thiotepa</w:t>
            </w:r>
          </w:p>
        </w:tc>
        <w:tc>
          <w:tcPr>
            <w:tcW w:w="5103" w:type="dxa"/>
            <w:tcBorders>
              <w:top w:val="single" w:sz="4" w:space="0" w:color="C2D9BA"/>
              <w:bottom w:val="single" w:sz="4" w:space="0" w:color="C2D9BA"/>
            </w:tcBorders>
            <w:shd w:val="clear" w:color="auto" w:fill="auto"/>
          </w:tcPr>
          <w:p w14:paraId="38E55180" w14:textId="77777777" w:rsidR="005902D1" w:rsidRPr="00E444B3" w:rsidRDefault="005902D1" w:rsidP="005902D1">
            <w:pPr>
              <w:pStyle w:val="TableText"/>
            </w:pPr>
            <w:r w:rsidRPr="00E444B3">
              <w:t>No restriction on cancer type</w:t>
            </w:r>
          </w:p>
        </w:tc>
      </w:tr>
      <w:tr w:rsidR="005902D1" w14:paraId="702A8A72" w14:textId="77777777" w:rsidTr="005902D1">
        <w:trPr>
          <w:cantSplit/>
        </w:trPr>
        <w:tc>
          <w:tcPr>
            <w:tcW w:w="2977" w:type="dxa"/>
            <w:tcBorders>
              <w:top w:val="single" w:sz="4" w:space="0" w:color="C2D9BA"/>
              <w:bottom w:val="single" w:sz="4" w:space="0" w:color="C2D9BA"/>
            </w:tcBorders>
            <w:shd w:val="clear" w:color="auto" w:fill="auto"/>
          </w:tcPr>
          <w:p w14:paraId="1E8FBEBD" w14:textId="77777777" w:rsidR="005902D1" w:rsidRPr="00E444B3" w:rsidRDefault="005902D1" w:rsidP="005902D1">
            <w:pPr>
              <w:pStyle w:val="TableText"/>
            </w:pPr>
            <w:r w:rsidRPr="00E444B3">
              <w:t>Zoledronic acid</w:t>
            </w:r>
          </w:p>
        </w:tc>
        <w:tc>
          <w:tcPr>
            <w:tcW w:w="5103" w:type="dxa"/>
            <w:tcBorders>
              <w:top w:val="single" w:sz="4" w:space="0" w:color="C2D9BA"/>
              <w:bottom w:val="single" w:sz="4" w:space="0" w:color="C2D9BA"/>
            </w:tcBorders>
            <w:shd w:val="clear" w:color="auto" w:fill="auto"/>
          </w:tcPr>
          <w:p w14:paraId="0B950D43" w14:textId="77777777" w:rsidR="005902D1" w:rsidRPr="00E444B3" w:rsidRDefault="005902D1" w:rsidP="005902D1">
            <w:pPr>
              <w:pStyle w:val="TableText"/>
            </w:pPr>
            <w:r w:rsidRPr="00E444B3">
              <w:t>Breast cancer (early</w:t>
            </w:r>
            <w:r>
              <w:t>, post-menopausal</w:t>
            </w:r>
            <w:r w:rsidRPr="00E444B3">
              <w:t>)</w:t>
            </w:r>
          </w:p>
        </w:tc>
      </w:tr>
    </w:tbl>
    <w:bookmarkEnd w:id="360"/>
    <w:p w14:paraId="2B0E1FB7" w14:textId="77777777" w:rsidR="00C338E8" w:rsidRDefault="00B12E4F" w:rsidP="005902D1">
      <w:pPr>
        <w:pStyle w:val="Note"/>
      </w:pPr>
      <w:r w:rsidRPr="00E444B3">
        <w:t>*</w:t>
      </w:r>
      <w:r>
        <w:tab/>
      </w:r>
      <w:r w:rsidRPr="00E444B3">
        <w:t>In contrast to Aotearoa, medicines used by in-patients in public hospitals in Australia are not funded via the PBS. Instead, individual states have different public funding arrangements in place – either at a state-wide level or at different health districts or individual hospital levels. Therefore, some of these medicines may be publicly funded by mechanisms other than the PBS.</w:t>
      </w:r>
    </w:p>
    <w:p w14:paraId="57E38353" w14:textId="77777777" w:rsidR="00C338E8" w:rsidRDefault="00B12E4F" w:rsidP="005902D1">
      <w:pPr>
        <w:pStyle w:val="Note"/>
      </w:pPr>
      <w:r w:rsidRPr="00E444B3">
        <w:t>**</w:t>
      </w:r>
      <w:r>
        <w:tab/>
      </w:r>
      <w:r w:rsidRPr="00E444B3">
        <w:t>Some of these medicines may only have haematological indications</w:t>
      </w:r>
      <w:r>
        <w:t>.</w:t>
      </w:r>
    </w:p>
    <w:p w14:paraId="4E31EACE" w14:textId="77777777" w:rsidR="00C338E8" w:rsidRDefault="00B12E4F" w:rsidP="005902D1">
      <w:pPr>
        <w:pStyle w:val="Note"/>
      </w:pPr>
      <w:r w:rsidRPr="00E444B3">
        <w:t>^</w:t>
      </w:r>
      <w:r>
        <w:tab/>
      </w:r>
      <w:r w:rsidRPr="00E444B3">
        <w:t xml:space="preserve">Lomustine will be discontinued </w:t>
      </w:r>
      <w:r>
        <w:t xml:space="preserve">by the supplier </w:t>
      </w:r>
      <w:r w:rsidRPr="00E444B3">
        <w:t>in Aotearoa and Australia in 2022</w:t>
      </w:r>
      <w:r>
        <w:t>.</w:t>
      </w:r>
    </w:p>
    <w:p w14:paraId="6C09D100" w14:textId="77777777" w:rsidR="00C338E8" w:rsidRDefault="00C338E8" w:rsidP="005902D1"/>
    <w:p w14:paraId="4FA3E9FB" w14:textId="77777777" w:rsidR="00C338E8" w:rsidRDefault="00B12E4F" w:rsidP="005902D1">
      <w:pPr>
        <w:pStyle w:val="Heading2"/>
        <w:keepNext w:val="0"/>
        <w:pageBreakBefore/>
        <w:spacing w:before="0"/>
      </w:pPr>
      <w:bookmarkStart w:id="361" w:name="_Toc100739058"/>
      <w:bookmarkStart w:id="362" w:name="_Toc101618174"/>
      <w:bookmarkStart w:id="363" w:name="Appendix_5"/>
      <w:r w:rsidRPr="00725E50">
        <w:lastRenderedPageBreak/>
        <w:t xml:space="preserve">Appendix </w:t>
      </w:r>
      <w:r>
        <w:t>5</w:t>
      </w:r>
      <w:r w:rsidRPr="00725E50">
        <w:t xml:space="preserve">: Results tables from </w:t>
      </w:r>
      <w:r>
        <w:t xml:space="preserve">the </w:t>
      </w:r>
      <w:r w:rsidRPr="00725E50">
        <w:t xml:space="preserve">comparison with </w:t>
      </w:r>
      <w:r>
        <w:t xml:space="preserve">the </w:t>
      </w:r>
      <w:r w:rsidRPr="00725E50">
        <w:t xml:space="preserve">Australian Pharmaceutical Benefits Schedule (PBS) </w:t>
      </w:r>
      <w:r>
        <w:t xml:space="preserve">– </w:t>
      </w:r>
      <w:r w:rsidRPr="00725E50">
        <w:t>medicines funded in Australia but not in Aotearoa</w:t>
      </w:r>
      <w:bookmarkEnd w:id="361"/>
      <w:bookmarkEnd w:id="362"/>
    </w:p>
    <w:bookmarkEnd w:id="363"/>
    <w:p w14:paraId="5E541B1F" w14:textId="77777777" w:rsidR="00C338E8" w:rsidRDefault="00B12E4F" w:rsidP="005902D1">
      <w:r>
        <w:t>This appendix provides results from the comparison of cancer medicines publicly funded in Aotearoa with those included in the Australian PBS list of pharmaceuticals, specifically for medicines funded in Australia but not in Aotearoa.</w:t>
      </w:r>
    </w:p>
    <w:p w14:paraId="5BA16567" w14:textId="77777777" w:rsidR="00C338E8" w:rsidRDefault="00C338E8" w:rsidP="005902D1"/>
    <w:p w14:paraId="59BC04E5" w14:textId="77777777" w:rsidR="00C338E8" w:rsidRDefault="0056499C" w:rsidP="005902D1">
      <w:hyperlink w:anchor="Appendix_5_Table_5point1" w:history="1">
        <w:r w:rsidR="00F047DF" w:rsidRPr="00F047DF">
          <w:rPr>
            <w:rStyle w:val="Hyperlink"/>
          </w:rPr>
          <w:t>Tables 5.1–5.5</w:t>
        </w:r>
      </w:hyperlink>
      <w:r w:rsidR="00B12E4F">
        <w:t xml:space="preserve"> focus on the medicines funded in Australia but not in Aotearoa by ESMO-MCBS scores. </w:t>
      </w:r>
      <w:hyperlink w:anchor="Appendix_5_Table_5point1" w:history="1">
        <w:r w:rsidR="00F047DF" w:rsidRPr="00F047DF">
          <w:rPr>
            <w:rStyle w:val="Hyperlink"/>
          </w:rPr>
          <w:t>Table 5.1</w:t>
        </w:r>
      </w:hyperlink>
      <w:r w:rsidR="00B12E4F">
        <w:t xml:space="preserve"> lists medicines that had an ESMO-MCBS score of </w:t>
      </w:r>
      <w:proofErr w:type="gramStart"/>
      <w:r w:rsidR="00B12E4F">
        <w:t>A</w:t>
      </w:r>
      <w:proofErr w:type="gramEnd"/>
      <w:r w:rsidR="00B12E4F">
        <w:t xml:space="preserve">, indicating substantial clinical benefit in the curative setting as defined by ESMO. It provides details on how the gaps were ultimately categorised, informed by this score and by confirmation/checking with clinical advisors. It should be noted that there were no medicines and indications with an ESMO-MCBS score of </w:t>
      </w:r>
      <w:proofErr w:type="gramStart"/>
      <w:r w:rsidR="00B12E4F">
        <w:t>B</w:t>
      </w:r>
      <w:proofErr w:type="gramEnd"/>
      <w:r w:rsidR="00B12E4F">
        <w:t xml:space="preserve"> (also indicative of substantial clinical benefit in the curative setting).</w:t>
      </w:r>
    </w:p>
    <w:p w14:paraId="1D14B549" w14:textId="77777777" w:rsidR="00C338E8" w:rsidRDefault="00C338E8" w:rsidP="005902D1"/>
    <w:p w14:paraId="3E7B812B" w14:textId="77777777" w:rsidR="00B12E4F" w:rsidRPr="005902D1" w:rsidRDefault="00B12E4F" w:rsidP="005902D1">
      <w:pPr>
        <w:pStyle w:val="Table"/>
        <w:rPr>
          <w:spacing w:val="-2"/>
        </w:rPr>
      </w:pPr>
      <w:bookmarkStart w:id="364" w:name="_Toc101365609"/>
      <w:bookmarkStart w:id="365" w:name="Appendix_5_Table_5point1"/>
      <w:r w:rsidRPr="005902D1">
        <w:rPr>
          <w:spacing w:val="-2"/>
        </w:rPr>
        <w:t>Table</w:t>
      </w:r>
      <w:r w:rsidR="005902D1" w:rsidRPr="005902D1">
        <w:rPr>
          <w:spacing w:val="-2"/>
        </w:rPr>
        <w:t> </w:t>
      </w:r>
      <w:r w:rsidRPr="005902D1">
        <w:rPr>
          <w:spacing w:val="-2"/>
        </w:rPr>
        <w:t>5.1: Medicines funded in Australia but not in Aotearoa with an ESMO-MCBS score of</w:t>
      </w:r>
      <w:r w:rsidR="005902D1" w:rsidRPr="005902D1">
        <w:rPr>
          <w:spacing w:val="-2"/>
        </w:rPr>
        <w:t> </w:t>
      </w:r>
      <w:proofErr w:type="gramStart"/>
      <w:r w:rsidRPr="005902D1">
        <w:rPr>
          <w:spacing w:val="-2"/>
        </w:rPr>
        <w:t>A</w:t>
      </w:r>
      <w:bookmarkEnd w:id="364"/>
      <w:proofErr w:type="gramEnd"/>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2835"/>
        <w:gridCol w:w="3685"/>
      </w:tblGrid>
      <w:tr w:rsidR="000C1356" w:rsidRPr="000C1356" w14:paraId="0C50AEA1" w14:textId="77777777" w:rsidTr="000C1356">
        <w:trPr>
          <w:cantSplit/>
          <w:tblHeader/>
        </w:trPr>
        <w:tc>
          <w:tcPr>
            <w:tcW w:w="1560" w:type="dxa"/>
            <w:tcBorders>
              <w:top w:val="nil"/>
              <w:bottom w:val="nil"/>
            </w:tcBorders>
            <w:shd w:val="clear" w:color="auto" w:fill="C2D9BA"/>
          </w:tcPr>
          <w:p w14:paraId="23172BAF" w14:textId="77777777" w:rsidR="000C1356" w:rsidRPr="000C1356" w:rsidRDefault="000C1356" w:rsidP="00B521E2">
            <w:pPr>
              <w:pStyle w:val="TableText"/>
              <w:rPr>
                <w:b/>
              </w:rPr>
            </w:pPr>
            <w:r w:rsidRPr="000C1356">
              <w:rPr>
                <w:b/>
              </w:rPr>
              <w:t>Medicine</w:t>
            </w:r>
          </w:p>
        </w:tc>
        <w:tc>
          <w:tcPr>
            <w:tcW w:w="2835" w:type="dxa"/>
            <w:tcBorders>
              <w:top w:val="nil"/>
              <w:bottom w:val="nil"/>
            </w:tcBorders>
            <w:shd w:val="clear" w:color="auto" w:fill="C2D9BA"/>
          </w:tcPr>
          <w:p w14:paraId="4AF3A2FA" w14:textId="77777777" w:rsidR="000C1356" w:rsidRPr="000C1356" w:rsidRDefault="000C1356" w:rsidP="00B521E2">
            <w:pPr>
              <w:pStyle w:val="TableText"/>
              <w:ind w:right="113"/>
              <w:rPr>
                <w:b/>
              </w:rPr>
            </w:pPr>
            <w:r w:rsidRPr="000C1356">
              <w:rPr>
                <w:b/>
              </w:rPr>
              <w:t>Indication per PBS</w:t>
            </w:r>
          </w:p>
        </w:tc>
        <w:tc>
          <w:tcPr>
            <w:tcW w:w="3685" w:type="dxa"/>
            <w:tcBorders>
              <w:top w:val="nil"/>
              <w:bottom w:val="nil"/>
            </w:tcBorders>
            <w:shd w:val="clear" w:color="auto" w:fill="C2D9BA"/>
          </w:tcPr>
          <w:p w14:paraId="7FC038D1" w14:textId="77777777" w:rsidR="000C1356" w:rsidRPr="000C1356" w:rsidRDefault="000C1356" w:rsidP="00B521E2">
            <w:pPr>
              <w:pStyle w:val="TableText"/>
              <w:rPr>
                <w:b/>
              </w:rPr>
            </w:pPr>
            <w:r w:rsidRPr="000C1356">
              <w:rPr>
                <w:b/>
              </w:rPr>
              <w:t>Final gap categorisation</w:t>
            </w:r>
          </w:p>
        </w:tc>
      </w:tr>
      <w:tr w:rsidR="000C1356" w14:paraId="68411257" w14:textId="77777777" w:rsidTr="000C1356">
        <w:trPr>
          <w:cantSplit/>
        </w:trPr>
        <w:tc>
          <w:tcPr>
            <w:tcW w:w="1560" w:type="dxa"/>
            <w:tcBorders>
              <w:top w:val="nil"/>
              <w:bottom w:val="single" w:sz="4" w:space="0" w:color="C2D9BA"/>
            </w:tcBorders>
            <w:shd w:val="clear" w:color="auto" w:fill="auto"/>
          </w:tcPr>
          <w:p w14:paraId="0E47FDFB" w14:textId="77777777" w:rsidR="000C1356" w:rsidRPr="00E444B3" w:rsidRDefault="000C1356" w:rsidP="00B521E2">
            <w:pPr>
              <w:pStyle w:val="TableText"/>
            </w:pPr>
            <w:r>
              <w:t>Dabrafenib</w:t>
            </w:r>
          </w:p>
        </w:tc>
        <w:tc>
          <w:tcPr>
            <w:tcW w:w="2835" w:type="dxa"/>
            <w:tcBorders>
              <w:top w:val="nil"/>
              <w:bottom w:val="single" w:sz="4" w:space="0" w:color="C2D9BA"/>
            </w:tcBorders>
            <w:shd w:val="clear" w:color="auto" w:fill="auto"/>
          </w:tcPr>
          <w:p w14:paraId="7AE72F17" w14:textId="77777777" w:rsidR="000C1356" w:rsidRDefault="000C1356" w:rsidP="00B521E2">
            <w:pPr>
              <w:pStyle w:val="TableText"/>
              <w:ind w:right="113"/>
            </w:pPr>
            <w:r w:rsidRPr="00E444B3">
              <w:t>Melanoma (stage III, BRAF +ve, adjuvant to surgery)</w:t>
            </w:r>
          </w:p>
          <w:p w14:paraId="12068C4E" w14:textId="77777777" w:rsidR="000C1356" w:rsidRPr="00E444B3" w:rsidRDefault="000C1356" w:rsidP="00B521E2">
            <w:pPr>
              <w:pStyle w:val="TableText"/>
              <w:ind w:right="113"/>
            </w:pPr>
            <w:r>
              <w:t>Used in combination with trametinib</w:t>
            </w:r>
          </w:p>
        </w:tc>
        <w:tc>
          <w:tcPr>
            <w:tcW w:w="3685" w:type="dxa"/>
            <w:tcBorders>
              <w:top w:val="nil"/>
              <w:bottom w:val="single" w:sz="4" w:space="0" w:color="C2D9BA"/>
            </w:tcBorders>
            <w:shd w:val="clear" w:color="auto" w:fill="auto"/>
          </w:tcPr>
          <w:p w14:paraId="2041450F" w14:textId="77777777" w:rsidR="000C1356" w:rsidRDefault="000C1356" w:rsidP="00B521E2">
            <w:pPr>
              <w:pStyle w:val="TableText"/>
            </w:pPr>
            <w:r w:rsidRPr="007E0310">
              <w:t>Gap – substantial clinical benefit</w:t>
            </w:r>
          </w:p>
          <w:p w14:paraId="03031730" w14:textId="77777777" w:rsidR="000C1356" w:rsidRDefault="000C1356" w:rsidP="00B521E2">
            <w:pPr>
              <w:pStyle w:val="TableText"/>
            </w:pPr>
            <w:r w:rsidRPr="008B1D6A">
              <w:t>ESMO-MCBS score relevant to Aotearoa</w:t>
            </w:r>
          </w:p>
          <w:p w14:paraId="289D2B89" w14:textId="77777777" w:rsidR="000C1356" w:rsidRDefault="000C1356" w:rsidP="00B521E2">
            <w:pPr>
              <w:pStyle w:val="TableText"/>
            </w:pPr>
            <w:r w:rsidRPr="008B1D6A">
              <w:t>Both dabrafenib and trametinib would need to be funded for this indication for this gap to be filled</w:t>
            </w:r>
            <w:r>
              <w:t>.</w:t>
            </w:r>
          </w:p>
          <w:p w14:paraId="309BE8DC" w14:textId="77777777" w:rsidR="000C1356" w:rsidRPr="00A605FF" w:rsidRDefault="000C1356" w:rsidP="00F047DF">
            <w:pPr>
              <w:pStyle w:val="TableText"/>
            </w:pPr>
            <w:r w:rsidRPr="008B1D6A">
              <w:t xml:space="preserve">See </w:t>
            </w:r>
            <w:hyperlink w:anchor="Appendix_7_Table_7point18" w:history="1">
              <w:r w:rsidR="00F047DF" w:rsidRPr="00F047DF">
                <w:rPr>
                  <w:rStyle w:val="Hyperlink"/>
                </w:rPr>
                <w:t>Appendix 7, Table 7.18</w:t>
              </w:r>
            </w:hyperlink>
            <w:r w:rsidRPr="00A605FF">
              <w:t xml:space="preserve"> for more information</w:t>
            </w:r>
            <w:r>
              <w:t>.</w:t>
            </w:r>
          </w:p>
        </w:tc>
      </w:tr>
      <w:tr w:rsidR="000C1356" w14:paraId="1296A227" w14:textId="77777777" w:rsidTr="000C1356">
        <w:trPr>
          <w:cantSplit/>
        </w:trPr>
        <w:tc>
          <w:tcPr>
            <w:tcW w:w="1560" w:type="dxa"/>
            <w:tcBorders>
              <w:top w:val="single" w:sz="4" w:space="0" w:color="C2D9BA"/>
              <w:bottom w:val="single" w:sz="4" w:space="0" w:color="C2D9BA"/>
            </w:tcBorders>
            <w:shd w:val="clear" w:color="auto" w:fill="auto"/>
          </w:tcPr>
          <w:p w14:paraId="23698C51" w14:textId="77777777" w:rsidR="000C1356" w:rsidRPr="00E444B3" w:rsidRDefault="000C1356" w:rsidP="00B521E2">
            <w:pPr>
              <w:pStyle w:val="TableText"/>
            </w:pPr>
            <w:r w:rsidRPr="00E444B3">
              <w:t>Nivolumab</w:t>
            </w:r>
          </w:p>
        </w:tc>
        <w:tc>
          <w:tcPr>
            <w:tcW w:w="2835" w:type="dxa"/>
            <w:tcBorders>
              <w:top w:val="single" w:sz="4" w:space="0" w:color="C2D9BA"/>
              <w:bottom w:val="single" w:sz="4" w:space="0" w:color="C2D9BA"/>
            </w:tcBorders>
            <w:shd w:val="clear" w:color="auto" w:fill="auto"/>
          </w:tcPr>
          <w:p w14:paraId="2338CACE" w14:textId="77777777" w:rsidR="000C1356" w:rsidRPr="00E444B3" w:rsidRDefault="000C1356" w:rsidP="00B521E2">
            <w:pPr>
              <w:pStyle w:val="TableText"/>
              <w:ind w:right="113"/>
            </w:pPr>
            <w:r w:rsidRPr="00E444B3">
              <w:t>Melanoma (stage III, adjuvant to surgery)</w:t>
            </w:r>
          </w:p>
        </w:tc>
        <w:tc>
          <w:tcPr>
            <w:tcW w:w="3685" w:type="dxa"/>
            <w:tcBorders>
              <w:top w:val="single" w:sz="4" w:space="0" w:color="C2D9BA"/>
              <w:bottom w:val="single" w:sz="4" w:space="0" w:color="C2D9BA"/>
            </w:tcBorders>
            <w:shd w:val="clear" w:color="auto" w:fill="auto"/>
          </w:tcPr>
          <w:p w14:paraId="54C91055" w14:textId="77777777" w:rsidR="000C1356" w:rsidRDefault="000C1356" w:rsidP="00B521E2">
            <w:pPr>
              <w:pStyle w:val="TableText"/>
            </w:pPr>
            <w:r w:rsidRPr="007E0310">
              <w:t>Gap – substantial clinical benefit</w:t>
            </w:r>
          </w:p>
          <w:p w14:paraId="4084825E" w14:textId="77777777" w:rsidR="000C1356" w:rsidRDefault="000C1356" w:rsidP="00B521E2">
            <w:pPr>
              <w:pStyle w:val="TableText"/>
            </w:pPr>
            <w:r w:rsidRPr="00A605FF">
              <w:t>ESMO-MCBS score is based on a comparator that isn</w:t>
            </w:r>
            <w:r>
              <w:t>’</w:t>
            </w:r>
            <w:r w:rsidRPr="00A605FF">
              <w:t xml:space="preserve">t funded in Aotearoa – ipilimumab. Nivolumab is likely to be even more effective </w:t>
            </w:r>
            <w:r>
              <w:t>when compared to</w:t>
            </w:r>
            <w:r w:rsidRPr="00A605FF">
              <w:t xml:space="preserve"> the current standard of care in Aotearoa </w:t>
            </w:r>
            <w:r>
              <w:t>–</w:t>
            </w:r>
            <w:r w:rsidRPr="00A605FF">
              <w:t xml:space="preserve"> watch and wait</w:t>
            </w:r>
            <w:r>
              <w:t>.</w:t>
            </w:r>
          </w:p>
          <w:p w14:paraId="368A22CC" w14:textId="77777777" w:rsidR="000C1356" w:rsidRDefault="000C1356" w:rsidP="00B521E2">
            <w:pPr>
              <w:pStyle w:val="TableText"/>
            </w:pPr>
            <w:r w:rsidRPr="00A605FF">
              <w:t>Nivolumab is funded in Aotearoa but not for this indication</w:t>
            </w:r>
            <w:r>
              <w:t>.</w:t>
            </w:r>
          </w:p>
          <w:p w14:paraId="6C65ACFF" w14:textId="77777777" w:rsidR="000C1356" w:rsidRDefault="000C1356" w:rsidP="00B521E2">
            <w:pPr>
              <w:pStyle w:val="TableText"/>
            </w:pPr>
            <w:r w:rsidRPr="00A605FF">
              <w:t>Pembrolizumab is an alternative option to fill this gap</w:t>
            </w:r>
            <w:r>
              <w:t>.</w:t>
            </w:r>
          </w:p>
          <w:p w14:paraId="13AA9805" w14:textId="77777777" w:rsidR="000C1356" w:rsidRPr="00A605FF" w:rsidRDefault="000C1356" w:rsidP="00F047DF">
            <w:pPr>
              <w:pStyle w:val="TableText"/>
            </w:pPr>
            <w:r w:rsidRPr="00A605FF">
              <w:t xml:space="preserve">See </w:t>
            </w:r>
            <w:hyperlink w:anchor="Appendix_7_Table_7point17" w:history="1">
              <w:r w:rsidR="00F047DF" w:rsidRPr="00F047DF">
                <w:rPr>
                  <w:rStyle w:val="Hyperlink"/>
                </w:rPr>
                <w:t>Appendix 7, Table 7.17</w:t>
              </w:r>
            </w:hyperlink>
            <w:r w:rsidRPr="00A605FF">
              <w:t xml:space="preserve"> for more information</w:t>
            </w:r>
            <w:r>
              <w:t>.</w:t>
            </w:r>
          </w:p>
        </w:tc>
      </w:tr>
      <w:tr w:rsidR="000C1356" w14:paraId="45214342" w14:textId="77777777" w:rsidTr="000C1356">
        <w:trPr>
          <w:cantSplit/>
        </w:trPr>
        <w:tc>
          <w:tcPr>
            <w:tcW w:w="1560" w:type="dxa"/>
            <w:tcBorders>
              <w:top w:val="single" w:sz="4" w:space="0" w:color="C2D9BA"/>
              <w:bottom w:val="single" w:sz="4" w:space="0" w:color="C2D9BA"/>
            </w:tcBorders>
            <w:shd w:val="clear" w:color="auto" w:fill="auto"/>
          </w:tcPr>
          <w:p w14:paraId="37D77DB2" w14:textId="77777777" w:rsidR="000C1356" w:rsidRPr="00E444B3" w:rsidRDefault="000C1356" w:rsidP="00B521E2">
            <w:pPr>
              <w:pStyle w:val="TableText"/>
            </w:pPr>
            <w:r w:rsidRPr="00E444B3">
              <w:lastRenderedPageBreak/>
              <w:t>Pembrolizumab</w:t>
            </w:r>
          </w:p>
        </w:tc>
        <w:tc>
          <w:tcPr>
            <w:tcW w:w="2835" w:type="dxa"/>
            <w:tcBorders>
              <w:top w:val="single" w:sz="4" w:space="0" w:color="C2D9BA"/>
              <w:bottom w:val="single" w:sz="4" w:space="0" w:color="C2D9BA"/>
            </w:tcBorders>
            <w:shd w:val="clear" w:color="auto" w:fill="auto"/>
          </w:tcPr>
          <w:p w14:paraId="60FDF319" w14:textId="77777777" w:rsidR="000C1356" w:rsidRPr="00E444B3" w:rsidRDefault="000C1356" w:rsidP="00B521E2">
            <w:pPr>
              <w:pStyle w:val="TableText"/>
              <w:ind w:right="113"/>
            </w:pPr>
            <w:r w:rsidRPr="00E444B3">
              <w:t>Melanoma (stage III or IV, adjuvant to surgery)</w:t>
            </w:r>
          </w:p>
        </w:tc>
        <w:tc>
          <w:tcPr>
            <w:tcW w:w="3685" w:type="dxa"/>
            <w:tcBorders>
              <w:top w:val="single" w:sz="4" w:space="0" w:color="C2D9BA"/>
              <w:bottom w:val="single" w:sz="4" w:space="0" w:color="C2D9BA"/>
            </w:tcBorders>
            <w:shd w:val="clear" w:color="auto" w:fill="auto"/>
          </w:tcPr>
          <w:p w14:paraId="0963F355" w14:textId="77777777" w:rsidR="000C1356" w:rsidRDefault="000C1356" w:rsidP="00B521E2">
            <w:pPr>
              <w:pStyle w:val="TableText"/>
            </w:pPr>
            <w:r w:rsidRPr="007E0310">
              <w:t>Gap – substantial clinical benefit</w:t>
            </w:r>
          </w:p>
          <w:p w14:paraId="5A7AB0E9" w14:textId="77777777" w:rsidR="000C1356" w:rsidRDefault="000C1356" w:rsidP="00B521E2">
            <w:pPr>
              <w:pStyle w:val="TableText"/>
            </w:pPr>
            <w:r w:rsidRPr="00A605FF">
              <w:t>ESMO-MCBS score relevant to Aotearoa</w:t>
            </w:r>
          </w:p>
          <w:p w14:paraId="2FE1BADB" w14:textId="77777777" w:rsidR="000C1356" w:rsidRDefault="000C1356" w:rsidP="00B521E2">
            <w:pPr>
              <w:pStyle w:val="TableText"/>
            </w:pPr>
            <w:r w:rsidRPr="00A605FF">
              <w:t>Pembrolizumab is funded in Aotearoa but not for this indication</w:t>
            </w:r>
            <w:r>
              <w:t>.</w:t>
            </w:r>
          </w:p>
          <w:p w14:paraId="01CA1FBB" w14:textId="77777777" w:rsidR="000C1356" w:rsidRDefault="000C1356" w:rsidP="00B521E2">
            <w:pPr>
              <w:pStyle w:val="TableText"/>
            </w:pPr>
            <w:r w:rsidRPr="00A605FF">
              <w:t>Nivolumab is an alternative option to fill this gap</w:t>
            </w:r>
            <w:r>
              <w:t>.</w:t>
            </w:r>
          </w:p>
          <w:p w14:paraId="422FF6F1" w14:textId="77777777" w:rsidR="000C1356" w:rsidRPr="007E0310" w:rsidRDefault="000C1356" w:rsidP="00F047DF">
            <w:pPr>
              <w:pStyle w:val="TableText"/>
            </w:pPr>
            <w:r w:rsidRPr="00A605FF">
              <w:t xml:space="preserve">See </w:t>
            </w:r>
            <w:hyperlink w:anchor="Appendix_7_Table_7point17" w:history="1">
              <w:r w:rsidR="00F047DF" w:rsidRPr="00F047DF">
                <w:rPr>
                  <w:rStyle w:val="Hyperlink"/>
                </w:rPr>
                <w:t>Appendix 7, Table 7.17</w:t>
              </w:r>
            </w:hyperlink>
            <w:r w:rsidRPr="00A605FF">
              <w:t xml:space="preserve"> for more information</w:t>
            </w:r>
            <w:r>
              <w:t>.</w:t>
            </w:r>
          </w:p>
        </w:tc>
      </w:tr>
      <w:tr w:rsidR="000C1356" w14:paraId="4FCCFCA2" w14:textId="77777777" w:rsidTr="000C1356">
        <w:trPr>
          <w:cantSplit/>
        </w:trPr>
        <w:tc>
          <w:tcPr>
            <w:tcW w:w="1560" w:type="dxa"/>
            <w:tcBorders>
              <w:top w:val="single" w:sz="4" w:space="0" w:color="C2D9BA"/>
              <w:bottom w:val="single" w:sz="4" w:space="0" w:color="C2D9BA"/>
            </w:tcBorders>
            <w:shd w:val="clear" w:color="auto" w:fill="auto"/>
          </w:tcPr>
          <w:p w14:paraId="281E254D" w14:textId="77777777" w:rsidR="000C1356" w:rsidRPr="00E444B3" w:rsidRDefault="000C1356" w:rsidP="00B521E2">
            <w:pPr>
              <w:pStyle w:val="TableText"/>
            </w:pPr>
            <w:r>
              <w:t>Trametinib</w:t>
            </w:r>
          </w:p>
        </w:tc>
        <w:tc>
          <w:tcPr>
            <w:tcW w:w="2835" w:type="dxa"/>
            <w:tcBorders>
              <w:top w:val="single" w:sz="4" w:space="0" w:color="C2D9BA"/>
              <w:bottom w:val="single" w:sz="4" w:space="0" w:color="C2D9BA"/>
            </w:tcBorders>
            <w:shd w:val="clear" w:color="auto" w:fill="auto"/>
          </w:tcPr>
          <w:p w14:paraId="2789CB26" w14:textId="77777777" w:rsidR="000C1356" w:rsidRDefault="000C1356" w:rsidP="00B521E2">
            <w:pPr>
              <w:pStyle w:val="TableText"/>
              <w:ind w:right="113"/>
            </w:pPr>
            <w:r w:rsidRPr="00E444B3">
              <w:t>Melanoma (stage III, BRAF +ve, adjuvant to surgery)</w:t>
            </w:r>
          </w:p>
          <w:p w14:paraId="6C4331EA" w14:textId="77777777" w:rsidR="000C1356" w:rsidRPr="00E444B3" w:rsidRDefault="000C1356" w:rsidP="00B521E2">
            <w:pPr>
              <w:pStyle w:val="TableText"/>
              <w:ind w:right="113"/>
            </w:pPr>
            <w:r>
              <w:t>Used in combination with dabrafenib</w:t>
            </w:r>
          </w:p>
        </w:tc>
        <w:tc>
          <w:tcPr>
            <w:tcW w:w="3685" w:type="dxa"/>
            <w:tcBorders>
              <w:top w:val="single" w:sz="4" w:space="0" w:color="C2D9BA"/>
              <w:bottom w:val="single" w:sz="4" w:space="0" w:color="C2D9BA"/>
            </w:tcBorders>
            <w:shd w:val="clear" w:color="auto" w:fill="auto"/>
          </w:tcPr>
          <w:p w14:paraId="68DED84A" w14:textId="77777777" w:rsidR="000C1356" w:rsidRDefault="000C1356" w:rsidP="00B521E2">
            <w:pPr>
              <w:pStyle w:val="TableText"/>
            </w:pPr>
            <w:r w:rsidRPr="007E0310">
              <w:t>Gap – substantial clinical benefit</w:t>
            </w:r>
          </w:p>
          <w:p w14:paraId="481C7981" w14:textId="77777777" w:rsidR="000C1356" w:rsidRDefault="000C1356" w:rsidP="00B521E2">
            <w:pPr>
              <w:pStyle w:val="TableText"/>
            </w:pPr>
            <w:r w:rsidRPr="00A605FF">
              <w:t>ESMO-MCBS score relevant to Aotearoa</w:t>
            </w:r>
          </w:p>
          <w:p w14:paraId="076E35EA" w14:textId="77777777" w:rsidR="000C1356" w:rsidRDefault="000C1356" w:rsidP="00B521E2">
            <w:pPr>
              <w:pStyle w:val="TableText"/>
            </w:pPr>
            <w:r w:rsidRPr="00A605FF">
              <w:t>Both trametinib and dabrafenib would need to be funded for this indication for this gap to be filled</w:t>
            </w:r>
            <w:r>
              <w:t>.</w:t>
            </w:r>
          </w:p>
          <w:p w14:paraId="2A1702A3" w14:textId="77777777" w:rsidR="000C1356" w:rsidRPr="00A605FF" w:rsidRDefault="000C1356" w:rsidP="00F047DF">
            <w:pPr>
              <w:pStyle w:val="TableText"/>
            </w:pPr>
            <w:r w:rsidRPr="00A605FF">
              <w:t xml:space="preserve">See </w:t>
            </w:r>
            <w:hyperlink w:anchor="Appendix_7_Table_7point18" w:history="1">
              <w:r w:rsidR="00F047DF" w:rsidRPr="00F047DF">
                <w:rPr>
                  <w:rStyle w:val="Hyperlink"/>
                </w:rPr>
                <w:t>Appendix 7, Table 7.18</w:t>
              </w:r>
            </w:hyperlink>
            <w:r w:rsidRPr="00A605FF">
              <w:t xml:space="preserve"> for more information</w:t>
            </w:r>
            <w:r>
              <w:t>.</w:t>
            </w:r>
          </w:p>
        </w:tc>
      </w:tr>
      <w:bookmarkEnd w:id="365"/>
    </w:tbl>
    <w:p w14:paraId="0604AF64" w14:textId="77777777" w:rsidR="00C338E8" w:rsidRDefault="00C338E8" w:rsidP="000C1356"/>
    <w:p w14:paraId="7CC94F50" w14:textId="180EF8B7" w:rsidR="00C338E8" w:rsidRDefault="0056499C" w:rsidP="000C1356">
      <w:hyperlink w:anchor="Appendix_5_Table_5point2" w:history="1">
        <w:r w:rsidR="00F047DF" w:rsidRPr="00F047DF">
          <w:rPr>
            <w:rStyle w:val="Hyperlink"/>
          </w:rPr>
          <w:t>Tables 5.2</w:t>
        </w:r>
      </w:hyperlink>
      <w:hyperlink w:anchor="Appendix_5_Table_5point3" w:history="1">
        <w:r w:rsidR="00F047DF" w:rsidRPr="00F047DF">
          <w:rPr>
            <w:rStyle w:val="Hyperlink"/>
          </w:rPr>
          <w:t xml:space="preserve"> and 5.3</w:t>
        </w:r>
      </w:hyperlink>
      <w:r w:rsidR="00B12E4F" w:rsidRPr="00F047DF">
        <w:t xml:space="preserve"> list medicine</w:t>
      </w:r>
      <w:r w:rsidR="00B12E4F">
        <w:t>s funded in Australia but not Aotearoa that had an ESMO</w:t>
      </w:r>
      <w:r w:rsidR="000C1356">
        <w:noBreakHyphen/>
      </w:r>
      <w:r w:rsidR="00B12E4F">
        <w:t xml:space="preserve">MCBS score of </w:t>
      </w:r>
      <w:r w:rsidR="00A11998">
        <w:t>5</w:t>
      </w:r>
      <w:r w:rsidR="00B12E4F">
        <w:t xml:space="preserve"> and </w:t>
      </w:r>
      <w:r w:rsidR="00A11998">
        <w:t>4</w:t>
      </w:r>
      <w:r w:rsidR="00B12E4F">
        <w:t xml:space="preserve"> respectively, indicating substantial clinical benefit in the non-curative setting as defined by ESMO. As before, the tables also include information on how the gaps were categorised.</w:t>
      </w:r>
    </w:p>
    <w:p w14:paraId="51F4B4E9" w14:textId="77777777" w:rsidR="00C338E8" w:rsidRDefault="00C338E8" w:rsidP="000C1356"/>
    <w:p w14:paraId="33CD2A6F" w14:textId="77777777" w:rsidR="00B12E4F" w:rsidRDefault="00B12E4F" w:rsidP="000C1356">
      <w:pPr>
        <w:pStyle w:val="Table"/>
      </w:pPr>
      <w:bookmarkStart w:id="366" w:name="_Toc101365610"/>
      <w:bookmarkStart w:id="367" w:name="Appendix_5_Table_5point2"/>
      <w:r w:rsidRPr="00E444B3">
        <w:t>Table</w:t>
      </w:r>
      <w:r w:rsidR="000C1356">
        <w:t> </w:t>
      </w:r>
      <w:r>
        <w:t>5.2</w:t>
      </w:r>
      <w:r w:rsidRPr="00E444B3">
        <w:t>: Medicines funded in Australia and not in Aotearoa – ESMO-MCBS score of 5</w:t>
      </w:r>
      <w:bookmarkEnd w:id="36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2835"/>
        <w:gridCol w:w="3685"/>
      </w:tblGrid>
      <w:tr w:rsidR="000C1356" w:rsidRPr="000C1356" w14:paraId="0FF21F88" w14:textId="77777777" w:rsidTr="00B521E2">
        <w:trPr>
          <w:cantSplit/>
          <w:tblHeader/>
        </w:trPr>
        <w:tc>
          <w:tcPr>
            <w:tcW w:w="1560" w:type="dxa"/>
            <w:tcBorders>
              <w:top w:val="nil"/>
              <w:bottom w:val="nil"/>
            </w:tcBorders>
            <w:shd w:val="clear" w:color="auto" w:fill="C2D9BA"/>
          </w:tcPr>
          <w:p w14:paraId="60E1AB5B" w14:textId="77777777" w:rsidR="000C1356" w:rsidRPr="000C1356" w:rsidRDefault="000C1356" w:rsidP="00B521E2">
            <w:pPr>
              <w:pStyle w:val="TableText"/>
              <w:rPr>
                <w:b/>
              </w:rPr>
            </w:pPr>
            <w:r w:rsidRPr="000C1356">
              <w:rPr>
                <w:b/>
              </w:rPr>
              <w:t>Medicine</w:t>
            </w:r>
          </w:p>
        </w:tc>
        <w:tc>
          <w:tcPr>
            <w:tcW w:w="2835" w:type="dxa"/>
            <w:tcBorders>
              <w:top w:val="nil"/>
              <w:bottom w:val="nil"/>
            </w:tcBorders>
            <w:shd w:val="clear" w:color="auto" w:fill="C2D9BA"/>
          </w:tcPr>
          <w:p w14:paraId="4C77A364" w14:textId="77777777" w:rsidR="000C1356" w:rsidRPr="000C1356" w:rsidRDefault="000C1356" w:rsidP="00B521E2">
            <w:pPr>
              <w:pStyle w:val="TableText"/>
              <w:ind w:right="113"/>
              <w:rPr>
                <w:b/>
              </w:rPr>
            </w:pPr>
            <w:r w:rsidRPr="000C1356">
              <w:rPr>
                <w:b/>
              </w:rPr>
              <w:t>Indication per PBS</w:t>
            </w:r>
          </w:p>
        </w:tc>
        <w:tc>
          <w:tcPr>
            <w:tcW w:w="3685" w:type="dxa"/>
            <w:tcBorders>
              <w:top w:val="nil"/>
              <w:bottom w:val="nil"/>
            </w:tcBorders>
            <w:shd w:val="clear" w:color="auto" w:fill="C2D9BA"/>
          </w:tcPr>
          <w:p w14:paraId="24C40B4C" w14:textId="77777777" w:rsidR="000C1356" w:rsidRPr="000C1356" w:rsidRDefault="000C1356" w:rsidP="00B521E2">
            <w:pPr>
              <w:pStyle w:val="TableText"/>
              <w:rPr>
                <w:b/>
              </w:rPr>
            </w:pPr>
            <w:r w:rsidRPr="000C1356">
              <w:rPr>
                <w:b/>
              </w:rPr>
              <w:t>Final gap categorisation</w:t>
            </w:r>
          </w:p>
        </w:tc>
      </w:tr>
      <w:tr w:rsidR="000C1356" w:rsidRPr="00A605FF" w14:paraId="0D4C52CB" w14:textId="77777777" w:rsidTr="00B521E2">
        <w:trPr>
          <w:cantSplit/>
        </w:trPr>
        <w:tc>
          <w:tcPr>
            <w:tcW w:w="1560" w:type="dxa"/>
            <w:tcBorders>
              <w:top w:val="nil"/>
              <w:bottom w:val="single" w:sz="4" w:space="0" w:color="C2D9BA"/>
            </w:tcBorders>
            <w:shd w:val="clear" w:color="auto" w:fill="auto"/>
          </w:tcPr>
          <w:p w14:paraId="56B04B5E" w14:textId="77777777" w:rsidR="000C1356" w:rsidRPr="00E444B3" w:rsidRDefault="000C1356" w:rsidP="000C1356">
            <w:pPr>
              <w:pStyle w:val="TableText"/>
            </w:pPr>
            <w:r w:rsidRPr="00E444B3">
              <w:t>Atezolizumab</w:t>
            </w:r>
          </w:p>
        </w:tc>
        <w:tc>
          <w:tcPr>
            <w:tcW w:w="2835" w:type="dxa"/>
            <w:tcBorders>
              <w:top w:val="nil"/>
              <w:bottom w:val="single" w:sz="4" w:space="0" w:color="C2D9BA"/>
            </w:tcBorders>
            <w:shd w:val="clear" w:color="auto" w:fill="auto"/>
          </w:tcPr>
          <w:p w14:paraId="4448405F" w14:textId="77777777" w:rsidR="000C1356" w:rsidRDefault="000C1356" w:rsidP="00B521E2">
            <w:pPr>
              <w:pStyle w:val="TableText"/>
              <w:ind w:right="113"/>
            </w:pPr>
            <w:r>
              <w:t>Liver cancer (h</w:t>
            </w:r>
            <w:r w:rsidRPr="00E444B3">
              <w:t>epatocellular carcinoma (</w:t>
            </w:r>
            <w:r>
              <w:t>HCC), a</w:t>
            </w:r>
            <w:r w:rsidRPr="00C30F81">
              <w:t>dvanced</w:t>
            </w:r>
            <w:r>
              <w:t xml:space="preserve"> (unresectable),</w:t>
            </w:r>
            <w:r w:rsidRPr="00C30F81">
              <w:t xml:space="preserve"> Barcelona Clinic Liver Cancer </w:t>
            </w:r>
            <w:proofErr w:type="gramStart"/>
            <w:r>
              <w:t>s</w:t>
            </w:r>
            <w:r w:rsidRPr="00C30F81">
              <w:t>tage</w:t>
            </w:r>
            <w:proofErr w:type="gramEnd"/>
            <w:r w:rsidRPr="00C30F81">
              <w:t xml:space="preserve"> B</w:t>
            </w:r>
            <w:r>
              <w:t xml:space="preserve"> or </w:t>
            </w:r>
            <w:r w:rsidRPr="00C30F81">
              <w:t>C</w:t>
            </w:r>
            <w:r>
              <w:t>, first</w:t>
            </w:r>
            <w:r w:rsidR="00B521E2">
              <w:noBreakHyphen/>
            </w:r>
            <w:r>
              <w:t>line</w:t>
            </w:r>
            <w:r w:rsidRPr="00E444B3">
              <w:t>)</w:t>
            </w:r>
          </w:p>
          <w:p w14:paraId="22DA5395" w14:textId="77777777" w:rsidR="000C1356" w:rsidRPr="00E444B3" w:rsidRDefault="000C1356" w:rsidP="00B521E2">
            <w:pPr>
              <w:pStyle w:val="TableText"/>
              <w:ind w:right="113"/>
            </w:pPr>
            <w:r>
              <w:t>Used in combination with bevacizumab</w:t>
            </w:r>
          </w:p>
        </w:tc>
        <w:tc>
          <w:tcPr>
            <w:tcW w:w="3685" w:type="dxa"/>
            <w:tcBorders>
              <w:top w:val="nil"/>
              <w:bottom w:val="single" w:sz="4" w:space="0" w:color="C2D9BA"/>
            </w:tcBorders>
            <w:shd w:val="clear" w:color="auto" w:fill="auto"/>
          </w:tcPr>
          <w:p w14:paraId="2CC53127" w14:textId="77777777" w:rsidR="000C1356" w:rsidRDefault="000C1356" w:rsidP="00B521E2">
            <w:pPr>
              <w:pStyle w:val="TableText"/>
            </w:pPr>
            <w:r w:rsidRPr="00860E6D">
              <w:t>Gap – substantial clinical benefit</w:t>
            </w:r>
          </w:p>
          <w:p w14:paraId="23FB7D96" w14:textId="77777777" w:rsidR="000C1356" w:rsidRDefault="000C1356" w:rsidP="00B521E2">
            <w:pPr>
              <w:pStyle w:val="TableText"/>
            </w:pPr>
            <w:r w:rsidRPr="00E84A89">
              <w:t>ESMO-MCBS score</w:t>
            </w:r>
            <w:r>
              <w:t xml:space="preserve"> is</w:t>
            </w:r>
            <w:r w:rsidRPr="00E84A89">
              <w:t xml:space="preserve"> based on a comparator that isn</w:t>
            </w:r>
            <w:r>
              <w:t>’</w:t>
            </w:r>
            <w:r w:rsidRPr="00E84A89">
              <w:t xml:space="preserve">t funded in Aotearoa – sorafenib. This regimen is likely to be even more effective </w:t>
            </w:r>
            <w:r>
              <w:t>when compared to</w:t>
            </w:r>
            <w:r w:rsidRPr="00E84A89">
              <w:t xml:space="preserve"> the current standard of care in Aotearoa</w:t>
            </w:r>
            <w:r>
              <w:t>,</w:t>
            </w:r>
            <w:r w:rsidRPr="00E84A89">
              <w:t xml:space="preserve"> which is best supportive care</w:t>
            </w:r>
            <w:r>
              <w:t>.</w:t>
            </w:r>
          </w:p>
          <w:p w14:paraId="020DA3DC" w14:textId="77777777" w:rsidR="000C1356" w:rsidRDefault="000C1356" w:rsidP="00B521E2">
            <w:pPr>
              <w:pStyle w:val="TableText"/>
            </w:pPr>
            <w:r w:rsidRPr="00E84A89">
              <w:t>Both atezolizumab and bevacizumab would need to be funded for this indication for this gap to be filled</w:t>
            </w:r>
            <w:r>
              <w:t>.</w:t>
            </w:r>
          </w:p>
          <w:p w14:paraId="6053E385" w14:textId="77777777" w:rsidR="000C1356" w:rsidRPr="00860E6D" w:rsidRDefault="000C1356" w:rsidP="00F047DF">
            <w:pPr>
              <w:pStyle w:val="TableText"/>
            </w:pPr>
            <w:r w:rsidRPr="00E84A89">
              <w:t xml:space="preserve">See </w:t>
            </w:r>
            <w:hyperlink w:anchor="Appendix_7_Table_7point7" w:history="1">
              <w:r w:rsidR="00F047DF" w:rsidRPr="00F047DF">
                <w:rPr>
                  <w:rStyle w:val="Hyperlink"/>
                </w:rPr>
                <w:t>Appendix 7, Table 7.7</w:t>
              </w:r>
            </w:hyperlink>
            <w:r w:rsidRPr="00E84A89">
              <w:t xml:space="preserve"> for more information</w:t>
            </w:r>
            <w:r>
              <w:t>.</w:t>
            </w:r>
          </w:p>
        </w:tc>
      </w:tr>
      <w:tr w:rsidR="000C1356" w:rsidRPr="00A605FF" w14:paraId="600FCB01" w14:textId="77777777" w:rsidTr="00B521E2">
        <w:trPr>
          <w:cantSplit/>
        </w:trPr>
        <w:tc>
          <w:tcPr>
            <w:tcW w:w="1560" w:type="dxa"/>
            <w:tcBorders>
              <w:top w:val="single" w:sz="4" w:space="0" w:color="C2D9BA"/>
              <w:bottom w:val="single" w:sz="4" w:space="0" w:color="C2D9BA"/>
            </w:tcBorders>
            <w:shd w:val="clear" w:color="auto" w:fill="auto"/>
          </w:tcPr>
          <w:p w14:paraId="4410E853" w14:textId="77777777" w:rsidR="000C1356" w:rsidRPr="00E444B3" w:rsidRDefault="000C1356" w:rsidP="00B521E2">
            <w:pPr>
              <w:pStyle w:val="TableText"/>
            </w:pPr>
            <w:r w:rsidRPr="00E444B3">
              <w:t>Atezolizumab</w:t>
            </w:r>
          </w:p>
        </w:tc>
        <w:tc>
          <w:tcPr>
            <w:tcW w:w="2835" w:type="dxa"/>
            <w:tcBorders>
              <w:top w:val="single" w:sz="4" w:space="0" w:color="C2D9BA"/>
              <w:bottom w:val="single" w:sz="4" w:space="0" w:color="C2D9BA"/>
            </w:tcBorders>
            <w:shd w:val="clear" w:color="auto" w:fill="auto"/>
          </w:tcPr>
          <w:p w14:paraId="57AD82EE" w14:textId="77777777" w:rsidR="000C1356" w:rsidRPr="00E444B3" w:rsidRDefault="000C1356" w:rsidP="00B521E2">
            <w:pPr>
              <w:pStyle w:val="TableText"/>
              <w:ind w:right="113"/>
            </w:pPr>
            <w:r w:rsidRPr="00E444B3">
              <w:t>Lung cancer (</w:t>
            </w:r>
            <w:r>
              <w:t>non-small cell lung cancer (</w:t>
            </w:r>
            <w:r w:rsidRPr="00E444B3">
              <w:t>NSCLC</w:t>
            </w:r>
            <w:r>
              <w:t>)</w:t>
            </w:r>
            <w:r w:rsidRPr="00E444B3">
              <w:t>, locally advanced or metastatic,</w:t>
            </w:r>
            <w:r>
              <w:t xml:space="preserve"> second-line</w:t>
            </w:r>
            <w:r w:rsidRPr="00E444B3">
              <w:t>)</w:t>
            </w:r>
          </w:p>
        </w:tc>
        <w:tc>
          <w:tcPr>
            <w:tcW w:w="3685" w:type="dxa"/>
            <w:tcBorders>
              <w:top w:val="single" w:sz="4" w:space="0" w:color="C2D9BA"/>
              <w:bottom w:val="single" w:sz="4" w:space="0" w:color="C2D9BA"/>
            </w:tcBorders>
            <w:shd w:val="clear" w:color="auto" w:fill="auto"/>
          </w:tcPr>
          <w:p w14:paraId="3684C8F1" w14:textId="77777777" w:rsidR="000C1356" w:rsidRDefault="000C1356" w:rsidP="00B521E2">
            <w:pPr>
              <w:pStyle w:val="TableText"/>
            </w:pPr>
            <w:r w:rsidRPr="00860E6D">
              <w:t>Gap – substantial clinical benefit</w:t>
            </w:r>
          </w:p>
          <w:p w14:paraId="1F1D8F48" w14:textId="77777777" w:rsidR="000C1356" w:rsidRDefault="000C1356" w:rsidP="00B521E2">
            <w:pPr>
              <w:pStyle w:val="TableText"/>
            </w:pPr>
            <w:r w:rsidRPr="00E84A89">
              <w:t>ESMO-MCBS score relevant to Aotearoa</w:t>
            </w:r>
          </w:p>
          <w:p w14:paraId="4C0E8CCE" w14:textId="77777777" w:rsidR="000C1356" w:rsidRDefault="000C1356" w:rsidP="00B521E2">
            <w:pPr>
              <w:pStyle w:val="TableText"/>
            </w:pPr>
            <w:r w:rsidRPr="00E84A89">
              <w:t>Nivolumab is an alternative option to fill this gap</w:t>
            </w:r>
            <w:r>
              <w:t>.</w:t>
            </w:r>
          </w:p>
          <w:p w14:paraId="653C97E5" w14:textId="77777777" w:rsidR="000C1356" w:rsidRDefault="000C1356" w:rsidP="00B521E2">
            <w:pPr>
              <w:pStyle w:val="TableText"/>
            </w:pPr>
            <w:r w:rsidRPr="00E84A89">
              <w:t>If an immune checkpoint inhibitor were funded in the first</w:t>
            </w:r>
            <w:r>
              <w:t>-</w:t>
            </w:r>
            <w:r w:rsidRPr="00E84A89">
              <w:t>line setting, this gap would be superseded</w:t>
            </w:r>
            <w:r>
              <w:t>.</w:t>
            </w:r>
          </w:p>
          <w:p w14:paraId="609C1CF5" w14:textId="77777777" w:rsidR="000C1356" w:rsidRPr="00066623" w:rsidRDefault="000C1356" w:rsidP="00F047DF">
            <w:pPr>
              <w:pStyle w:val="TableText"/>
            </w:pPr>
            <w:r w:rsidRPr="00066623">
              <w:t xml:space="preserve">See </w:t>
            </w:r>
            <w:hyperlink w:anchor="Appendix_7_Table_7point2" w:history="1">
              <w:r w:rsidR="00F047DF" w:rsidRPr="00F047DF">
                <w:rPr>
                  <w:rStyle w:val="Hyperlink"/>
                </w:rPr>
                <w:t>Appendix 7, Table 7.2</w:t>
              </w:r>
            </w:hyperlink>
            <w:r w:rsidRPr="00066623">
              <w:t xml:space="preserve"> for more information</w:t>
            </w:r>
            <w:r>
              <w:t>.</w:t>
            </w:r>
          </w:p>
        </w:tc>
      </w:tr>
      <w:tr w:rsidR="000C1356" w:rsidRPr="007E0310" w14:paraId="6AF47BAB" w14:textId="77777777" w:rsidTr="00B521E2">
        <w:trPr>
          <w:cantSplit/>
        </w:trPr>
        <w:tc>
          <w:tcPr>
            <w:tcW w:w="1560" w:type="dxa"/>
            <w:tcBorders>
              <w:top w:val="single" w:sz="4" w:space="0" w:color="C2D9BA"/>
              <w:bottom w:val="single" w:sz="4" w:space="0" w:color="C2D9BA"/>
            </w:tcBorders>
            <w:shd w:val="clear" w:color="auto" w:fill="auto"/>
          </w:tcPr>
          <w:p w14:paraId="58EBC3B2" w14:textId="77777777" w:rsidR="000C1356" w:rsidRPr="00E444B3" w:rsidRDefault="000C1356" w:rsidP="00B521E2">
            <w:pPr>
              <w:pStyle w:val="TableText"/>
            </w:pPr>
            <w:r>
              <w:lastRenderedPageBreak/>
              <w:t>Bevacizumab*</w:t>
            </w:r>
          </w:p>
        </w:tc>
        <w:tc>
          <w:tcPr>
            <w:tcW w:w="2835" w:type="dxa"/>
            <w:tcBorders>
              <w:top w:val="single" w:sz="4" w:space="0" w:color="C2D9BA"/>
              <w:bottom w:val="single" w:sz="4" w:space="0" w:color="C2D9BA"/>
            </w:tcBorders>
            <w:shd w:val="clear" w:color="auto" w:fill="auto"/>
          </w:tcPr>
          <w:p w14:paraId="67BF77CD" w14:textId="77777777" w:rsidR="000C1356" w:rsidRDefault="000C1356" w:rsidP="00B521E2">
            <w:pPr>
              <w:pStyle w:val="TableText"/>
              <w:ind w:right="113"/>
            </w:pPr>
            <w:r>
              <w:t>Liver cancer (h</w:t>
            </w:r>
            <w:r w:rsidRPr="00E444B3">
              <w:t>epatocellular carcinoma (</w:t>
            </w:r>
            <w:r>
              <w:t>HCC), a</w:t>
            </w:r>
            <w:r w:rsidRPr="00C30F81">
              <w:t>dvanced</w:t>
            </w:r>
            <w:r>
              <w:t xml:space="preserve"> (unresectable),</w:t>
            </w:r>
            <w:r w:rsidRPr="00C30F81">
              <w:t xml:space="preserve"> Barcelona Clinic Liver Cancer </w:t>
            </w:r>
            <w:proofErr w:type="gramStart"/>
            <w:r>
              <w:t>s</w:t>
            </w:r>
            <w:r w:rsidRPr="00C30F81">
              <w:t>tage</w:t>
            </w:r>
            <w:proofErr w:type="gramEnd"/>
            <w:r w:rsidRPr="00C30F81">
              <w:t xml:space="preserve"> B</w:t>
            </w:r>
            <w:r>
              <w:t xml:space="preserve"> or </w:t>
            </w:r>
            <w:r w:rsidRPr="00C30F81">
              <w:t>C</w:t>
            </w:r>
            <w:r>
              <w:t>, first</w:t>
            </w:r>
            <w:r>
              <w:noBreakHyphen/>
              <w:t>line</w:t>
            </w:r>
            <w:r w:rsidRPr="00E444B3">
              <w:t>)</w:t>
            </w:r>
          </w:p>
          <w:p w14:paraId="3763E225" w14:textId="77777777" w:rsidR="000C1356" w:rsidRPr="00E444B3" w:rsidRDefault="000C1356" w:rsidP="00B521E2">
            <w:pPr>
              <w:pStyle w:val="TableText"/>
              <w:ind w:right="113"/>
            </w:pPr>
            <w:r>
              <w:t>Used in combination with atezolizumab</w:t>
            </w:r>
          </w:p>
        </w:tc>
        <w:tc>
          <w:tcPr>
            <w:tcW w:w="3685" w:type="dxa"/>
            <w:tcBorders>
              <w:top w:val="single" w:sz="4" w:space="0" w:color="C2D9BA"/>
              <w:bottom w:val="single" w:sz="4" w:space="0" w:color="C2D9BA"/>
            </w:tcBorders>
            <w:shd w:val="clear" w:color="auto" w:fill="auto"/>
          </w:tcPr>
          <w:p w14:paraId="0DE763C9" w14:textId="77777777" w:rsidR="000C1356" w:rsidRDefault="000C1356" w:rsidP="00B521E2">
            <w:pPr>
              <w:pStyle w:val="TableText"/>
            </w:pPr>
            <w:r w:rsidRPr="00860E6D">
              <w:t>Gap – substantial clinical benefit</w:t>
            </w:r>
          </w:p>
          <w:p w14:paraId="00EBCE4B" w14:textId="77777777" w:rsidR="000C1356" w:rsidRDefault="000C1356" w:rsidP="00B521E2">
            <w:pPr>
              <w:pStyle w:val="TableText"/>
            </w:pPr>
            <w:r w:rsidRPr="00066623">
              <w:t xml:space="preserve">ESMO-MCBS </w:t>
            </w:r>
            <w:r w:rsidRPr="005B62BA">
              <w:t xml:space="preserve">score </w:t>
            </w:r>
            <w:r>
              <w:t xml:space="preserve">is </w:t>
            </w:r>
            <w:r w:rsidRPr="005B62BA">
              <w:t>based on a comparator that isn</w:t>
            </w:r>
            <w:r>
              <w:t>’</w:t>
            </w:r>
            <w:r w:rsidRPr="005B62BA">
              <w:t xml:space="preserve">t funded in Aotearoa – sorafenib. This regimen is likely to be even more effective </w:t>
            </w:r>
            <w:r>
              <w:t>when compared to</w:t>
            </w:r>
            <w:r w:rsidRPr="005B62BA">
              <w:t xml:space="preserve"> the current standard of care in Aotearoa </w:t>
            </w:r>
            <w:r>
              <w:t xml:space="preserve">– </w:t>
            </w:r>
            <w:r w:rsidRPr="005B62BA">
              <w:t>best supportive care</w:t>
            </w:r>
            <w:r>
              <w:t>.</w:t>
            </w:r>
          </w:p>
          <w:p w14:paraId="7155D687" w14:textId="77777777" w:rsidR="000C1356" w:rsidRDefault="000C1356" w:rsidP="00B521E2">
            <w:pPr>
              <w:pStyle w:val="TableText"/>
            </w:pPr>
            <w:r w:rsidRPr="005B62BA">
              <w:t>Both bevacizumab and atezolizumab would need to be funded for this indication for this gap to be filled</w:t>
            </w:r>
            <w:r>
              <w:t>.</w:t>
            </w:r>
          </w:p>
          <w:p w14:paraId="0513FD99" w14:textId="77777777" w:rsidR="000C1356" w:rsidRPr="00860E6D" w:rsidRDefault="000C1356" w:rsidP="00F047DF">
            <w:pPr>
              <w:pStyle w:val="TableText"/>
            </w:pPr>
            <w:r w:rsidRPr="005B62BA">
              <w:t xml:space="preserve">See </w:t>
            </w:r>
            <w:hyperlink w:anchor="Appendix_7_Table_7point7" w:history="1">
              <w:r w:rsidR="00F047DF" w:rsidRPr="00F047DF">
                <w:rPr>
                  <w:rStyle w:val="Hyperlink"/>
                </w:rPr>
                <w:t>Appendix 7, Table 7.7</w:t>
              </w:r>
            </w:hyperlink>
            <w:r w:rsidRPr="005B62BA">
              <w:t xml:space="preserve"> for more information</w:t>
            </w:r>
            <w:r>
              <w:t>.</w:t>
            </w:r>
          </w:p>
        </w:tc>
      </w:tr>
      <w:tr w:rsidR="000C1356" w:rsidRPr="00A605FF" w14:paraId="366351F4" w14:textId="77777777" w:rsidTr="00B521E2">
        <w:trPr>
          <w:cantSplit/>
        </w:trPr>
        <w:tc>
          <w:tcPr>
            <w:tcW w:w="1560" w:type="dxa"/>
            <w:tcBorders>
              <w:top w:val="single" w:sz="4" w:space="0" w:color="C2D9BA"/>
              <w:bottom w:val="single" w:sz="4" w:space="0" w:color="C2D9BA"/>
            </w:tcBorders>
            <w:shd w:val="clear" w:color="auto" w:fill="auto"/>
          </w:tcPr>
          <w:p w14:paraId="40394BF4" w14:textId="77777777" w:rsidR="000C1356" w:rsidRPr="00E444B3" w:rsidRDefault="000C1356" w:rsidP="00B521E2">
            <w:pPr>
              <w:pStyle w:val="TableText"/>
            </w:pPr>
            <w:r>
              <w:t>Dabrafenib</w:t>
            </w:r>
          </w:p>
        </w:tc>
        <w:tc>
          <w:tcPr>
            <w:tcW w:w="2835" w:type="dxa"/>
            <w:tcBorders>
              <w:top w:val="single" w:sz="4" w:space="0" w:color="C2D9BA"/>
              <w:bottom w:val="single" w:sz="4" w:space="0" w:color="C2D9BA"/>
            </w:tcBorders>
            <w:shd w:val="clear" w:color="auto" w:fill="auto"/>
          </w:tcPr>
          <w:p w14:paraId="71239ACB" w14:textId="77777777" w:rsidR="000C1356" w:rsidRDefault="000C1356" w:rsidP="00B521E2">
            <w:pPr>
              <w:pStyle w:val="TableText"/>
              <w:ind w:right="113"/>
            </w:pPr>
            <w:r w:rsidRPr="00E444B3">
              <w:t xml:space="preserve">Melanoma (stage III or IV, </w:t>
            </w:r>
            <w:r>
              <w:t>BRAF</w:t>
            </w:r>
            <w:r w:rsidR="00B521E2">
              <w:t> </w:t>
            </w:r>
            <w:r>
              <w:t xml:space="preserve">+ve, </w:t>
            </w:r>
            <w:r w:rsidRPr="00E444B3">
              <w:t>unresectable)</w:t>
            </w:r>
          </w:p>
          <w:p w14:paraId="7DF63EB3" w14:textId="77777777" w:rsidR="000C1356" w:rsidRPr="00E444B3" w:rsidRDefault="000C1356" w:rsidP="00B521E2">
            <w:pPr>
              <w:pStyle w:val="TableText"/>
              <w:ind w:right="113"/>
            </w:pPr>
            <w:r>
              <w:t>Used in combination with trametinib</w:t>
            </w:r>
          </w:p>
        </w:tc>
        <w:tc>
          <w:tcPr>
            <w:tcW w:w="3685" w:type="dxa"/>
            <w:tcBorders>
              <w:top w:val="single" w:sz="4" w:space="0" w:color="C2D9BA"/>
              <w:bottom w:val="single" w:sz="4" w:space="0" w:color="C2D9BA"/>
            </w:tcBorders>
            <w:shd w:val="clear" w:color="auto" w:fill="auto"/>
          </w:tcPr>
          <w:p w14:paraId="6AD05B07" w14:textId="77777777" w:rsidR="000C1356" w:rsidRDefault="000C1356" w:rsidP="00B521E2">
            <w:pPr>
              <w:pStyle w:val="TableText"/>
            </w:pPr>
            <w:r w:rsidRPr="00860E6D">
              <w:t>Gap – substantial clinical benefit</w:t>
            </w:r>
          </w:p>
          <w:p w14:paraId="5640FB13" w14:textId="77777777" w:rsidR="000C1356" w:rsidRDefault="000C1356" w:rsidP="00B521E2">
            <w:pPr>
              <w:pStyle w:val="TableText"/>
            </w:pPr>
            <w:r w:rsidRPr="005B62BA">
              <w:t>ESMO-MCBS score</w:t>
            </w:r>
            <w:r>
              <w:t xml:space="preserve"> is</w:t>
            </w:r>
            <w:r w:rsidRPr="005B62BA">
              <w:t xml:space="preserve"> based on a comparator that isn</w:t>
            </w:r>
            <w:r>
              <w:t>’</w:t>
            </w:r>
            <w:r w:rsidRPr="005B62BA">
              <w:t xml:space="preserve">t funded in Aotearoa – vemurafenib. Clinical advice indicated this regimen is likely to score at least 4 for this specific patient group </w:t>
            </w:r>
            <w:r>
              <w:t>when compared with</w:t>
            </w:r>
            <w:r w:rsidRPr="005B62BA">
              <w:t xml:space="preserve"> the current standard of care in Aotearoa – pembrolizumab or nivolumab</w:t>
            </w:r>
            <w:r>
              <w:t>.</w:t>
            </w:r>
          </w:p>
          <w:p w14:paraId="15ECF886" w14:textId="77777777" w:rsidR="000C1356" w:rsidRDefault="000C1356" w:rsidP="00B521E2">
            <w:pPr>
              <w:pStyle w:val="TableText"/>
            </w:pPr>
            <w:r w:rsidRPr="005B62BA">
              <w:t>Both dabrafenib and trametinib would need to be funded for this indication for this gap to be filled</w:t>
            </w:r>
            <w:r>
              <w:t>.</w:t>
            </w:r>
          </w:p>
          <w:p w14:paraId="3F06E061" w14:textId="77777777" w:rsidR="000C1356" w:rsidRDefault="000C1356" w:rsidP="00B521E2">
            <w:pPr>
              <w:pStyle w:val="TableText"/>
            </w:pPr>
            <w:r w:rsidRPr="005B62BA">
              <w:t>Other BRAF-MEK combinations are alternative options to fill this gap</w:t>
            </w:r>
            <w:r>
              <w:t>.</w:t>
            </w:r>
          </w:p>
          <w:p w14:paraId="05DACFD2" w14:textId="77777777" w:rsidR="000C1356" w:rsidRPr="005B62BA" w:rsidRDefault="000C1356" w:rsidP="00F047DF">
            <w:pPr>
              <w:pStyle w:val="TableText"/>
            </w:pPr>
            <w:r w:rsidRPr="005B62BA">
              <w:t xml:space="preserve">See </w:t>
            </w:r>
            <w:hyperlink w:anchor="Appendix_7_Table_7point20" w:history="1">
              <w:r w:rsidR="00F047DF" w:rsidRPr="00F047DF">
                <w:rPr>
                  <w:rStyle w:val="Hyperlink"/>
                </w:rPr>
                <w:t>Appendix 7, Table 7.20</w:t>
              </w:r>
            </w:hyperlink>
            <w:r w:rsidRPr="005B62BA">
              <w:t xml:space="preserve"> for more information</w:t>
            </w:r>
            <w:r>
              <w:t>.</w:t>
            </w:r>
          </w:p>
        </w:tc>
      </w:tr>
      <w:tr w:rsidR="000C1356" w:rsidRPr="00A605FF" w14:paraId="1CDCEDA3" w14:textId="77777777" w:rsidTr="00B521E2">
        <w:trPr>
          <w:cantSplit/>
        </w:trPr>
        <w:tc>
          <w:tcPr>
            <w:tcW w:w="1560" w:type="dxa"/>
            <w:tcBorders>
              <w:top w:val="single" w:sz="4" w:space="0" w:color="C2D9BA"/>
              <w:bottom w:val="single" w:sz="4" w:space="0" w:color="C2D9BA"/>
            </w:tcBorders>
            <w:shd w:val="clear" w:color="auto" w:fill="auto"/>
          </w:tcPr>
          <w:p w14:paraId="1B4BCCFE" w14:textId="77777777" w:rsidR="000C1356" w:rsidRPr="00E444B3" w:rsidRDefault="000C1356" w:rsidP="00B521E2">
            <w:pPr>
              <w:pStyle w:val="TableText"/>
            </w:pPr>
            <w:r w:rsidRPr="00E444B3">
              <w:t>Nivolumab</w:t>
            </w:r>
          </w:p>
        </w:tc>
        <w:tc>
          <w:tcPr>
            <w:tcW w:w="2835" w:type="dxa"/>
            <w:tcBorders>
              <w:top w:val="single" w:sz="4" w:space="0" w:color="C2D9BA"/>
              <w:bottom w:val="single" w:sz="4" w:space="0" w:color="C2D9BA"/>
            </w:tcBorders>
            <w:shd w:val="clear" w:color="auto" w:fill="auto"/>
          </w:tcPr>
          <w:p w14:paraId="4603ED76" w14:textId="77777777" w:rsidR="000C1356" w:rsidRPr="00E444B3" w:rsidRDefault="000C1356" w:rsidP="00B521E2">
            <w:pPr>
              <w:pStyle w:val="TableText"/>
              <w:ind w:right="113"/>
            </w:pPr>
            <w:r w:rsidRPr="00E444B3">
              <w:t>Head and neck cancer</w:t>
            </w:r>
            <w:r>
              <w:t xml:space="preserve"> (head and neck squamous cell carcinoma (HNSCC), locally recurrent or metastatic, second-line)</w:t>
            </w:r>
          </w:p>
        </w:tc>
        <w:tc>
          <w:tcPr>
            <w:tcW w:w="3685" w:type="dxa"/>
            <w:tcBorders>
              <w:top w:val="single" w:sz="4" w:space="0" w:color="C2D9BA"/>
              <w:bottom w:val="single" w:sz="4" w:space="0" w:color="C2D9BA"/>
            </w:tcBorders>
            <w:shd w:val="clear" w:color="auto" w:fill="auto"/>
          </w:tcPr>
          <w:p w14:paraId="1FB9A2C2" w14:textId="77777777" w:rsidR="000C1356" w:rsidRDefault="000C1356" w:rsidP="00B521E2">
            <w:pPr>
              <w:pStyle w:val="TableText"/>
            </w:pPr>
            <w:r w:rsidRPr="00860E6D">
              <w:t>Gap – substantial clinical benefit</w:t>
            </w:r>
          </w:p>
          <w:p w14:paraId="2FA5AC9E" w14:textId="77777777" w:rsidR="000C1356" w:rsidRDefault="000C1356" w:rsidP="00B521E2">
            <w:pPr>
              <w:pStyle w:val="TableText"/>
            </w:pPr>
            <w:r w:rsidRPr="005B62BA">
              <w:t>ESMO-MCBS score relevant to Aotearoa</w:t>
            </w:r>
          </w:p>
          <w:p w14:paraId="01DBEF76" w14:textId="77777777" w:rsidR="000C1356" w:rsidRDefault="000C1356" w:rsidP="00B521E2">
            <w:pPr>
              <w:pStyle w:val="TableText"/>
            </w:pPr>
            <w:r w:rsidRPr="005B62BA">
              <w:t>Nivolumab is funded in Aotearoa but not for this indication</w:t>
            </w:r>
            <w:r>
              <w:t>.</w:t>
            </w:r>
          </w:p>
          <w:p w14:paraId="6D7E2EF9" w14:textId="77777777" w:rsidR="000C1356" w:rsidRPr="005B62BA" w:rsidRDefault="000C1356" w:rsidP="00F047DF">
            <w:pPr>
              <w:pStyle w:val="TableText"/>
            </w:pPr>
            <w:r w:rsidRPr="005B62BA">
              <w:t xml:space="preserve">See </w:t>
            </w:r>
            <w:hyperlink w:anchor="Appendix_7_Table_7point16" w:history="1">
              <w:r w:rsidR="00F047DF" w:rsidRPr="00F047DF">
                <w:rPr>
                  <w:rStyle w:val="Hyperlink"/>
                </w:rPr>
                <w:t>Appendix 7, Table 7.16</w:t>
              </w:r>
            </w:hyperlink>
            <w:r w:rsidRPr="005B62BA">
              <w:t xml:space="preserve"> for more information</w:t>
            </w:r>
            <w:r>
              <w:t>.</w:t>
            </w:r>
          </w:p>
        </w:tc>
      </w:tr>
      <w:tr w:rsidR="000C1356" w:rsidRPr="00A605FF" w14:paraId="5CF6CA5C" w14:textId="77777777" w:rsidTr="00B521E2">
        <w:trPr>
          <w:cantSplit/>
        </w:trPr>
        <w:tc>
          <w:tcPr>
            <w:tcW w:w="1560" w:type="dxa"/>
            <w:tcBorders>
              <w:top w:val="single" w:sz="4" w:space="0" w:color="C2D9BA"/>
              <w:bottom w:val="single" w:sz="4" w:space="0" w:color="C2D9BA"/>
            </w:tcBorders>
            <w:shd w:val="clear" w:color="auto" w:fill="auto"/>
          </w:tcPr>
          <w:p w14:paraId="62955543" w14:textId="77777777" w:rsidR="000C1356" w:rsidRPr="00E444B3" w:rsidRDefault="000C1356" w:rsidP="00B521E2">
            <w:pPr>
              <w:pStyle w:val="TableText"/>
            </w:pPr>
            <w:r w:rsidRPr="00E444B3">
              <w:t>Nivolumab</w:t>
            </w:r>
          </w:p>
        </w:tc>
        <w:tc>
          <w:tcPr>
            <w:tcW w:w="2835" w:type="dxa"/>
            <w:tcBorders>
              <w:top w:val="single" w:sz="4" w:space="0" w:color="C2D9BA"/>
              <w:bottom w:val="single" w:sz="4" w:space="0" w:color="C2D9BA"/>
            </w:tcBorders>
            <w:shd w:val="clear" w:color="auto" w:fill="auto"/>
          </w:tcPr>
          <w:p w14:paraId="15F4DD62" w14:textId="77777777" w:rsidR="000C1356" w:rsidRPr="00E444B3" w:rsidRDefault="000C1356" w:rsidP="00B521E2">
            <w:pPr>
              <w:pStyle w:val="TableText"/>
              <w:ind w:right="113"/>
            </w:pPr>
            <w:r w:rsidRPr="00E444B3">
              <w:t>Lung cancer (</w:t>
            </w:r>
            <w:r>
              <w:t>non-small cell lung cancer (</w:t>
            </w:r>
            <w:r w:rsidRPr="00E444B3">
              <w:t>NSCLC</w:t>
            </w:r>
            <w:r>
              <w:t>)</w:t>
            </w:r>
            <w:r w:rsidRPr="00E444B3">
              <w:t xml:space="preserve">, locally advanced or metastatic, </w:t>
            </w:r>
            <w:r w:rsidRPr="00E444B3" w:rsidDel="004C1FB8">
              <w:t>2L</w:t>
            </w:r>
            <w:r>
              <w:t>second-line</w:t>
            </w:r>
            <w:r w:rsidRPr="00E444B3">
              <w:t>)</w:t>
            </w:r>
          </w:p>
        </w:tc>
        <w:tc>
          <w:tcPr>
            <w:tcW w:w="3685" w:type="dxa"/>
            <w:tcBorders>
              <w:top w:val="single" w:sz="4" w:space="0" w:color="C2D9BA"/>
              <w:bottom w:val="single" w:sz="4" w:space="0" w:color="C2D9BA"/>
            </w:tcBorders>
            <w:shd w:val="clear" w:color="auto" w:fill="auto"/>
          </w:tcPr>
          <w:p w14:paraId="6DDDBD9C" w14:textId="77777777" w:rsidR="000C1356" w:rsidRDefault="000C1356" w:rsidP="00B521E2">
            <w:pPr>
              <w:pStyle w:val="TableText"/>
            </w:pPr>
            <w:r w:rsidRPr="00860E6D">
              <w:t>Gap – substantial clinical benefit</w:t>
            </w:r>
          </w:p>
          <w:p w14:paraId="6EBFEEAC" w14:textId="77777777" w:rsidR="000C1356" w:rsidRDefault="000C1356" w:rsidP="00B521E2">
            <w:pPr>
              <w:pStyle w:val="TableText"/>
            </w:pPr>
            <w:r w:rsidRPr="005B62BA">
              <w:t>ESMO-MCBS score relevant to Aotearoa</w:t>
            </w:r>
          </w:p>
          <w:p w14:paraId="543436FE" w14:textId="77777777" w:rsidR="000C1356" w:rsidRDefault="000C1356" w:rsidP="00B521E2">
            <w:pPr>
              <w:pStyle w:val="TableText"/>
            </w:pPr>
            <w:r w:rsidRPr="005B62BA">
              <w:t>Nivolumab is funded in Aotearoa but not for this indication</w:t>
            </w:r>
            <w:r>
              <w:t>.</w:t>
            </w:r>
          </w:p>
          <w:p w14:paraId="722E8783" w14:textId="77777777" w:rsidR="000C1356" w:rsidRDefault="000C1356" w:rsidP="00B521E2">
            <w:pPr>
              <w:pStyle w:val="TableText"/>
            </w:pPr>
            <w:r w:rsidRPr="005B62BA">
              <w:t>Atezolizumab is an alternative option to fill this gap</w:t>
            </w:r>
            <w:r>
              <w:t>.</w:t>
            </w:r>
          </w:p>
          <w:p w14:paraId="7E11933D" w14:textId="77777777" w:rsidR="000C1356" w:rsidRDefault="000C1356" w:rsidP="00B521E2">
            <w:pPr>
              <w:pStyle w:val="TableText"/>
            </w:pPr>
            <w:r w:rsidRPr="005B62BA">
              <w:t>If an immune checkpoint inhibitor were funded in the first</w:t>
            </w:r>
            <w:r>
              <w:t>-</w:t>
            </w:r>
            <w:r w:rsidRPr="005B62BA">
              <w:t>line setting, this gap would be superseded</w:t>
            </w:r>
            <w:r>
              <w:t>.</w:t>
            </w:r>
          </w:p>
          <w:p w14:paraId="034A85AC" w14:textId="77777777" w:rsidR="000C1356" w:rsidRPr="00860E6D" w:rsidRDefault="000C1356" w:rsidP="00F047DF">
            <w:pPr>
              <w:pStyle w:val="TableText"/>
            </w:pPr>
            <w:r w:rsidRPr="005B62BA">
              <w:t xml:space="preserve">See </w:t>
            </w:r>
            <w:hyperlink w:anchor="Appendix_7_Table_7point2" w:history="1">
              <w:r w:rsidR="00F047DF" w:rsidRPr="00F047DF">
                <w:rPr>
                  <w:rStyle w:val="Hyperlink"/>
                </w:rPr>
                <w:t>Appendix 7, Table 7.2</w:t>
              </w:r>
            </w:hyperlink>
            <w:r w:rsidRPr="005B62BA">
              <w:t xml:space="preserve"> for more information</w:t>
            </w:r>
            <w:r>
              <w:t>.</w:t>
            </w:r>
          </w:p>
        </w:tc>
      </w:tr>
      <w:tr w:rsidR="000C1356" w:rsidRPr="00A605FF" w14:paraId="7279C0B9" w14:textId="77777777" w:rsidTr="00B521E2">
        <w:trPr>
          <w:cantSplit/>
        </w:trPr>
        <w:tc>
          <w:tcPr>
            <w:tcW w:w="1560" w:type="dxa"/>
            <w:tcBorders>
              <w:top w:val="single" w:sz="4" w:space="0" w:color="C2D9BA"/>
              <w:bottom w:val="single" w:sz="4" w:space="0" w:color="C2D9BA"/>
            </w:tcBorders>
            <w:shd w:val="clear" w:color="auto" w:fill="auto"/>
          </w:tcPr>
          <w:p w14:paraId="02BE1214" w14:textId="77777777" w:rsidR="000C1356" w:rsidRPr="00E444B3" w:rsidRDefault="000C1356" w:rsidP="00B521E2">
            <w:pPr>
              <w:pStyle w:val="TableText"/>
            </w:pPr>
            <w:r w:rsidRPr="00E444B3">
              <w:lastRenderedPageBreak/>
              <w:t>Nivolumab</w:t>
            </w:r>
          </w:p>
        </w:tc>
        <w:tc>
          <w:tcPr>
            <w:tcW w:w="2835" w:type="dxa"/>
            <w:tcBorders>
              <w:top w:val="single" w:sz="4" w:space="0" w:color="C2D9BA"/>
              <w:bottom w:val="single" w:sz="4" w:space="0" w:color="C2D9BA"/>
            </w:tcBorders>
            <w:shd w:val="clear" w:color="auto" w:fill="auto"/>
          </w:tcPr>
          <w:p w14:paraId="50C84DE6" w14:textId="77777777" w:rsidR="000C1356" w:rsidRPr="00E444B3" w:rsidRDefault="000C1356" w:rsidP="00B521E2">
            <w:pPr>
              <w:pStyle w:val="TableText"/>
              <w:ind w:right="113"/>
            </w:pPr>
            <w:r>
              <w:t>Kidney cancer (r</w:t>
            </w:r>
            <w:r w:rsidRPr="00E444B3">
              <w:t>enal cell carcinoma</w:t>
            </w:r>
            <w:r>
              <w:t xml:space="preserve"> (RCC) clear cell variant</w:t>
            </w:r>
            <w:r w:rsidRPr="00E444B3" w:rsidDel="004D0BA3">
              <w:t xml:space="preserve"> (kidney cancer</w:t>
            </w:r>
            <w:r w:rsidRPr="00E444B3">
              <w:t xml:space="preserve">, </w:t>
            </w:r>
            <w:r>
              <w:t xml:space="preserve">stage IV, </w:t>
            </w:r>
            <w:r w:rsidRPr="00E444B3" w:rsidDel="00BC2F2E">
              <w:t>2L</w:t>
            </w:r>
            <w:r>
              <w:t>second-line</w:t>
            </w:r>
            <w:r w:rsidRPr="00E444B3">
              <w:t>)</w:t>
            </w:r>
          </w:p>
        </w:tc>
        <w:tc>
          <w:tcPr>
            <w:tcW w:w="3685" w:type="dxa"/>
            <w:tcBorders>
              <w:top w:val="single" w:sz="4" w:space="0" w:color="C2D9BA"/>
              <w:bottom w:val="single" w:sz="4" w:space="0" w:color="C2D9BA"/>
            </w:tcBorders>
            <w:shd w:val="clear" w:color="auto" w:fill="auto"/>
          </w:tcPr>
          <w:p w14:paraId="2F615915" w14:textId="77777777" w:rsidR="000C1356" w:rsidRDefault="000C1356" w:rsidP="00B521E2">
            <w:pPr>
              <w:pStyle w:val="TableText"/>
            </w:pPr>
            <w:r w:rsidRPr="00860E6D">
              <w:t>Gap – substantial clinical benefit</w:t>
            </w:r>
          </w:p>
          <w:p w14:paraId="44A35405" w14:textId="77777777" w:rsidR="000C1356" w:rsidRDefault="000C1356" w:rsidP="00B521E2">
            <w:pPr>
              <w:pStyle w:val="TableText"/>
            </w:pPr>
            <w:r w:rsidRPr="005B62BA">
              <w:t>ESMO-MCBS score</w:t>
            </w:r>
            <w:r>
              <w:t xml:space="preserve"> is</w:t>
            </w:r>
            <w:r w:rsidRPr="005B62BA">
              <w:t xml:space="preserve"> based on a comparator that isn</w:t>
            </w:r>
            <w:r>
              <w:t>’</w:t>
            </w:r>
            <w:r w:rsidRPr="005B62BA">
              <w:t xml:space="preserve">t funded in Aotearoa – everolimus. This regimen is likely to be even more effective </w:t>
            </w:r>
            <w:r>
              <w:t>when compared to</w:t>
            </w:r>
            <w:r w:rsidRPr="005B62BA">
              <w:t xml:space="preserve"> the current standard of care in Aotearoa</w:t>
            </w:r>
            <w:r>
              <w:t>,</w:t>
            </w:r>
            <w:r w:rsidRPr="005B62BA">
              <w:t xml:space="preserve"> which is best supportive care</w:t>
            </w:r>
            <w:r>
              <w:t>.</w:t>
            </w:r>
          </w:p>
          <w:p w14:paraId="48DB120B" w14:textId="77777777" w:rsidR="000C1356" w:rsidRDefault="000C1356" w:rsidP="00B521E2">
            <w:pPr>
              <w:pStyle w:val="TableText"/>
            </w:pPr>
            <w:r w:rsidRPr="005B62BA">
              <w:t>Nivolumab is funded in Aotearoa but not for this indication</w:t>
            </w:r>
            <w:r>
              <w:t>.</w:t>
            </w:r>
          </w:p>
          <w:p w14:paraId="174FFBC0" w14:textId="77777777" w:rsidR="000C1356" w:rsidRPr="00860E6D" w:rsidRDefault="000C1356" w:rsidP="00762DE7">
            <w:pPr>
              <w:pStyle w:val="TableText"/>
            </w:pPr>
            <w:r w:rsidRPr="005B62BA">
              <w:t xml:space="preserve">See </w:t>
            </w:r>
            <w:hyperlink w:anchor="Appendix_7_Table_7point11" w:history="1">
              <w:r w:rsidR="00762DE7" w:rsidRPr="00762DE7">
                <w:rPr>
                  <w:rStyle w:val="Hyperlink"/>
                </w:rPr>
                <w:t>Appendix 7, Table 7.11</w:t>
              </w:r>
            </w:hyperlink>
            <w:r w:rsidRPr="005B62BA">
              <w:t xml:space="preserve"> for more information</w:t>
            </w:r>
            <w:r>
              <w:t>.</w:t>
            </w:r>
          </w:p>
        </w:tc>
      </w:tr>
      <w:tr w:rsidR="000C1356" w:rsidRPr="00A605FF" w14:paraId="76A8C1CF" w14:textId="77777777" w:rsidTr="00B521E2">
        <w:trPr>
          <w:cantSplit/>
        </w:trPr>
        <w:tc>
          <w:tcPr>
            <w:tcW w:w="1560" w:type="dxa"/>
            <w:tcBorders>
              <w:top w:val="single" w:sz="4" w:space="0" w:color="C2D9BA"/>
              <w:bottom w:val="single" w:sz="4" w:space="0" w:color="C2D9BA"/>
            </w:tcBorders>
            <w:shd w:val="clear" w:color="auto" w:fill="auto"/>
          </w:tcPr>
          <w:p w14:paraId="43E38074" w14:textId="77777777" w:rsidR="000C1356" w:rsidRPr="00E444B3" w:rsidRDefault="000C1356" w:rsidP="000C1356">
            <w:pPr>
              <w:pStyle w:val="TableText"/>
            </w:pPr>
            <w:r w:rsidRPr="00E444B3">
              <w:t>Pembrolizumab</w:t>
            </w:r>
          </w:p>
        </w:tc>
        <w:tc>
          <w:tcPr>
            <w:tcW w:w="2835" w:type="dxa"/>
            <w:tcBorders>
              <w:top w:val="single" w:sz="4" w:space="0" w:color="C2D9BA"/>
              <w:bottom w:val="single" w:sz="4" w:space="0" w:color="C2D9BA"/>
            </w:tcBorders>
            <w:shd w:val="clear" w:color="auto" w:fill="auto"/>
          </w:tcPr>
          <w:p w14:paraId="09C3B6BD" w14:textId="04374710" w:rsidR="000C1356" w:rsidRDefault="000C1356" w:rsidP="00B521E2">
            <w:pPr>
              <w:pStyle w:val="TableText"/>
              <w:ind w:right="113"/>
            </w:pPr>
            <w:r w:rsidRPr="00E444B3">
              <w:t>Lung cancer (</w:t>
            </w:r>
            <w:r>
              <w:t>non-small cell lung cancer (</w:t>
            </w:r>
            <w:r w:rsidRPr="00E444B3">
              <w:t>NSCLC</w:t>
            </w:r>
            <w:r>
              <w:t>)</w:t>
            </w:r>
            <w:r w:rsidRPr="00E444B3">
              <w:t xml:space="preserve">, stage IV, </w:t>
            </w:r>
            <w:r>
              <w:t>first</w:t>
            </w:r>
            <w:r>
              <w:noBreakHyphen/>
            </w:r>
            <w:r w:rsidR="00101E16">
              <w:t>line</w:t>
            </w:r>
            <w:r w:rsidR="00101E16" w:rsidRPr="00E444B3">
              <w:t>)</w:t>
            </w:r>
            <w:r w:rsidR="00101E16">
              <w:t xml:space="preserve"> ^</w:t>
            </w:r>
          </w:p>
          <w:p w14:paraId="344626E9" w14:textId="77777777" w:rsidR="000C1356" w:rsidRPr="00E444B3" w:rsidRDefault="000C1356" w:rsidP="00B521E2">
            <w:pPr>
              <w:pStyle w:val="TableText"/>
              <w:ind w:right="113"/>
            </w:pPr>
            <w:r>
              <w:t>Used with or without chemotherapy^</w:t>
            </w:r>
          </w:p>
        </w:tc>
        <w:tc>
          <w:tcPr>
            <w:tcW w:w="3685" w:type="dxa"/>
            <w:tcBorders>
              <w:top w:val="single" w:sz="4" w:space="0" w:color="C2D9BA"/>
              <w:bottom w:val="single" w:sz="4" w:space="0" w:color="C2D9BA"/>
            </w:tcBorders>
            <w:shd w:val="clear" w:color="auto" w:fill="auto"/>
          </w:tcPr>
          <w:p w14:paraId="024F7F9B" w14:textId="77777777" w:rsidR="000C1356" w:rsidRDefault="000C1356" w:rsidP="00B521E2">
            <w:pPr>
              <w:pStyle w:val="TableText"/>
            </w:pPr>
            <w:r w:rsidRPr="00860E6D">
              <w:t>Gap – substantial clinical benefit</w:t>
            </w:r>
          </w:p>
          <w:p w14:paraId="3EDF114F" w14:textId="77777777" w:rsidR="000C1356" w:rsidRDefault="000C1356" w:rsidP="00B521E2">
            <w:pPr>
              <w:pStyle w:val="TableText"/>
            </w:pPr>
            <w:r w:rsidRPr="005B62BA">
              <w:t>ESMO-MCBS score relevant to Aotearoa</w:t>
            </w:r>
          </w:p>
          <w:p w14:paraId="0EA7DFCB" w14:textId="77777777" w:rsidR="000C1356" w:rsidRDefault="000C1356" w:rsidP="00B521E2">
            <w:pPr>
              <w:pStyle w:val="TableText"/>
            </w:pPr>
            <w:r>
              <w:t>Pembroliz</w:t>
            </w:r>
            <w:r w:rsidRPr="005B62BA">
              <w:t xml:space="preserve">umab is funded in Aotearoa but not for this </w:t>
            </w:r>
            <w:r w:rsidRPr="00860E6D">
              <w:t>indication</w:t>
            </w:r>
            <w:r>
              <w:t>.</w:t>
            </w:r>
          </w:p>
          <w:p w14:paraId="59411BED" w14:textId="77777777" w:rsidR="000C1356" w:rsidRDefault="000C1356" w:rsidP="00B521E2">
            <w:pPr>
              <w:pStyle w:val="TableText"/>
            </w:pPr>
            <w:r w:rsidRPr="005B62BA">
              <w:t>Other immune checkpoint inhibitor options exist as alternative options to fill this gap</w:t>
            </w:r>
            <w:r>
              <w:t>.</w:t>
            </w:r>
          </w:p>
          <w:p w14:paraId="31D9413E" w14:textId="77777777" w:rsidR="000C1356" w:rsidRPr="005B62BA" w:rsidRDefault="000C1356" w:rsidP="00762DE7">
            <w:pPr>
              <w:pStyle w:val="TableText"/>
            </w:pPr>
            <w:r w:rsidRPr="005B62BA">
              <w:t xml:space="preserve">See </w:t>
            </w:r>
            <w:hyperlink w:anchor="Appendix_7_Table_7point1" w:history="1">
              <w:r w:rsidR="00762DE7" w:rsidRPr="00762DE7">
                <w:rPr>
                  <w:rStyle w:val="Hyperlink"/>
                </w:rPr>
                <w:t>Appendix 7, Table 7.1</w:t>
              </w:r>
            </w:hyperlink>
            <w:r w:rsidRPr="005B62BA">
              <w:t xml:space="preserve"> for more information</w:t>
            </w:r>
            <w:r>
              <w:t>.</w:t>
            </w:r>
          </w:p>
        </w:tc>
      </w:tr>
      <w:tr w:rsidR="000C1356" w:rsidRPr="00A605FF" w14:paraId="3239C204" w14:textId="77777777" w:rsidTr="00B521E2">
        <w:trPr>
          <w:cantSplit/>
        </w:trPr>
        <w:tc>
          <w:tcPr>
            <w:tcW w:w="1560" w:type="dxa"/>
            <w:tcBorders>
              <w:top w:val="single" w:sz="4" w:space="0" w:color="C2D9BA"/>
              <w:bottom w:val="single" w:sz="4" w:space="0" w:color="C2D9BA"/>
            </w:tcBorders>
            <w:shd w:val="clear" w:color="auto" w:fill="auto"/>
          </w:tcPr>
          <w:p w14:paraId="43201DAE" w14:textId="77777777" w:rsidR="000C1356" w:rsidRPr="00E444B3" w:rsidRDefault="000C1356" w:rsidP="00B521E2">
            <w:pPr>
              <w:pStyle w:val="TableText"/>
            </w:pPr>
            <w:r w:rsidRPr="00E444B3">
              <w:t>Trametinib</w:t>
            </w:r>
          </w:p>
        </w:tc>
        <w:tc>
          <w:tcPr>
            <w:tcW w:w="2835" w:type="dxa"/>
            <w:tcBorders>
              <w:top w:val="single" w:sz="4" w:space="0" w:color="C2D9BA"/>
              <w:bottom w:val="single" w:sz="4" w:space="0" w:color="C2D9BA"/>
            </w:tcBorders>
            <w:shd w:val="clear" w:color="auto" w:fill="auto"/>
          </w:tcPr>
          <w:p w14:paraId="421F833D" w14:textId="77777777" w:rsidR="000C1356" w:rsidRDefault="000C1356" w:rsidP="00B521E2">
            <w:pPr>
              <w:pStyle w:val="TableText"/>
              <w:ind w:right="113"/>
            </w:pPr>
            <w:r w:rsidRPr="00E444B3">
              <w:t>Melanoma (stage III or IV, unresectable, BRAF +ve)</w:t>
            </w:r>
          </w:p>
          <w:p w14:paraId="4DFA8BA2" w14:textId="77777777" w:rsidR="000C1356" w:rsidRPr="00E444B3" w:rsidRDefault="000C1356" w:rsidP="00B521E2">
            <w:pPr>
              <w:pStyle w:val="TableText"/>
              <w:ind w:right="113"/>
            </w:pPr>
            <w:r>
              <w:t>Used with dabrafenib</w:t>
            </w:r>
          </w:p>
        </w:tc>
        <w:tc>
          <w:tcPr>
            <w:tcW w:w="3685" w:type="dxa"/>
            <w:tcBorders>
              <w:top w:val="single" w:sz="4" w:space="0" w:color="C2D9BA"/>
              <w:bottom w:val="single" w:sz="4" w:space="0" w:color="C2D9BA"/>
            </w:tcBorders>
            <w:shd w:val="clear" w:color="auto" w:fill="auto"/>
          </w:tcPr>
          <w:p w14:paraId="1FCBA2D7" w14:textId="77777777" w:rsidR="000C1356" w:rsidRDefault="000C1356" w:rsidP="00B521E2">
            <w:pPr>
              <w:pStyle w:val="TableText"/>
            </w:pPr>
            <w:r w:rsidRPr="00860E6D">
              <w:t>Gap – substantial clinical benefit</w:t>
            </w:r>
          </w:p>
          <w:p w14:paraId="6232D58A" w14:textId="77777777" w:rsidR="000C1356" w:rsidRDefault="000C1356" w:rsidP="00B521E2">
            <w:pPr>
              <w:pStyle w:val="TableText"/>
            </w:pPr>
            <w:r w:rsidRPr="005B62BA">
              <w:t>ESMO-MCBS score</w:t>
            </w:r>
            <w:r>
              <w:t xml:space="preserve"> is</w:t>
            </w:r>
            <w:r w:rsidRPr="005B62BA">
              <w:t xml:space="preserve"> based on a comparator that isn</w:t>
            </w:r>
            <w:r>
              <w:t>’</w:t>
            </w:r>
            <w:r w:rsidRPr="005B62BA">
              <w:t xml:space="preserve">t funded in Aotearoa – vemurafenib. This regimen is considered likely to score at least 4 for this specific patient group </w:t>
            </w:r>
            <w:r>
              <w:t>when compared with</w:t>
            </w:r>
            <w:r w:rsidRPr="005B62BA">
              <w:t xml:space="preserve"> the current standard of care in Aotearoa – pembrolizumab or nivolumab</w:t>
            </w:r>
            <w:r>
              <w:t>.</w:t>
            </w:r>
          </w:p>
          <w:p w14:paraId="5336FB41" w14:textId="77777777" w:rsidR="000C1356" w:rsidRDefault="000C1356" w:rsidP="00B521E2">
            <w:pPr>
              <w:pStyle w:val="TableText"/>
            </w:pPr>
            <w:r w:rsidRPr="005B62BA">
              <w:t>Both trametinib and dabrafenib would need to be funded for this indication for this gap to be filled</w:t>
            </w:r>
            <w:r>
              <w:t>.</w:t>
            </w:r>
          </w:p>
          <w:p w14:paraId="7F51CA92" w14:textId="77777777" w:rsidR="000C1356" w:rsidRDefault="000C1356" w:rsidP="00B521E2">
            <w:pPr>
              <w:pStyle w:val="TableText"/>
            </w:pPr>
            <w:r w:rsidRPr="005B62BA">
              <w:t>Other BRAF-MEK combinations are alternative options to fill this gap</w:t>
            </w:r>
            <w:r>
              <w:t>.</w:t>
            </w:r>
          </w:p>
          <w:p w14:paraId="7FD53AB2" w14:textId="77777777" w:rsidR="000C1356" w:rsidRPr="00860E6D" w:rsidRDefault="000C1356" w:rsidP="00762DE7">
            <w:pPr>
              <w:pStyle w:val="TableText"/>
            </w:pPr>
            <w:r w:rsidRPr="005B62BA">
              <w:t xml:space="preserve">See </w:t>
            </w:r>
            <w:hyperlink w:anchor="Appendix_7_Table_7point20" w:history="1">
              <w:r w:rsidR="00762DE7" w:rsidRPr="00F047DF">
                <w:rPr>
                  <w:rStyle w:val="Hyperlink"/>
                </w:rPr>
                <w:t>Appendix 7, Table 7.20</w:t>
              </w:r>
            </w:hyperlink>
            <w:r w:rsidRPr="005B62BA">
              <w:t xml:space="preserve"> for more information</w:t>
            </w:r>
            <w:r>
              <w:t>.</w:t>
            </w:r>
          </w:p>
        </w:tc>
      </w:tr>
    </w:tbl>
    <w:bookmarkEnd w:id="367"/>
    <w:p w14:paraId="6CD4D6F6" w14:textId="77777777" w:rsidR="00C338E8" w:rsidRDefault="00B12E4F" w:rsidP="000C1356">
      <w:pPr>
        <w:pStyle w:val="Note"/>
      </w:pPr>
      <w:r w:rsidRPr="0002609E">
        <w:t>*</w:t>
      </w:r>
      <w:r>
        <w:tab/>
      </w:r>
      <w:r w:rsidRPr="0002609E">
        <w:t>Bevacizumab is funded without restriction in Australia, but the atezolizumab funding criteria for this indication require combination use with bevacizumab.</w:t>
      </w:r>
    </w:p>
    <w:p w14:paraId="3C478E75" w14:textId="77777777" w:rsidR="00C338E8" w:rsidRDefault="00B12E4F" w:rsidP="000C1356">
      <w:pPr>
        <w:pStyle w:val="Note"/>
      </w:pPr>
      <w:r>
        <w:t>^</w:t>
      </w:r>
      <w:r>
        <w:tab/>
      </w:r>
      <w:r w:rsidRPr="002B2A24">
        <w:t>In clinical trials</w:t>
      </w:r>
      <w:r>
        <w:t xml:space="preserve"> of immunotherapies such as pembrolizumab,</w:t>
      </w:r>
      <w:r w:rsidRPr="002B2A24">
        <w:t xml:space="preserve"> the regimens used and clinical efficacy differ based on PD-L1 status of the lung cancer. Pharmac has active funding applications both with and without regard to PD-L1 status. In Australia, </w:t>
      </w:r>
      <w:r>
        <w:t>immunotherapies are</w:t>
      </w:r>
      <w:r w:rsidRPr="002B2A24">
        <w:t xml:space="preserve"> funded without </w:t>
      </w:r>
      <w:r>
        <w:t>requirements</w:t>
      </w:r>
      <w:r w:rsidRPr="002B2A24">
        <w:t xml:space="preserve"> regarding PD-L1 status</w:t>
      </w:r>
      <w:r>
        <w:t>, and pembrolizumab may be used with</w:t>
      </w:r>
      <w:r w:rsidRPr="002B2A24">
        <w:t xml:space="preserve"> </w:t>
      </w:r>
      <w:r>
        <w:t>or without concomitant chemotherapy. T</w:t>
      </w:r>
      <w:r w:rsidRPr="002B2A24">
        <w:t xml:space="preserve">herefore both </w:t>
      </w:r>
      <w:r w:rsidR="00D34911">
        <w:t>‘</w:t>
      </w:r>
      <w:r w:rsidRPr="002B2A24">
        <w:t>PD-L1 high</w:t>
      </w:r>
      <w:r w:rsidR="00D34911">
        <w:t>’</w:t>
      </w:r>
      <w:r w:rsidRPr="002B2A24">
        <w:t xml:space="preserve"> and </w:t>
      </w:r>
      <w:r w:rsidR="00D34911">
        <w:t>‘</w:t>
      </w:r>
      <w:r>
        <w:t>regardless of PD-L1 status</w:t>
      </w:r>
      <w:r w:rsidR="00D34911">
        <w:t>’</w:t>
      </w:r>
      <w:r w:rsidRPr="002B2A24">
        <w:t xml:space="preserve"> </w:t>
      </w:r>
      <w:r>
        <w:t xml:space="preserve">have been considered </w:t>
      </w:r>
      <w:r w:rsidRPr="002B2A24">
        <w:t>together as one group for the purpose of this analysis.</w:t>
      </w:r>
      <w:r>
        <w:t xml:space="preserve"> For this gap to be filled in its entirety, the Pharmac funding criteria in Aotearoa would need to mirror those in Australia.</w:t>
      </w:r>
    </w:p>
    <w:p w14:paraId="2030F858" w14:textId="77777777" w:rsidR="00C338E8" w:rsidRDefault="00C338E8" w:rsidP="000C1356"/>
    <w:p w14:paraId="11B419A5" w14:textId="77777777" w:rsidR="00B12E4F" w:rsidRDefault="00B12E4F" w:rsidP="000C1356">
      <w:pPr>
        <w:pStyle w:val="Table"/>
      </w:pPr>
      <w:bookmarkStart w:id="368" w:name="_Toc101365611"/>
      <w:bookmarkStart w:id="369" w:name="Appendix_5_Table_5point3"/>
      <w:r w:rsidRPr="00E444B3">
        <w:lastRenderedPageBreak/>
        <w:t>Table</w:t>
      </w:r>
      <w:r w:rsidR="000C1356">
        <w:t> </w:t>
      </w:r>
      <w:r>
        <w:t>5.3</w:t>
      </w:r>
      <w:r w:rsidRPr="00E444B3">
        <w:t>: Medicines funded in Australia and not in Aotearoa – ESMO-MCBS score of 4</w:t>
      </w:r>
      <w:bookmarkEnd w:id="36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2835"/>
        <w:gridCol w:w="3685"/>
      </w:tblGrid>
      <w:tr w:rsidR="000C1356" w:rsidRPr="000C1356" w14:paraId="44E27E79" w14:textId="77777777" w:rsidTr="00B521E2">
        <w:trPr>
          <w:cantSplit/>
          <w:tblHeader/>
        </w:trPr>
        <w:tc>
          <w:tcPr>
            <w:tcW w:w="1560" w:type="dxa"/>
            <w:tcBorders>
              <w:top w:val="nil"/>
              <w:bottom w:val="nil"/>
            </w:tcBorders>
            <w:shd w:val="clear" w:color="auto" w:fill="C2D9BA"/>
          </w:tcPr>
          <w:p w14:paraId="454881F8" w14:textId="77777777" w:rsidR="000C1356" w:rsidRPr="000C1356" w:rsidRDefault="000C1356" w:rsidP="000C1356">
            <w:pPr>
              <w:pStyle w:val="TableText"/>
              <w:keepNext/>
              <w:rPr>
                <w:b/>
              </w:rPr>
            </w:pPr>
            <w:r w:rsidRPr="000C1356">
              <w:rPr>
                <w:b/>
              </w:rPr>
              <w:t>Medicine</w:t>
            </w:r>
          </w:p>
        </w:tc>
        <w:tc>
          <w:tcPr>
            <w:tcW w:w="2835" w:type="dxa"/>
            <w:tcBorders>
              <w:top w:val="nil"/>
              <w:bottom w:val="nil"/>
            </w:tcBorders>
            <w:shd w:val="clear" w:color="auto" w:fill="C2D9BA"/>
          </w:tcPr>
          <w:p w14:paraId="09AED553" w14:textId="77777777" w:rsidR="000C1356" w:rsidRPr="000C1356" w:rsidRDefault="000C1356" w:rsidP="00B521E2">
            <w:pPr>
              <w:pStyle w:val="TableText"/>
              <w:keepNext/>
              <w:ind w:right="113"/>
              <w:rPr>
                <w:b/>
              </w:rPr>
            </w:pPr>
            <w:r w:rsidRPr="000C1356">
              <w:rPr>
                <w:b/>
              </w:rPr>
              <w:t>Indication per PBS</w:t>
            </w:r>
          </w:p>
        </w:tc>
        <w:tc>
          <w:tcPr>
            <w:tcW w:w="3685" w:type="dxa"/>
            <w:tcBorders>
              <w:top w:val="nil"/>
              <w:bottom w:val="nil"/>
            </w:tcBorders>
            <w:shd w:val="clear" w:color="auto" w:fill="C2D9BA"/>
          </w:tcPr>
          <w:p w14:paraId="133A768B" w14:textId="77777777" w:rsidR="000C1356" w:rsidRPr="000C1356" w:rsidRDefault="000C1356" w:rsidP="000C1356">
            <w:pPr>
              <w:pStyle w:val="TableText"/>
              <w:keepNext/>
              <w:rPr>
                <w:b/>
              </w:rPr>
            </w:pPr>
            <w:r>
              <w:rPr>
                <w:b/>
              </w:rPr>
              <w:t>G</w:t>
            </w:r>
            <w:r w:rsidRPr="000C1356">
              <w:rPr>
                <w:b/>
              </w:rPr>
              <w:t>ap categorisation</w:t>
            </w:r>
          </w:p>
        </w:tc>
      </w:tr>
      <w:tr w:rsidR="000C1356" w14:paraId="68B4AF14" w14:textId="77777777" w:rsidTr="00B521E2">
        <w:trPr>
          <w:cantSplit/>
        </w:trPr>
        <w:tc>
          <w:tcPr>
            <w:tcW w:w="1560" w:type="dxa"/>
            <w:tcBorders>
              <w:top w:val="nil"/>
              <w:bottom w:val="single" w:sz="4" w:space="0" w:color="C2D9BA"/>
            </w:tcBorders>
            <w:shd w:val="clear" w:color="auto" w:fill="auto"/>
          </w:tcPr>
          <w:p w14:paraId="401AC8D7" w14:textId="77777777" w:rsidR="000C1356" w:rsidRPr="00E444B3" w:rsidRDefault="000C1356" w:rsidP="00B521E2">
            <w:pPr>
              <w:pStyle w:val="TableText"/>
            </w:pPr>
            <w:r w:rsidRPr="00E444B3">
              <w:t>Afatinib</w:t>
            </w:r>
          </w:p>
        </w:tc>
        <w:tc>
          <w:tcPr>
            <w:tcW w:w="2835" w:type="dxa"/>
            <w:tcBorders>
              <w:top w:val="nil"/>
              <w:bottom w:val="single" w:sz="4" w:space="0" w:color="C2D9BA"/>
            </w:tcBorders>
            <w:shd w:val="clear" w:color="auto" w:fill="auto"/>
          </w:tcPr>
          <w:p w14:paraId="5E97B49F" w14:textId="77777777" w:rsidR="000C1356" w:rsidRPr="00E444B3" w:rsidRDefault="000C1356" w:rsidP="00B521E2">
            <w:pPr>
              <w:pStyle w:val="TableText"/>
              <w:ind w:right="113"/>
            </w:pPr>
            <w:r w:rsidRPr="00E444B3">
              <w:t>Lung cancer</w:t>
            </w:r>
            <w:r>
              <w:t xml:space="preserve"> (non-small cell lung cancer (NSCLC), stage IIIb or IV, EGFR+ve, first-line)</w:t>
            </w:r>
          </w:p>
        </w:tc>
        <w:tc>
          <w:tcPr>
            <w:tcW w:w="3685" w:type="dxa"/>
            <w:tcBorders>
              <w:top w:val="nil"/>
              <w:bottom w:val="single" w:sz="4" w:space="0" w:color="C2D9BA"/>
            </w:tcBorders>
            <w:shd w:val="clear" w:color="auto" w:fill="auto"/>
          </w:tcPr>
          <w:p w14:paraId="7CF933C4" w14:textId="77777777" w:rsidR="000C1356" w:rsidRDefault="000C1356" w:rsidP="00B521E2">
            <w:pPr>
              <w:pStyle w:val="TableText"/>
            </w:pPr>
            <w:r w:rsidRPr="004E6482">
              <w:t xml:space="preserve">Gap – </w:t>
            </w:r>
            <w:r w:rsidRPr="004E6482">
              <w:rPr>
                <w:b/>
              </w:rPr>
              <w:t xml:space="preserve">not </w:t>
            </w:r>
            <w:r w:rsidRPr="004E6482">
              <w:t>substantial clinical benefit</w:t>
            </w:r>
          </w:p>
          <w:p w14:paraId="7F43D7A4" w14:textId="77777777" w:rsidR="000C1356" w:rsidRPr="0088228C" w:rsidRDefault="000C1356" w:rsidP="00B521E2">
            <w:pPr>
              <w:pStyle w:val="TableText"/>
            </w:pPr>
            <w:r>
              <w:t xml:space="preserve">The </w:t>
            </w:r>
            <w:r w:rsidRPr="005B62BA">
              <w:t xml:space="preserve">ESMO-MCBS score is based on a superseded comparator </w:t>
            </w:r>
            <w:r>
              <w:t xml:space="preserve">– </w:t>
            </w:r>
            <w:r w:rsidRPr="005B62BA">
              <w:t>chemotherapy. The relevant comparator for Aotearoa is gefitinib or erlotinib. Clinical advice and the WHO-EML indicate</w:t>
            </w:r>
            <w:r>
              <w:t xml:space="preserve"> that</w:t>
            </w:r>
            <w:r w:rsidRPr="0088228C">
              <w:t xml:space="preserve"> afatinib is unlikely to score 4 or 5 against either of these comparators for this indication</w:t>
            </w:r>
            <w:r>
              <w:t>.</w:t>
            </w:r>
          </w:p>
        </w:tc>
      </w:tr>
      <w:tr w:rsidR="000C1356" w14:paraId="0AFDC779" w14:textId="77777777" w:rsidTr="00B521E2">
        <w:trPr>
          <w:cantSplit/>
        </w:trPr>
        <w:tc>
          <w:tcPr>
            <w:tcW w:w="1560" w:type="dxa"/>
            <w:tcBorders>
              <w:top w:val="single" w:sz="4" w:space="0" w:color="C2D9BA"/>
              <w:bottom w:val="single" w:sz="4" w:space="0" w:color="C2D9BA"/>
            </w:tcBorders>
            <w:shd w:val="clear" w:color="auto" w:fill="auto"/>
          </w:tcPr>
          <w:p w14:paraId="76AD7FE2" w14:textId="77777777" w:rsidR="000C1356" w:rsidRPr="00E444B3" w:rsidRDefault="000C1356" w:rsidP="00B521E2">
            <w:pPr>
              <w:pStyle w:val="TableText"/>
            </w:pPr>
            <w:r w:rsidRPr="00E444B3">
              <w:t>Axitinib</w:t>
            </w:r>
          </w:p>
        </w:tc>
        <w:tc>
          <w:tcPr>
            <w:tcW w:w="2835" w:type="dxa"/>
            <w:tcBorders>
              <w:top w:val="single" w:sz="4" w:space="0" w:color="C2D9BA"/>
              <w:bottom w:val="single" w:sz="4" w:space="0" w:color="C2D9BA"/>
            </w:tcBorders>
            <w:shd w:val="clear" w:color="auto" w:fill="auto"/>
          </w:tcPr>
          <w:p w14:paraId="790FF756" w14:textId="77777777" w:rsidR="000C1356" w:rsidRPr="00E444B3" w:rsidRDefault="000C1356" w:rsidP="00B521E2">
            <w:pPr>
              <w:pStyle w:val="TableText"/>
              <w:ind w:right="113"/>
            </w:pPr>
            <w:r>
              <w:t>Kidney cancer (r</w:t>
            </w:r>
            <w:r w:rsidRPr="00E444B3">
              <w:t>enal cell carcinoma</w:t>
            </w:r>
            <w:r>
              <w:t xml:space="preserve"> (RCC), clear cell variant, stage IV, second-line)</w:t>
            </w:r>
          </w:p>
        </w:tc>
        <w:tc>
          <w:tcPr>
            <w:tcW w:w="3685" w:type="dxa"/>
            <w:tcBorders>
              <w:top w:val="single" w:sz="4" w:space="0" w:color="C2D9BA"/>
              <w:bottom w:val="single" w:sz="4" w:space="0" w:color="C2D9BA"/>
            </w:tcBorders>
            <w:shd w:val="clear" w:color="auto" w:fill="auto"/>
          </w:tcPr>
          <w:p w14:paraId="7490905B" w14:textId="77777777" w:rsidR="000C1356" w:rsidRDefault="000C1356" w:rsidP="00B521E2">
            <w:pPr>
              <w:pStyle w:val="TableText"/>
            </w:pPr>
            <w:r w:rsidRPr="004E6482">
              <w:t>Gap – substantial clinical benefit</w:t>
            </w:r>
          </w:p>
          <w:p w14:paraId="68FEE579" w14:textId="77777777" w:rsidR="000C1356" w:rsidRDefault="000C1356" w:rsidP="00B521E2">
            <w:pPr>
              <w:pStyle w:val="TableText"/>
            </w:pPr>
            <w:r>
              <w:t xml:space="preserve">The </w:t>
            </w:r>
            <w:r w:rsidRPr="0088228C">
              <w:t>ESMO-MCBS score is based on a comparator that isn</w:t>
            </w:r>
            <w:r>
              <w:t>’</w:t>
            </w:r>
            <w:r w:rsidRPr="0088228C">
              <w:t xml:space="preserve">t funded in Aotearoa – sorafenib. This regimen is likely to be even more effective </w:t>
            </w:r>
            <w:r>
              <w:t>when compared with</w:t>
            </w:r>
            <w:r w:rsidRPr="0088228C">
              <w:t xml:space="preserve"> the current standard of care in Aotearoa</w:t>
            </w:r>
            <w:r>
              <w:t>,</w:t>
            </w:r>
            <w:r w:rsidRPr="0088228C">
              <w:t xml:space="preserve"> which is best supportive care</w:t>
            </w:r>
            <w:r>
              <w:t>.</w:t>
            </w:r>
          </w:p>
          <w:p w14:paraId="15B63AE3" w14:textId="77777777" w:rsidR="000C1356" w:rsidRPr="004E6482" w:rsidRDefault="000C1356" w:rsidP="00762DE7">
            <w:pPr>
              <w:pStyle w:val="TableText"/>
            </w:pPr>
            <w:r w:rsidRPr="0088228C">
              <w:t xml:space="preserve">See </w:t>
            </w:r>
            <w:hyperlink w:anchor="Appendix_7_Table_7point12" w:history="1">
              <w:r w:rsidR="00762DE7" w:rsidRPr="00762DE7">
                <w:rPr>
                  <w:rStyle w:val="Hyperlink"/>
                </w:rPr>
                <w:t>Appendix 7, Table 7.12</w:t>
              </w:r>
            </w:hyperlink>
            <w:r w:rsidRPr="0088228C">
              <w:t xml:space="preserve"> for more information</w:t>
            </w:r>
            <w:r>
              <w:t>.</w:t>
            </w:r>
          </w:p>
        </w:tc>
      </w:tr>
      <w:tr w:rsidR="000C1356" w14:paraId="407A5508" w14:textId="77777777" w:rsidTr="00B521E2">
        <w:trPr>
          <w:cantSplit/>
        </w:trPr>
        <w:tc>
          <w:tcPr>
            <w:tcW w:w="1560" w:type="dxa"/>
            <w:tcBorders>
              <w:top w:val="single" w:sz="4" w:space="0" w:color="C2D9BA"/>
              <w:bottom w:val="single" w:sz="4" w:space="0" w:color="C2D9BA"/>
            </w:tcBorders>
            <w:shd w:val="clear" w:color="auto" w:fill="auto"/>
          </w:tcPr>
          <w:p w14:paraId="44DA187E" w14:textId="77777777" w:rsidR="000C1356" w:rsidRPr="00E444B3" w:rsidRDefault="000C1356" w:rsidP="00B521E2">
            <w:pPr>
              <w:pStyle w:val="TableText"/>
            </w:pPr>
            <w:r w:rsidRPr="00E444B3">
              <w:t>Bevacizumab*</w:t>
            </w:r>
          </w:p>
        </w:tc>
        <w:tc>
          <w:tcPr>
            <w:tcW w:w="2835" w:type="dxa"/>
            <w:tcBorders>
              <w:top w:val="single" w:sz="4" w:space="0" w:color="C2D9BA"/>
              <w:bottom w:val="single" w:sz="4" w:space="0" w:color="C2D9BA"/>
            </w:tcBorders>
            <w:shd w:val="clear" w:color="auto" w:fill="auto"/>
          </w:tcPr>
          <w:p w14:paraId="7DEA61B3" w14:textId="77777777" w:rsidR="000C1356" w:rsidRDefault="000C1356" w:rsidP="00B521E2">
            <w:pPr>
              <w:pStyle w:val="TableText"/>
              <w:ind w:right="113"/>
            </w:pPr>
            <w:r>
              <w:t>Ovarian cancer (e</w:t>
            </w:r>
            <w:r w:rsidRPr="00E444B3">
              <w:t>pithelial ovarian, fallopian tube or primary peritoneal cancer</w:t>
            </w:r>
            <w:r>
              <w:t>, second-line)</w:t>
            </w:r>
          </w:p>
          <w:p w14:paraId="23B31E9E" w14:textId="77777777" w:rsidR="000C1356" w:rsidRPr="00E444B3" w:rsidRDefault="000C1356" w:rsidP="00B521E2">
            <w:pPr>
              <w:pStyle w:val="TableText"/>
              <w:ind w:right="113"/>
            </w:pPr>
            <w:r>
              <w:t>Used in combination with chemotherapy</w:t>
            </w:r>
          </w:p>
        </w:tc>
        <w:tc>
          <w:tcPr>
            <w:tcW w:w="3685" w:type="dxa"/>
            <w:tcBorders>
              <w:top w:val="single" w:sz="4" w:space="0" w:color="C2D9BA"/>
              <w:bottom w:val="single" w:sz="4" w:space="0" w:color="C2D9BA"/>
            </w:tcBorders>
            <w:shd w:val="clear" w:color="auto" w:fill="auto"/>
          </w:tcPr>
          <w:p w14:paraId="29AA605A" w14:textId="77777777" w:rsidR="000C1356" w:rsidRDefault="000C1356" w:rsidP="00B521E2">
            <w:pPr>
              <w:pStyle w:val="TableText"/>
            </w:pPr>
            <w:r w:rsidRPr="004E6482">
              <w:t>Gap – substantial clinical benefit</w:t>
            </w:r>
          </w:p>
          <w:p w14:paraId="083F2514" w14:textId="77777777" w:rsidR="000C1356" w:rsidRDefault="000C1356" w:rsidP="00B521E2">
            <w:pPr>
              <w:pStyle w:val="TableText"/>
            </w:pPr>
            <w:r w:rsidRPr="0088228C">
              <w:t>ESMO-MCBS score relevant to Aotearoa</w:t>
            </w:r>
          </w:p>
          <w:p w14:paraId="797E3592" w14:textId="77777777" w:rsidR="000C1356" w:rsidRDefault="000C1356" w:rsidP="00B521E2">
            <w:pPr>
              <w:pStyle w:val="TableText"/>
            </w:pPr>
            <w:r w:rsidRPr="0088228C">
              <w:t>Bevacizumab is funded in Aotearoa but not for this indication. Chemotherapy used with bevacizumab for this indication is funded in Aotearoa</w:t>
            </w:r>
            <w:r>
              <w:t>.</w:t>
            </w:r>
          </w:p>
          <w:p w14:paraId="79DA22EA" w14:textId="77777777" w:rsidR="000C1356" w:rsidRPr="004E6482" w:rsidRDefault="000C1356" w:rsidP="00762DE7">
            <w:pPr>
              <w:pStyle w:val="TableText"/>
            </w:pPr>
            <w:r w:rsidRPr="0088228C">
              <w:t xml:space="preserve">See </w:t>
            </w:r>
            <w:hyperlink w:anchor="Appendix_7_Table_7point15" w:history="1">
              <w:r w:rsidR="00762DE7" w:rsidRPr="00762DE7">
                <w:rPr>
                  <w:rStyle w:val="Hyperlink"/>
                </w:rPr>
                <w:t>Appendix 7, Table 7.15</w:t>
              </w:r>
            </w:hyperlink>
            <w:r w:rsidRPr="0088228C">
              <w:t xml:space="preserve"> for more information</w:t>
            </w:r>
            <w:r>
              <w:t>.</w:t>
            </w:r>
          </w:p>
        </w:tc>
      </w:tr>
      <w:tr w:rsidR="000C1356" w14:paraId="08E38753" w14:textId="77777777" w:rsidTr="00B521E2">
        <w:trPr>
          <w:cantSplit/>
        </w:trPr>
        <w:tc>
          <w:tcPr>
            <w:tcW w:w="1560" w:type="dxa"/>
            <w:tcBorders>
              <w:top w:val="single" w:sz="4" w:space="0" w:color="C2D9BA"/>
              <w:bottom w:val="single" w:sz="4" w:space="0" w:color="C2D9BA"/>
            </w:tcBorders>
            <w:shd w:val="clear" w:color="auto" w:fill="auto"/>
          </w:tcPr>
          <w:p w14:paraId="301CEEA5" w14:textId="77777777" w:rsidR="000C1356" w:rsidRPr="00E444B3" w:rsidRDefault="000C1356" w:rsidP="00B521E2">
            <w:pPr>
              <w:pStyle w:val="TableText"/>
            </w:pPr>
            <w:r>
              <w:t>Binimetinib</w:t>
            </w:r>
          </w:p>
        </w:tc>
        <w:tc>
          <w:tcPr>
            <w:tcW w:w="2835" w:type="dxa"/>
            <w:tcBorders>
              <w:top w:val="single" w:sz="4" w:space="0" w:color="C2D9BA"/>
              <w:bottom w:val="single" w:sz="4" w:space="0" w:color="C2D9BA"/>
            </w:tcBorders>
            <w:shd w:val="clear" w:color="auto" w:fill="auto"/>
          </w:tcPr>
          <w:p w14:paraId="60FC0881" w14:textId="77777777" w:rsidR="000C1356" w:rsidRDefault="000C1356" w:rsidP="00B521E2">
            <w:pPr>
              <w:pStyle w:val="TableText"/>
              <w:ind w:right="113"/>
            </w:pPr>
            <w:r w:rsidRPr="00E444B3">
              <w:t>Melanoma (stage III or IV, unresectable, BRAF +ve)</w:t>
            </w:r>
          </w:p>
          <w:p w14:paraId="3FDF3187" w14:textId="77777777" w:rsidR="000C1356" w:rsidRPr="00E444B3" w:rsidRDefault="000C1356" w:rsidP="00B521E2">
            <w:pPr>
              <w:pStyle w:val="TableText"/>
              <w:ind w:right="113"/>
            </w:pPr>
            <w:r>
              <w:t>Used in combination with encorafenib</w:t>
            </w:r>
          </w:p>
        </w:tc>
        <w:tc>
          <w:tcPr>
            <w:tcW w:w="3685" w:type="dxa"/>
            <w:tcBorders>
              <w:top w:val="single" w:sz="4" w:space="0" w:color="C2D9BA"/>
              <w:bottom w:val="single" w:sz="4" w:space="0" w:color="C2D9BA"/>
            </w:tcBorders>
            <w:shd w:val="clear" w:color="auto" w:fill="auto"/>
          </w:tcPr>
          <w:p w14:paraId="707BDAC3" w14:textId="77777777" w:rsidR="000C1356" w:rsidRDefault="000C1356" w:rsidP="00B521E2">
            <w:pPr>
              <w:pStyle w:val="TableText"/>
            </w:pPr>
            <w:r w:rsidRPr="004E6482">
              <w:t>Gap – substantial clinical benefit</w:t>
            </w:r>
          </w:p>
          <w:p w14:paraId="5A84590F" w14:textId="77777777" w:rsidR="000C1356" w:rsidRDefault="000C1356" w:rsidP="00B521E2">
            <w:pPr>
              <w:pStyle w:val="TableText"/>
            </w:pPr>
            <w:r>
              <w:t xml:space="preserve">The </w:t>
            </w:r>
            <w:r w:rsidRPr="0088228C">
              <w:t>ESMO-MCBS score is based on a comparator that isn</w:t>
            </w:r>
            <w:r>
              <w:t>’</w:t>
            </w:r>
            <w:r w:rsidRPr="0088228C">
              <w:t xml:space="preserve">t funded in Aotearoa – vemurafenib. Clinical advice indicated this regimen is likely to score at least 4 for this specific patient group </w:t>
            </w:r>
            <w:r>
              <w:t>when compared with</w:t>
            </w:r>
            <w:r w:rsidRPr="0088228C">
              <w:t xml:space="preserve"> the current standard of care in Aotearoa – pembrolizumab or nivolumab</w:t>
            </w:r>
            <w:r>
              <w:t>.</w:t>
            </w:r>
          </w:p>
          <w:p w14:paraId="225975C9" w14:textId="77777777" w:rsidR="000C1356" w:rsidRDefault="000C1356" w:rsidP="00B521E2">
            <w:pPr>
              <w:pStyle w:val="TableText"/>
            </w:pPr>
            <w:r w:rsidRPr="0088228C">
              <w:t>Both binimetinib and encorafenib would need to be funded for this indication for this gap to be filled</w:t>
            </w:r>
            <w:r>
              <w:t>.</w:t>
            </w:r>
          </w:p>
          <w:p w14:paraId="5D08519F" w14:textId="77777777" w:rsidR="000C1356" w:rsidRDefault="000C1356" w:rsidP="00B521E2">
            <w:pPr>
              <w:pStyle w:val="TableText"/>
            </w:pPr>
            <w:r w:rsidRPr="0088228C">
              <w:t>Other BRAF-MEK combinations are alternative options to fill this gap</w:t>
            </w:r>
            <w:r>
              <w:t>.</w:t>
            </w:r>
          </w:p>
          <w:p w14:paraId="2330240B" w14:textId="77777777" w:rsidR="000C1356" w:rsidRPr="004E6482" w:rsidRDefault="000C1356" w:rsidP="00762DE7">
            <w:pPr>
              <w:pStyle w:val="TableText"/>
            </w:pPr>
            <w:r w:rsidRPr="0088228C">
              <w:t xml:space="preserve">See </w:t>
            </w:r>
            <w:hyperlink w:anchor="Appendix_7_Table_7point20" w:history="1">
              <w:r w:rsidR="00762DE7" w:rsidRPr="00F047DF">
                <w:rPr>
                  <w:rStyle w:val="Hyperlink"/>
                </w:rPr>
                <w:t>Appendix 7, Table 7.20</w:t>
              </w:r>
            </w:hyperlink>
            <w:r w:rsidRPr="0088228C">
              <w:t xml:space="preserve"> for more information</w:t>
            </w:r>
            <w:r>
              <w:t>.</w:t>
            </w:r>
          </w:p>
        </w:tc>
      </w:tr>
      <w:tr w:rsidR="000C1356" w14:paraId="4F5B54BF" w14:textId="77777777" w:rsidTr="00B521E2">
        <w:trPr>
          <w:cantSplit/>
        </w:trPr>
        <w:tc>
          <w:tcPr>
            <w:tcW w:w="1560" w:type="dxa"/>
            <w:tcBorders>
              <w:top w:val="single" w:sz="4" w:space="0" w:color="C2D9BA"/>
              <w:bottom w:val="single" w:sz="4" w:space="0" w:color="C2D9BA"/>
            </w:tcBorders>
            <w:shd w:val="clear" w:color="auto" w:fill="auto"/>
          </w:tcPr>
          <w:p w14:paraId="1BCB4004" w14:textId="77777777" w:rsidR="000C1356" w:rsidRPr="00E444B3" w:rsidRDefault="000C1356" w:rsidP="00B521E2">
            <w:pPr>
              <w:pStyle w:val="TableText"/>
            </w:pPr>
            <w:r w:rsidRPr="00E444B3">
              <w:t>Ceritinib</w:t>
            </w:r>
          </w:p>
        </w:tc>
        <w:tc>
          <w:tcPr>
            <w:tcW w:w="2835" w:type="dxa"/>
            <w:tcBorders>
              <w:top w:val="single" w:sz="4" w:space="0" w:color="C2D9BA"/>
              <w:bottom w:val="single" w:sz="4" w:space="0" w:color="C2D9BA"/>
            </w:tcBorders>
            <w:shd w:val="clear" w:color="auto" w:fill="auto"/>
          </w:tcPr>
          <w:p w14:paraId="5F638A28" w14:textId="77777777" w:rsidR="000C1356" w:rsidRPr="00E444B3" w:rsidRDefault="000C1356" w:rsidP="00B521E2">
            <w:pPr>
              <w:pStyle w:val="TableText"/>
              <w:ind w:right="113"/>
            </w:pPr>
            <w:r w:rsidRPr="00E444B3">
              <w:t>Lung cancer (</w:t>
            </w:r>
            <w:r>
              <w:t>non-small cell lung cancer (</w:t>
            </w:r>
            <w:r w:rsidRPr="00E444B3">
              <w:t>NSCLC</w:t>
            </w:r>
            <w:r>
              <w:t>)</w:t>
            </w:r>
            <w:r w:rsidRPr="00E444B3">
              <w:t>,</w:t>
            </w:r>
            <w:r>
              <w:t xml:space="preserve"> stage IIIb or IV,</w:t>
            </w:r>
            <w:r w:rsidRPr="00E444B3">
              <w:t xml:space="preserve"> ALK+ve</w:t>
            </w:r>
            <w:r>
              <w:t>, first-line</w:t>
            </w:r>
            <w:r w:rsidRPr="00E444B3">
              <w:t>)</w:t>
            </w:r>
          </w:p>
        </w:tc>
        <w:tc>
          <w:tcPr>
            <w:tcW w:w="3685" w:type="dxa"/>
            <w:tcBorders>
              <w:top w:val="single" w:sz="4" w:space="0" w:color="C2D9BA"/>
              <w:bottom w:val="single" w:sz="4" w:space="0" w:color="C2D9BA"/>
            </w:tcBorders>
            <w:shd w:val="clear" w:color="auto" w:fill="auto"/>
          </w:tcPr>
          <w:p w14:paraId="08B7FCEC" w14:textId="77777777" w:rsidR="000C1356" w:rsidRDefault="000C1356" w:rsidP="00B521E2">
            <w:pPr>
              <w:pStyle w:val="TableText"/>
            </w:pPr>
            <w:r w:rsidRPr="004E6482">
              <w:t xml:space="preserve">Gap – </w:t>
            </w:r>
            <w:r w:rsidRPr="004E6482">
              <w:rPr>
                <w:b/>
              </w:rPr>
              <w:t>not</w:t>
            </w:r>
            <w:r w:rsidRPr="004E6482">
              <w:t xml:space="preserve"> substantial clinical benefit</w:t>
            </w:r>
          </w:p>
          <w:p w14:paraId="156E9BCA" w14:textId="77777777" w:rsidR="000C1356" w:rsidRPr="0088228C" w:rsidRDefault="000C1356" w:rsidP="00B521E2">
            <w:pPr>
              <w:pStyle w:val="TableText"/>
            </w:pPr>
            <w:r>
              <w:t xml:space="preserve">The </w:t>
            </w:r>
            <w:r w:rsidRPr="0088228C">
              <w:t xml:space="preserve">ESMO-MCBS score is based on a superseded comparator </w:t>
            </w:r>
            <w:r>
              <w:t xml:space="preserve">– </w:t>
            </w:r>
            <w:r w:rsidRPr="0088228C">
              <w:t>chemotherapy. Standard care in Aotearoa is alectinib. Clinical advice indicated that ceritinib is unlikely to score 4 or 5 against this comparator for this indication</w:t>
            </w:r>
            <w:r>
              <w:t>.</w:t>
            </w:r>
          </w:p>
        </w:tc>
      </w:tr>
      <w:tr w:rsidR="000C1356" w14:paraId="2A940CE5" w14:textId="77777777" w:rsidTr="00B521E2">
        <w:trPr>
          <w:cantSplit/>
        </w:trPr>
        <w:tc>
          <w:tcPr>
            <w:tcW w:w="1560" w:type="dxa"/>
            <w:tcBorders>
              <w:top w:val="single" w:sz="4" w:space="0" w:color="C2D9BA"/>
              <w:bottom w:val="single" w:sz="4" w:space="0" w:color="C2D9BA"/>
            </w:tcBorders>
            <w:shd w:val="clear" w:color="auto" w:fill="auto"/>
          </w:tcPr>
          <w:p w14:paraId="7DCEFE59" w14:textId="77777777" w:rsidR="000C1356" w:rsidRPr="00E444B3" w:rsidRDefault="000C1356" w:rsidP="00B521E2">
            <w:pPr>
              <w:pStyle w:val="TableText"/>
            </w:pPr>
            <w:r w:rsidRPr="00E444B3">
              <w:lastRenderedPageBreak/>
              <w:t>Cetuximab</w:t>
            </w:r>
          </w:p>
        </w:tc>
        <w:tc>
          <w:tcPr>
            <w:tcW w:w="2835" w:type="dxa"/>
            <w:tcBorders>
              <w:top w:val="single" w:sz="4" w:space="0" w:color="C2D9BA"/>
              <w:bottom w:val="single" w:sz="4" w:space="0" w:color="C2D9BA"/>
            </w:tcBorders>
            <w:shd w:val="clear" w:color="auto" w:fill="auto"/>
          </w:tcPr>
          <w:p w14:paraId="090089CE" w14:textId="77777777" w:rsidR="000C1356" w:rsidRDefault="000C1356" w:rsidP="00B521E2">
            <w:pPr>
              <w:pStyle w:val="TableText"/>
              <w:ind w:right="113"/>
            </w:pPr>
            <w:r>
              <w:t>Bowel cancer (colorectal cancer (CRC), metastatic, RAS wild-type, first-line)</w:t>
            </w:r>
          </w:p>
          <w:p w14:paraId="74B365D8" w14:textId="77777777" w:rsidR="000C1356" w:rsidRPr="00E444B3" w:rsidRDefault="000C1356" w:rsidP="00B521E2">
            <w:pPr>
              <w:pStyle w:val="TableText"/>
              <w:ind w:right="113"/>
            </w:pPr>
            <w:r>
              <w:t>Used in combination with chemotherapy</w:t>
            </w:r>
          </w:p>
        </w:tc>
        <w:tc>
          <w:tcPr>
            <w:tcW w:w="3685" w:type="dxa"/>
            <w:tcBorders>
              <w:top w:val="single" w:sz="4" w:space="0" w:color="C2D9BA"/>
              <w:bottom w:val="single" w:sz="4" w:space="0" w:color="C2D9BA"/>
            </w:tcBorders>
            <w:shd w:val="clear" w:color="auto" w:fill="auto"/>
          </w:tcPr>
          <w:p w14:paraId="215710A6" w14:textId="77777777" w:rsidR="000C1356" w:rsidRDefault="000C1356" w:rsidP="00B521E2">
            <w:pPr>
              <w:pStyle w:val="TableText"/>
            </w:pPr>
            <w:r w:rsidRPr="004E6482">
              <w:t>Gap – substantial clinical benefit</w:t>
            </w:r>
          </w:p>
          <w:p w14:paraId="2426697A" w14:textId="77777777" w:rsidR="000C1356" w:rsidRDefault="000C1356" w:rsidP="00B521E2">
            <w:pPr>
              <w:pStyle w:val="TableText"/>
            </w:pPr>
            <w:r w:rsidRPr="0088228C">
              <w:t>ESMO-MCBS score relevant to Aotearoa</w:t>
            </w:r>
          </w:p>
          <w:p w14:paraId="70A9377F" w14:textId="77777777" w:rsidR="000C1356" w:rsidRDefault="000C1356" w:rsidP="00B521E2">
            <w:pPr>
              <w:pStyle w:val="TableText"/>
            </w:pPr>
            <w:r w:rsidRPr="0088228C">
              <w:t>Cetuximab is funded in Aotearoa but not for this indication. Chemotherapy used with cetuximab for this indication is funded in Aotearoa</w:t>
            </w:r>
            <w:r>
              <w:t>.</w:t>
            </w:r>
          </w:p>
          <w:p w14:paraId="26C2FC99" w14:textId="77777777" w:rsidR="000C1356" w:rsidRDefault="000C1356" w:rsidP="00B521E2">
            <w:pPr>
              <w:pStyle w:val="TableText"/>
            </w:pPr>
            <w:r w:rsidRPr="0088228C">
              <w:t>Panitumumab is an alternative option to fill this gap</w:t>
            </w:r>
            <w:r>
              <w:t>.</w:t>
            </w:r>
          </w:p>
          <w:p w14:paraId="21613DFE" w14:textId="77777777" w:rsidR="000C1356" w:rsidRPr="0088228C" w:rsidRDefault="000C1356" w:rsidP="00631389">
            <w:pPr>
              <w:pStyle w:val="TableText"/>
            </w:pPr>
            <w:r w:rsidRPr="0088228C">
              <w:t xml:space="preserve">See </w:t>
            </w:r>
            <w:hyperlink w:anchor="Appendix_7_Table_7point8" w:history="1">
              <w:r w:rsidR="00631389" w:rsidRPr="00631389">
                <w:rPr>
                  <w:rStyle w:val="Hyperlink"/>
                </w:rPr>
                <w:t>Appendix 7, Table 7.8</w:t>
              </w:r>
            </w:hyperlink>
            <w:r w:rsidRPr="0088228C">
              <w:t xml:space="preserve"> for more information</w:t>
            </w:r>
            <w:r>
              <w:t>.</w:t>
            </w:r>
          </w:p>
        </w:tc>
      </w:tr>
      <w:tr w:rsidR="000C1356" w14:paraId="55882A55" w14:textId="77777777" w:rsidTr="00B521E2">
        <w:trPr>
          <w:cantSplit/>
        </w:trPr>
        <w:tc>
          <w:tcPr>
            <w:tcW w:w="1560" w:type="dxa"/>
            <w:tcBorders>
              <w:top w:val="single" w:sz="4" w:space="0" w:color="C2D9BA"/>
              <w:bottom w:val="single" w:sz="4" w:space="0" w:color="C2D9BA"/>
            </w:tcBorders>
            <w:shd w:val="clear" w:color="auto" w:fill="auto"/>
          </w:tcPr>
          <w:p w14:paraId="0CBF7BF2" w14:textId="77777777" w:rsidR="000C1356" w:rsidRPr="00E444B3" w:rsidRDefault="000C1356" w:rsidP="00B521E2">
            <w:pPr>
              <w:pStyle w:val="TableText"/>
            </w:pPr>
            <w:r w:rsidRPr="00E444B3">
              <w:t>Cetuximab</w:t>
            </w:r>
            <w:r>
              <w:t xml:space="preserve"> </w:t>
            </w:r>
          </w:p>
        </w:tc>
        <w:tc>
          <w:tcPr>
            <w:tcW w:w="2835" w:type="dxa"/>
            <w:tcBorders>
              <w:top w:val="single" w:sz="4" w:space="0" w:color="C2D9BA"/>
              <w:bottom w:val="single" w:sz="4" w:space="0" w:color="C2D9BA"/>
            </w:tcBorders>
            <w:shd w:val="clear" w:color="auto" w:fill="auto"/>
          </w:tcPr>
          <w:p w14:paraId="2902A2B8" w14:textId="77777777" w:rsidR="000C1356" w:rsidRDefault="000C1356" w:rsidP="00B521E2">
            <w:pPr>
              <w:pStyle w:val="TableText"/>
              <w:ind w:right="113"/>
            </w:pPr>
            <w:r>
              <w:t>Bowel cancer (colorectal cancer (CRC), metastatic, RAS wild-type, second-line)</w:t>
            </w:r>
          </w:p>
          <w:p w14:paraId="65294256" w14:textId="77777777" w:rsidR="000C1356" w:rsidRPr="00E444B3" w:rsidRDefault="000C1356" w:rsidP="00B521E2">
            <w:pPr>
              <w:pStyle w:val="TableText"/>
              <w:ind w:right="113"/>
            </w:pPr>
            <w:r>
              <w:t>Used with or without chemotherapy</w:t>
            </w:r>
          </w:p>
        </w:tc>
        <w:tc>
          <w:tcPr>
            <w:tcW w:w="3685" w:type="dxa"/>
            <w:tcBorders>
              <w:top w:val="single" w:sz="4" w:space="0" w:color="C2D9BA"/>
              <w:bottom w:val="single" w:sz="4" w:space="0" w:color="C2D9BA"/>
            </w:tcBorders>
            <w:shd w:val="clear" w:color="auto" w:fill="auto"/>
          </w:tcPr>
          <w:p w14:paraId="7AE2C0BE" w14:textId="77777777" w:rsidR="000C1356" w:rsidRDefault="000C1356" w:rsidP="00B521E2">
            <w:pPr>
              <w:pStyle w:val="TableText"/>
            </w:pPr>
            <w:r w:rsidRPr="004E6482">
              <w:t>Gap – substantial clinical benefit</w:t>
            </w:r>
          </w:p>
          <w:p w14:paraId="6809419E" w14:textId="77777777" w:rsidR="000C1356" w:rsidRDefault="000C1356" w:rsidP="00B521E2">
            <w:pPr>
              <w:pStyle w:val="TableText"/>
            </w:pPr>
            <w:r w:rsidRPr="0088228C">
              <w:t>ESMO-MCBS score relevant to Aotearoa</w:t>
            </w:r>
          </w:p>
          <w:p w14:paraId="46272955" w14:textId="77777777" w:rsidR="000C1356" w:rsidRDefault="000C1356" w:rsidP="00B521E2">
            <w:pPr>
              <w:pStyle w:val="TableText"/>
            </w:pPr>
            <w:r w:rsidRPr="0088228C">
              <w:t>Cetuximab is funded in Aotearoa but not for this indication. Chemotherapy used with cetuximab for this indication is funded in Aotearoa</w:t>
            </w:r>
            <w:r>
              <w:t>.</w:t>
            </w:r>
          </w:p>
          <w:p w14:paraId="67698109" w14:textId="77777777" w:rsidR="000C1356" w:rsidRPr="0088228C" w:rsidRDefault="000C1356" w:rsidP="00631389">
            <w:pPr>
              <w:pStyle w:val="TableText"/>
            </w:pPr>
            <w:r w:rsidRPr="0088228C">
              <w:t xml:space="preserve">See </w:t>
            </w:r>
            <w:hyperlink w:anchor="Appendix_7_Table_7point9" w:history="1">
              <w:r w:rsidR="00631389" w:rsidRPr="00631389">
                <w:rPr>
                  <w:rStyle w:val="Hyperlink"/>
                </w:rPr>
                <w:t>Appendix 7, Table 7.9</w:t>
              </w:r>
            </w:hyperlink>
            <w:r w:rsidRPr="0088228C">
              <w:t xml:space="preserve"> for more information</w:t>
            </w:r>
            <w:r>
              <w:t>.</w:t>
            </w:r>
          </w:p>
        </w:tc>
      </w:tr>
      <w:tr w:rsidR="000C1356" w14:paraId="47467D0E" w14:textId="77777777" w:rsidTr="00B521E2">
        <w:trPr>
          <w:cantSplit/>
        </w:trPr>
        <w:tc>
          <w:tcPr>
            <w:tcW w:w="1560" w:type="dxa"/>
            <w:tcBorders>
              <w:top w:val="single" w:sz="4" w:space="0" w:color="C2D9BA"/>
              <w:bottom w:val="single" w:sz="4" w:space="0" w:color="C2D9BA"/>
            </w:tcBorders>
            <w:shd w:val="clear" w:color="auto" w:fill="auto"/>
          </w:tcPr>
          <w:p w14:paraId="63CCE694" w14:textId="77777777" w:rsidR="000C1356" w:rsidRPr="00E444B3" w:rsidRDefault="000C1356" w:rsidP="00B521E2">
            <w:pPr>
              <w:pStyle w:val="TableText"/>
            </w:pPr>
            <w:r w:rsidRPr="00E444B3">
              <w:t>Cobimetinib</w:t>
            </w:r>
          </w:p>
        </w:tc>
        <w:tc>
          <w:tcPr>
            <w:tcW w:w="2835" w:type="dxa"/>
            <w:tcBorders>
              <w:top w:val="single" w:sz="4" w:space="0" w:color="C2D9BA"/>
              <w:bottom w:val="single" w:sz="4" w:space="0" w:color="C2D9BA"/>
            </w:tcBorders>
            <w:shd w:val="clear" w:color="auto" w:fill="auto"/>
          </w:tcPr>
          <w:p w14:paraId="46B6A497" w14:textId="77777777" w:rsidR="000C1356" w:rsidRDefault="000C1356" w:rsidP="00B521E2">
            <w:pPr>
              <w:pStyle w:val="TableText"/>
              <w:ind w:right="113"/>
            </w:pPr>
            <w:r w:rsidRPr="00E444B3">
              <w:t>Melanoma (stage III or IV, unresectable, BRAF +ve)</w:t>
            </w:r>
          </w:p>
          <w:p w14:paraId="67D5131D" w14:textId="77777777" w:rsidR="000C1356" w:rsidRPr="00E444B3" w:rsidRDefault="000C1356" w:rsidP="00B521E2">
            <w:pPr>
              <w:pStyle w:val="TableText"/>
              <w:ind w:right="113"/>
            </w:pPr>
            <w:r>
              <w:t>Used in combination with vemurafenib</w:t>
            </w:r>
          </w:p>
        </w:tc>
        <w:tc>
          <w:tcPr>
            <w:tcW w:w="3685" w:type="dxa"/>
            <w:tcBorders>
              <w:top w:val="single" w:sz="4" w:space="0" w:color="C2D9BA"/>
              <w:bottom w:val="single" w:sz="4" w:space="0" w:color="C2D9BA"/>
            </w:tcBorders>
            <w:shd w:val="clear" w:color="auto" w:fill="auto"/>
          </w:tcPr>
          <w:p w14:paraId="744B2CB4" w14:textId="77777777" w:rsidR="000C1356" w:rsidRDefault="000C1356" w:rsidP="00B521E2">
            <w:pPr>
              <w:pStyle w:val="TableText"/>
            </w:pPr>
            <w:r w:rsidRPr="004E6482">
              <w:t>Gap – substantial clinical benefit</w:t>
            </w:r>
          </w:p>
          <w:p w14:paraId="02FEE82F" w14:textId="77777777" w:rsidR="000C1356" w:rsidRDefault="000C1356" w:rsidP="00B521E2">
            <w:pPr>
              <w:pStyle w:val="TableText"/>
            </w:pPr>
            <w:r>
              <w:t xml:space="preserve">The </w:t>
            </w:r>
            <w:r w:rsidRPr="0088228C">
              <w:t>ESMO-MCBS score is based on a comparator that isn</w:t>
            </w:r>
            <w:r>
              <w:t>’</w:t>
            </w:r>
            <w:r w:rsidRPr="0088228C">
              <w:t xml:space="preserve">t funded in Aotearoa – vemurafenib. Clinical advice indicated that this regimen is likely to score at least 4 for this specific patient group </w:t>
            </w:r>
            <w:r>
              <w:t>when compared with</w:t>
            </w:r>
            <w:r w:rsidRPr="0088228C">
              <w:t xml:space="preserve"> the current standard of care in Aotearoa – pembrolizumab or nivolumab</w:t>
            </w:r>
            <w:r>
              <w:t>.</w:t>
            </w:r>
          </w:p>
          <w:p w14:paraId="081E110B" w14:textId="77777777" w:rsidR="000C1356" w:rsidRDefault="000C1356" w:rsidP="00B521E2">
            <w:pPr>
              <w:pStyle w:val="TableText"/>
            </w:pPr>
            <w:r w:rsidRPr="0088228C">
              <w:t>Both cobimetinib and vemurafenib would need to be funded for this indication for this gap to be filled</w:t>
            </w:r>
            <w:r>
              <w:t>.</w:t>
            </w:r>
          </w:p>
          <w:p w14:paraId="04808ECC" w14:textId="77777777" w:rsidR="000C1356" w:rsidRDefault="000C1356" w:rsidP="00B521E2">
            <w:pPr>
              <w:pStyle w:val="TableText"/>
            </w:pPr>
            <w:r w:rsidRPr="0088228C">
              <w:t>Other BRAF-MEK combinations are alternative options to fill this gap</w:t>
            </w:r>
            <w:r>
              <w:t>.</w:t>
            </w:r>
          </w:p>
          <w:p w14:paraId="52F2CA44" w14:textId="77777777" w:rsidR="000C1356" w:rsidRPr="004E6482" w:rsidRDefault="000C1356" w:rsidP="00631389">
            <w:pPr>
              <w:pStyle w:val="TableText"/>
            </w:pPr>
            <w:r w:rsidRPr="0088228C">
              <w:t xml:space="preserve">See </w:t>
            </w:r>
            <w:hyperlink w:anchor="Appendix_7_Table_7point20" w:history="1">
              <w:r w:rsidR="00631389" w:rsidRPr="00F047DF">
                <w:rPr>
                  <w:rStyle w:val="Hyperlink"/>
                </w:rPr>
                <w:t>Appendix 7, Table 7.20</w:t>
              </w:r>
            </w:hyperlink>
            <w:r w:rsidRPr="0088228C">
              <w:t xml:space="preserve"> for more information</w:t>
            </w:r>
            <w:r>
              <w:t>.</w:t>
            </w:r>
          </w:p>
        </w:tc>
      </w:tr>
      <w:tr w:rsidR="000C1356" w14:paraId="369D58FD" w14:textId="77777777" w:rsidTr="00B521E2">
        <w:trPr>
          <w:cantSplit/>
        </w:trPr>
        <w:tc>
          <w:tcPr>
            <w:tcW w:w="1560" w:type="dxa"/>
            <w:tcBorders>
              <w:top w:val="single" w:sz="4" w:space="0" w:color="C2D9BA"/>
              <w:bottom w:val="single" w:sz="4" w:space="0" w:color="C2D9BA"/>
            </w:tcBorders>
            <w:shd w:val="clear" w:color="auto" w:fill="auto"/>
          </w:tcPr>
          <w:p w14:paraId="763859AD" w14:textId="77777777" w:rsidR="000C1356" w:rsidRPr="00E444B3" w:rsidRDefault="000C1356" w:rsidP="00B521E2">
            <w:pPr>
              <w:pStyle w:val="TableText"/>
            </w:pPr>
            <w:r w:rsidRPr="00E444B3">
              <w:t>Crizotinib</w:t>
            </w:r>
          </w:p>
        </w:tc>
        <w:tc>
          <w:tcPr>
            <w:tcW w:w="2835" w:type="dxa"/>
            <w:tcBorders>
              <w:top w:val="single" w:sz="4" w:space="0" w:color="C2D9BA"/>
              <w:bottom w:val="single" w:sz="4" w:space="0" w:color="C2D9BA"/>
            </w:tcBorders>
            <w:shd w:val="clear" w:color="auto" w:fill="auto"/>
          </w:tcPr>
          <w:p w14:paraId="6AD528A6" w14:textId="77777777" w:rsidR="000C1356" w:rsidRPr="00E444B3" w:rsidRDefault="000C1356" w:rsidP="00B521E2">
            <w:pPr>
              <w:pStyle w:val="TableText"/>
              <w:ind w:right="113"/>
            </w:pPr>
            <w:r w:rsidRPr="00E444B3">
              <w:t>Lung cancer (</w:t>
            </w:r>
            <w:r>
              <w:t>non-small cell lung cancer (</w:t>
            </w:r>
            <w:r w:rsidRPr="00E444B3">
              <w:t>NSCLC</w:t>
            </w:r>
            <w:r>
              <w:t>)</w:t>
            </w:r>
            <w:r w:rsidRPr="00E444B3">
              <w:t xml:space="preserve">, </w:t>
            </w:r>
            <w:r>
              <w:t xml:space="preserve">stage IIIb or IV, </w:t>
            </w:r>
            <w:r w:rsidRPr="00E444B3">
              <w:t>ALK+ve)</w:t>
            </w:r>
          </w:p>
        </w:tc>
        <w:tc>
          <w:tcPr>
            <w:tcW w:w="3685" w:type="dxa"/>
            <w:tcBorders>
              <w:top w:val="single" w:sz="4" w:space="0" w:color="C2D9BA"/>
              <w:bottom w:val="single" w:sz="4" w:space="0" w:color="C2D9BA"/>
            </w:tcBorders>
            <w:shd w:val="clear" w:color="auto" w:fill="auto"/>
          </w:tcPr>
          <w:p w14:paraId="0E854A3D" w14:textId="77777777" w:rsidR="000C1356" w:rsidRDefault="000C1356" w:rsidP="00B521E2">
            <w:pPr>
              <w:pStyle w:val="TableText"/>
            </w:pPr>
            <w:r w:rsidRPr="004E6482">
              <w:t xml:space="preserve">Gap – </w:t>
            </w:r>
            <w:r w:rsidRPr="004E6482">
              <w:rPr>
                <w:b/>
              </w:rPr>
              <w:t>not</w:t>
            </w:r>
            <w:r w:rsidRPr="004E6482">
              <w:t xml:space="preserve"> substantial clinical benefit</w:t>
            </w:r>
          </w:p>
          <w:p w14:paraId="2A7DC939" w14:textId="77777777" w:rsidR="000C1356" w:rsidRPr="004E6482" w:rsidRDefault="000C1356" w:rsidP="00B521E2">
            <w:pPr>
              <w:pStyle w:val="TableText"/>
            </w:pPr>
            <w:r>
              <w:t xml:space="preserve">The </w:t>
            </w:r>
            <w:r w:rsidRPr="0088228C">
              <w:t>ESMO-MCBS score is based on a superseded comparator</w:t>
            </w:r>
            <w:r>
              <w:t xml:space="preserve">– </w:t>
            </w:r>
            <w:r w:rsidRPr="0088228C">
              <w:t>chemotherapy. Standard care in Aotearoa is alectinib. Clinical advice indicated that crizotinib is unlikely to score 4 or 5 against this comparator for this indication</w:t>
            </w:r>
            <w:r>
              <w:t>.</w:t>
            </w:r>
          </w:p>
        </w:tc>
      </w:tr>
      <w:tr w:rsidR="000C1356" w14:paraId="4DE6A1C1" w14:textId="77777777" w:rsidTr="00B521E2">
        <w:trPr>
          <w:cantSplit/>
        </w:trPr>
        <w:tc>
          <w:tcPr>
            <w:tcW w:w="1560" w:type="dxa"/>
            <w:tcBorders>
              <w:top w:val="single" w:sz="4" w:space="0" w:color="C2D9BA"/>
              <w:bottom w:val="single" w:sz="4" w:space="0" w:color="C2D9BA"/>
            </w:tcBorders>
            <w:shd w:val="clear" w:color="auto" w:fill="auto"/>
          </w:tcPr>
          <w:p w14:paraId="4D6BAE1D" w14:textId="77777777" w:rsidR="000C1356" w:rsidRPr="00E444B3" w:rsidRDefault="000C1356" w:rsidP="00B521E2">
            <w:pPr>
              <w:pStyle w:val="TableText"/>
            </w:pPr>
            <w:r w:rsidRPr="00E444B3">
              <w:t>Durvalumab</w:t>
            </w:r>
          </w:p>
        </w:tc>
        <w:tc>
          <w:tcPr>
            <w:tcW w:w="2835" w:type="dxa"/>
            <w:tcBorders>
              <w:top w:val="single" w:sz="4" w:space="0" w:color="C2D9BA"/>
              <w:bottom w:val="single" w:sz="4" w:space="0" w:color="C2D9BA"/>
            </w:tcBorders>
            <w:shd w:val="clear" w:color="auto" w:fill="auto"/>
          </w:tcPr>
          <w:p w14:paraId="37035DF6" w14:textId="77777777" w:rsidR="000C1356" w:rsidRPr="00E444B3" w:rsidRDefault="000C1356" w:rsidP="00B521E2">
            <w:pPr>
              <w:pStyle w:val="TableText"/>
              <w:ind w:right="113"/>
            </w:pPr>
            <w:r w:rsidRPr="00E444B3">
              <w:t>Lung cancer</w:t>
            </w:r>
            <w:r>
              <w:t xml:space="preserve"> (non-small cell lung cancer (NSCLC), s</w:t>
            </w:r>
            <w:r w:rsidRPr="001336C7">
              <w:t>tage III, consolidation after chemo</w:t>
            </w:r>
            <w:r>
              <w:t>radio</w:t>
            </w:r>
            <w:r w:rsidRPr="001336C7">
              <w:t>therapy</w:t>
            </w:r>
            <w:r>
              <w:t>)</w:t>
            </w:r>
          </w:p>
        </w:tc>
        <w:tc>
          <w:tcPr>
            <w:tcW w:w="3685" w:type="dxa"/>
            <w:tcBorders>
              <w:top w:val="single" w:sz="4" w:space="0" w:color="C2D9BA"/>
              <w:bottom w:val="single" w:sz="4" w:space="0" w:color="C2D9BA"/>
            </w:tcBorders>
            <w:shd w:val="clear" w:color="auto" w:fill="auto"/>
          </w:tcPr>
          <w:p w14:paraId="17386E87" w14:textId="77777777" w:rsidR="000C1356" w:rsidRDefault="000C1356" w:rsidP="00B521E2">
            <w:pPr>
              <w:pStyle w:val="TableText"/>
            </w:pPr>
            <w:r w:rsidRPr="004E6482">
              <w:t>Gap</w:t>
            </w:r>
            <w:r>
              <w:t xml:space="preserve">– </w:t>
            </w:r>
            <w:r w:rsidRPr="004E6482">
              <w:t>substantial clinical benefit</w:t>
            </w:r>
          </w:p>
          <w:p w14:paraId="6AF4E172" w14:textId="77777777" w:rsidR="000C1356" w:rsidRDefault="000C1356" w:rsidP="00B521E2">
            <w:pPr>
              <w:pStyle w:val="TableText"/>
            </w:pPr>
            <w:r w:rsidRPr="0088228C">
              <w:t>ESMO-MCBS score relevant to Aotearoa</w:t>
            </w:r>
          </w:p>
          <w:p w14:paraId="4F79B94A" w14:textId="77777777" w:rsidR="000C1356" w:rsidRDefault="000C1356" w:rsidP="00B521E2">
            <w:pPr>
              <w:pStyle w:val="TableText"/>
            </w:pPr>
            <w:r w:rsidRPr="0088228C">
              <w:t xml:space="preserve">Note: </w:t>
            </w:r>
            <w:r>
              <w:t>A</w:t>
            </w:r>
            <w:r w:rsidRPr="00567B8E">
              <w:t>fter</w:t>
            </w:r>
            <w:r w:rsidRPr="0088228C">
              <w:t xml:space="preserve"> </w:t>
            </w:r>
            <w:r>
              <w:t>this</w:t>
            </w:r>
            <w:r w:rsidRPr="0088228C">
              <w:t xml:space="preserve"> analysis</w:t>
            </w:r>
            <w:r>
              <w:t xml:space="preserve"> had been completed</w:t>
            </w:r>
            <w:r w:rsidRPr="0088228C">
              <w:t>, Pharmac approved funding of durvalumab for this indication</w:t>
            </w:r>
            <w:r>
              <w:t>,</w:t>
            </w:r>
            <w:r w:rsidRPr="0088228C">
              <w:t xml:space="preserve"> and therefore this gap will be filled from August 2022.</w:t>
            </w:r>
          </w:p>
          <w:p w14:paraId="0BC634DC" w14:textId="77777777" w:rsidR="000C1356" w:rsidRPr="004E6482" w:rsidRDefault="000C1356" w:rsidP="00631389">
            <w:pPr>
              <w:pStyle w:val="TableText"/>
            </w:pPr>
            <w:r w:rsidRPr="0088228C">
              <w:t xml:space="preserve">See </w:t>
            </w:r>
            <w:hyperlink w:anchor="Appendix_7_Table_7point3" w:history="1">
              <w:r w:rsidR="00631389" w:rsidRPr="00631389">
                <w:rPr>
                  <w:rStyle w:val="Hyperlink"/>
                </w:rPr>
                <w:t>Appendix 7, Table 7.3</w:t>
              </w:r>
            </w:hyperlink>
            <w:r w:rsidRPr="0088228C">
              <w:t xml:space="preserve"> for more information</w:t>
            </w:r>
            <w:r>
              <w:t>.</w:t>
            </w:r>
          </w:p>
        </w:tc>
      </w:tr>
      <w:tr w:rsidR="000C1356" w14:paraId="36A06DBD" w14:textId="77777777" w:rsidTr="00B521E2">
        <w:trPr>
          <w:cantSplit/>
        </w:trPr>
        <w:tc>
          <w:tcPr>
            <w:tcW w:w="1560" w:type="dxa"/>
            <w:tcBorders>
              <w:top w:val="single" w:sz="4" w:space="0" w:color="C2D9BA"/>
              <w:bottom w:val="single" w:sz="4" w:space="0" w:color="C2D9BA"/>
            </w:tcBorders>
            <w:shd w:val="clear" w:color="auto" w:fill="auto"/>
          </w:tcPr>
          <w:p w14:paraId="23D84E0B" w14:textId="77777777" w:rsidR="000C1356" w:rsidRPr="00E444B3" w:rsidRDefault="000C1356" w:rsidP="00B521E2">
            <w:pPr>
              <w:pStyle w:val="TableText"/>
            </w:pPr>
            <w:r>
              <w:lastRenderedPageBreak/>
              <w:t>Encorafenib</w:t>
            </w:r>
          </w:p>
        </w:tc>
        <w:tc>
          <w:tcPr>
            <w:tcW w:w="2835" w:type="dxa"/>
            <w:tcBorders>
              <w:top w:val="single" w:sz="4" w:space="0" w:color="C2D9BA"/>
              <w:bottom w:val="single" w:sz="4" w:space="0" w:color="C2D9BA"/>
            </w:tcBorders>
            <w:shd w:val="clear" w:color="auto" w:fill="auto"/>
          </w:tcPr>
          <w:p w14:paraId="3C36C92C" w14:textId="77777777" w:rsidR="000C1356" w:rsidRDefault="000C1356" w:rsidP="00B521E2">
            <w:pPr>
              <w:pStyle w:val="TableText"/>
              <w:ind w:right="113"/>
            </w:pPr>
            <w:r>
              <w:t>Melanoma (stage III or IV, unresectable, BRAF +ve)</w:t>
            </w:r>
          </w:p>
          <w:p w14:paraId="1CD07A46" w14:textId="77777777" w:rsidR="000C1356" w:rsidRPr="00E444B3" w:rsidRDefault="000C1356" w:rsidP="00B521E2">
            <w:pPr>
              <w:pStyle w:val="TableText"/>
              <w:ind w:right="113"/>
            </w:pPr>
            <w:r>
              <w:t>Used in combination with binimetinib</w:t>
            </w:r>
          </w:p>
        </w:tc>
        <w:tc>
          <w:tcPr>
            <w:tcW w:w="3685" w:type="dxa"/>
            <w:tcBorders>
              <w:top w:val="single" w:sz="4" w:space="0" w:color="C2D9BA"/>
              <w:bottom w:val="single" w:sz="4" w:space="0" w:color="C2D9BA"/>
            </w:tcBorders>
            <w:shd w:val="clear" w:color="auto" w:fill="auto"/>
          </w:tcPr>
          <w:p w14:paraId="04EF8861" w14:textId="77777777" w:rsidR="000C1356" w:rsidRDefault="000C1356" w:rsidP="00B521E2">
            <w:pPr>
              <w:pStyle w:val="TableText"/>
            </w:pPr>
            <w:r w:rsidRPr="004E6482">
              <w:t>Gap – substantial clinical benefit</w:t>
            </w:r>
          </w:p>
          <w:p w14:paraId="744FA682" w14:textId="77777777" w:rsidR="000C1356" w:rsidRDefault="000C1356" w:rsidP="00B521E2">
            <w:pPr>
              <w:pStyle w:val="TableText"/>
            </w:pPr>
            <w:r>
              <w:t xml:space="preserve">The </w:t>
            </w:r>
            <w:r w:rsidRPr="0088228C">
              <w:t>ESMO-MCBS score is based on a comparator that isn</w:t>
            </w:r>
            <w:r>
              <w:t>’</w:t>
            </w:r>
            <w:r w:rsidRPr="0088228C">
              <w:t>t funded in Aotearoa – vemurafenib. Clinical advice indicated this regimen is likely to score at least 4 for this specific patient group</w:t>
            </w:r>
            <w:r>
              <w:t xml:space="preserve"> when</w:t>
            </w:r>
            <w:r w:rsidRPr="0088228C">
              <w:t xml:space="preserve"> </w:t>
            </w:r>
            <w:r>
              <w:t>compared with</w:t>
            </w:r>
            <w:r w:rsidRPr="0088228C">
              <w:t xml:space="preserve"> the current standard of care in Aotearoa – pembrolizumab or nivolumab</w:t>
            </w:r>
            <w:r>
              <w:t>.</w:t>
            </w:r>
          </w:p>
          <w:p w14:paraId="2EB3CF0D" w14:textId="77777777" w:rsidR="000C1356" w:rsidRDefault="000C1356" w:rsidP="00B521E2">
            <w:pPr>
              <w:pStyle w:val="TableText"/>
            </w:pPr>
            <w:r w:rsidRPr="0088228C">
              <w:t>Both encorafenib and binimetinib would need to be funded for this indication for this gap to be filled</w:t>
            </w:r>
            <w:r>
              <w:t>.</w:t>
            </w:r>
          </w:p>
          <w:p w14:paraId="431AE915" w14:textId="77777777" w:rsidR="000C1356" w:rsidRDefault="000C1356" w:rsidP="00B521E2">
            <w:pPr>
              <w:pStyle w:val="TableText"/>
            </w:pPr>
            <w:r w:rsidRPr="0088228C">
              <w:t>Other BRAF-MEK combinations are alternative options to fill this gap</w:t>
            </w:r>
            <w:r>
              <w:t>.</w:t>
            </w:r>
          </w:p>
          <w:p w14:paraId="7A6CAFC7" w14:textId="77777777" w:rsidR="000C1356" w:rsidRPr="004E6482" w:rsidRDefault="000C1356" w:rsidP="00631389">
            <w:pPr>
              <w:pStyle w:val="TableText"/>
            </w:pPr>
            <w:r w:rsidRPr="0088228C">
              <w:t xml:space="preserve">See </w:t>
            </w:r>
            <w:hyperlink w:anchor="Appendix_7_Table_7point20" w:history="1">
              <w:r w:rsidR="00631389" w:rsidRPr="00F047DF">
                <w:rPr>
                  <w:rStyle w:val="Hyperlink"/>
                </w:rPr>
                <w:t>Appendix 7, Table 7.20</w:t>
              </w:r>
            </w:hyperlink>
            <w:r w:rsidRPr="0088228C">
              <w:t xml:space="preserve"> for more information</w:t>
            </w:r>
            <w:r>
              <w:t>.</w:t>
            </w:r>
          </w:p>
        </w:tc>
      </w:tr>
      <w:tr w:rsidR="000C1356" w14:paraId="1846C6A9" w14:textId="77777777" w:rsidTr="00B521E2">
        <w:trPr>
          <w:cantSplit/>
        </w:trPr>
        <w:tc>
          <w:tcPr>
            <w:tcW w:w="1560" w:type="dxa"/>
            <w:tcBorders>
              <w:top w:val="single" w:sz="4" w:space="0" w:color="C2D9BA"/>
              <w:bottom w:val="single" w:sz="4" w:space="0" w:color="C2D9BA"/>
            </w:tcBorders>
            <w:shd w:val="clear" w:color="auto" w:fill="auto"/>
          </w:tcPr>
          <w:p w14:paraId="439EBCA8" w14:textId="77777777" w:rsidR="000C1356" w:rsidRPr="00E444B3" w:rsidRDefault="000C1356" w:rsidP="00B521E2">
            <w:pPr>
              <w:pStyle w:val="TableText"/>
            </w:pPr>
            <w:r w:rsidRPr="00E444B3">
              <w:t>Enzalutamide</w:t>
            </w:r>
          </w:p>
        </w:tc>
        <w:tc>
          <w:tcPr>
            <w:tcW w:w="2835" w:type="dxa"/>
            <w:tcBorders>
              <w:top w:val="single" w:sz="4" w:space="0" w:color="C2D9BA"/>
              <w:bottom w:val="single" w:sz="4" w:space="0" w:color="C2D9BA"/>
            </w:tcBorders>
            <w:shd w:val="clear" w:color="auto" w:fill="auto"/>
          </w:tcPr>
          <w:p w14:paraId="3BB8606F" w14:textId="77777777" w:rsidR="000C1356" w:rsidRPr="00E444B3" w:rsidRDefault="000C1356" w:rsidP="00B521E2">
            <w:pPr>
              <w:pStyle w:val="TableText"/>
              <w:ind w:right="113"/>
            </w:pPr>
            <w:r w:rsidRPr="00E444B3">
              <w:t>Prostate cancer</w:t>
            </w:r>
            <w:r>
              <w:t xml:space="preserve"> (metastatic, castration resistant, second-line)</w:t>
            </w:r>
          </w:p>
        </w:tc>
        <w:tc>
          <w:tcPr>
            <w:tcW w:w="3685" w:type="dxa"/>
            <w:tcBorders>
              <w:top w:val="single" w:sz="4" w:space="0" w:color="C2D9BA"/>
              <w:bottom w:val="single" w:sz="4" w:space="0" w:color="C2D9BA"/>
            </w:tcBorders>
            <w:shd w:val="clear" w:color="auto" w:fill="auto"/>
          </w:tcPr>
          <w:p w14:paraId="2B584F47" w14:textId="77777777" w:rsidR="000C1356" w:rsidRDefault="000C1356" w:rsidP="00B521E2">
            <w:pPr>
              <w:pStyle w:val="TableText"/>
            </w:pPr>
            <w:r w:rsidRPr="004E6482">
              <w:t xml:space="preserve">Gap – </w:t>
            </w:r>
            <w:r w:rsidRPr="004E6482">
              <w:rPr>
                <w:b/>
              </w:rPr>
              <w:t>not</w:t>
            </w:r>
            <w:r w:rsidRPr="004E6482">
              <w:t xml:space="preserve"> substantial clinical benefit</w:t>
            </w:r>
          </w:p>
          <w:p w14:paraId="75E61F2C" w14:textId="77777777" w:rsidR="000C1356" w:rsidRPr="0088228C" w:rsidRDefault="000C1356" w:rsidP="00B521E2">
            <w:pPr>
              <w:pStyle w:val="TableText"/>
            </w:pPr>
            <w:r>
              <w:t xml:space="preserve">The </w:t>
            </w:r>
            <w:r w:rsidRPr="0088228C">
              <w:t>ESMO-MCBS score is against a superseded comparator</w:t>
            </w:r>
            <w:r>
              <w:t xml:space="preserve">– </w:t>
            </w:r>
            <w:r w:rsidRPr="0088228C">
              <w:t>placebo. Standard care in Aotearoa is abiraterone. Clinical advice indicated that enzalutamide is unlikely to score 4 or 5 against this comparator for this indication</w:t>
            </w:r>
            <w:r>
              <w:t>.</w:t>
            </w:r>
          </w:p>
        </w:tc>
      </w:tr>
      <w:tr w:rsidR="000C1356" w14:paraId="5E499563" w14:textId="77777777" w:rsidTr="00B521E2">
        <w:trPr>
          <w:cantSplit/>
        </w:trPr>
        <w:tc>
          <w:tcPr>
            <w:tcW w:w="1560" w:type="dxa"/>
            <w:tcBorders>
              <w:top w:val="single" w:sz="4" w:space="0" w:color="C2D9BA"/>
              <w:bottom w:val="single" w:sz="4" w:space="0" w:color="C2D9BA"/>
            </w:tcBorders>
            <w:shd w:val="clear" w:color="auto" w:fill="auto"/>
          </w:tcPr>
          <w:p w14:paraId="6E3FF59E" w14:textId="77777777" w:rsidR="000C1356" w:rsidRPr="00E444B3" w:rsidRDefault="000C1356" w:rsidP="00B521E2">
            <w:pPr>
              <w:pStyle w:val="TableText"/>
            </w:pPr>
            <w:r w:rsidRPr="00E444B3">
              <w:t xml:space="preserve">Ipilimumab </w:t>
            </w:r>
          </w:p>
        </w:tc>
        <w:tc>
          <w:tcPr>
            <w:tcW w:w="2835" w:type="dxa"/>
            <w:tcBorders>
              <w:top w:val="single" w:sz="4" w:space="0" w:color="C2D9BA"/>
              <w:bottom w:val="single" w:sz="4" w:space="0" w:color="C2D9BA"/>
            </w:tcBorders>
            <w:shd w:val="clear" w:color="auto" w:fill="auto"/>
          </w:tcPr>
          <w:p w14:paraId="26BE9F64" w14:textId="77777777" w:rsidR="000C1356" w:rsidRDefault="000C1356" w:rsidP="00B521E2">
            <w:pPr>
              <w:pStyle w:val="TableText"/>
              <w:ind w:right="113"/>
            </w:pPr>
            <w:r w:rsidRPr="00E444B3">
              <w:t>Lung cancer (</w:t>
            </w:r>
            <w:r>
              <w:t>non-small cell lung cancer (</w:t>
            </w:r>
            <w:r w:rsidRPr="00E444B3">
              <w:t>NSCLC</w:t>
            </w:r>
            <w:r>
              <w:t>)</w:t>
            </w:r>
            <w:r w:rsidRPr="00E444B3">
              <w:t xml:space="preserve">, stage IV, </w:t>
            </w:r>
            <w:r>
              <w:t>first-line</w:t>
            </w:r>
            <w:r w:rsidRPr="00E444B3">
              <w:t>)</w:t>
            </w:r>
          </w:p>
          <w:p w14:paraId="79F595DE" w14:textId="77777777" w:rsidR="000C1356" w:rsidRPr="00E444B3" w:rsidRDefault="000C1356" w:rsidP="00B521E2">
            <w:pPr>
              <w:pStyle w:val="TableText"/>
              <w:ind w:right="113"/>
            </w:pPr>
            <w:r>
              <w:t>Used in combination with nivolumab and chemotherapy</w:t>
            </w:r>
          </w:p>
        </w:tc>
        <w:tc>
          <w:tcPr>
            <w:tcW w:w="3685" w:type="dxa"/>
            <w:tcBorders>
              <w:top w:val="single" w:sz="4" w:space="0" w:color="C2D9BA"/>
              <w:bottom w:val="single" w:sz="4" w:space="0" w:color="C2D9BA"/>
            </w:tcBorders>
            <w:shd w:val="clear" w:color="auto" w:fill="auto"/>
          </w:tcPr>
          <w:p w14:paraId="5D835DFB" w14:textId="77777777" w:rsidR="000C1356" w:rsidRDefault="000C1356" w:rsidP="00B521E2">
            <w:pPr>
              <w:pStyle w:val="TableText"/>
            </w:pPr>
            <w:r w:rsidRPr="004E6482">
              <w:t>Gap – substantial clinical benefit</w:t>
            </w:r>
          </w:p>
          <w:p w14:paraId="13B95B99" w14:textId="77777777" w:rsidR="000C1356" w:rsidRDefault="000C1356" w:rsidP="00B521E2">
            <w:pPr>
              <w:pStyle w:val="TableText"/>
            </w:pPr>
            <w:r w:rsidRPr="0088228C">
              <w:t>ESMO-MCBS score relevant to Aotearoa</w:t>
            </w:r>
          </w:p>
          <w:p w14:paraId="48FBC842" w14:textId="77777777" w:rsidR="000C1356" w:rsidRDefault="000C1356" w:rsidP="00B521E2">
            <w:pPr>
              <w:pStyle w:val="TableText"/>
            </w:pPr>
            <w:r w:rsidRPr="0088228C">
              <w:t xml:space="preserve">Requires funding of both ipilimumab and nivolumab for this indication for this </w:t>
            </w:r>
            <w:r w:rsidRPr="004E6482">
              <w:t xml:space="preserve">gap to be filled. </w:t>
            </w:r>
            <w:r w:rsidRPr="0088228C">
              <w:t>Chemotherapy used in this regimen for this indication is funded in Aotearoa</w:t>
            </w:r>
            <w:r>
              <w:t>.</w:t>
            </w:r>
          </w:p>
          <w:p w14:paraId="7E3E7758" w14:textId="77777777" w:rsidR="000C1356" w:rsidRDefault="000C1356" w:rsidP="00B521E2">
            <w:pPr>
              <w:pStyle w:val="TableText"/>
            </w:pPr>
            <w:r w:rsidRPr="0088228C">
              <w:t>Other immune checkpoint inhibitor options exist as alternative options to fill this gap</w:t>
            </w:r>
            <w:r>
              <w:t>.</w:t>
            </w:r>
          </w:p>
          <w:p w14:paraId="3D757656" w14:textId="77777777" w:rsidR="000C1356" w:rsidRPr="004E6482" w:rsidRDefault="000C1356" w:rsidP="00631389">
            <w:pPr>
              <w:pStyle w:val="TableText"/>
            </w:pPr>
            <w:r w:rsidRPr="0088228C">
              <w:t xml:space="preserve">See </w:t>
            </w:r>
            <w:hyperlink w:anchor="Appendix_7_Table_7point1" w:history="1">
              <w:r w:rsidR="00631389" w:rsidRPr="00631389">
                <w:rPr>
                  <w:rStyle w:val="Hyperlink"/>
                </w:rPr>
                <w:t>Appendix 7, Table 7.1</w:t>
              </w:r>
            </w:hyperlink>
            <w:r w:rsidRPr="0088228C">
              <w:t xml:space="preserve"> for more information</w:t>
            </w:r>
            <w:r>
              <w:t>.</w:t>
            </w:r>
          </w:p>
        </w:tc>
      </w:tr>
      <w:tr w:rsidR="000C1356" w14:paraId="744E168E" w14:textId="77777777" w:rsidTr="00B521E2">
        <w:trPr>
          <w:cantSplit/>
        </w:trPr>
        <w:tc>
          <w:tcPr>
            <w:tcW w:w="1560" w:type="dxa"/>
            <w:tcBorders>
              <w:top w:val="single" w:sz="4" w:space="0" w:color="C2D9BA"/>
              <w:bottom w:val="single" w:sz="4" w:space="0" w:color="C2D9BA"/>
            </w:tcBorders>
            <w:shd w:val="clear" w:color="auto" w:fill="auto"/>
          </w:tcPr>
          <w:p w14:paraId="47F4D021" w14:textId="77777777" w:rsidR="000C1356" w:rsidRPr="00E444B3" w:rsidRDefault="000C1356" w:rsidP="00B521E2">
            <w:pPr>
              <w:pStyle w:val="TableText"/>
            </w:pPr>
            <w:r w:rsidRPr="00E444B3">
              <w:t>Ipilimumab</w:t>
            </w:r>
          </w:p>
        </w:tc>
        <w:tc>
          <w:tcPr>
            <w:tcW w:w="2835" w:type="dxa"/>
            <w:tcBorders>
              <w:top w:val="single" w:sz="4" w:space="0" w:color="C2D9BA"/>
              <w:bottom w:val="single" w:sz="4" w:space="0" w:color="C2D9BA"/>
            </w:tcBorders>
            <w:shd w:val="clear" w:color="auto" w:fill="auto"/>
          </w:tcPr>
          <w:p w14:paraId="15E161AD" w14:textId="77777777" w:rsidR="000C1356" w:rsidRPr="00E444B3" w:rsidRDefault="000C1356" w:rsidP="00B521E2">
            <w:pPr>
              <w:pStyle w:val="TableText"/>
              <w:ind w:right="113"/>
            </w:pPr>
            <w:r w:rsidRPr="00E444B3">
              <w:t>Melanoma (stage III or IV, unresectable, induction)</w:t>
            </w:r>
          </w:p>
        </w:tc>
        <w:tc>
          <w:tcPr>
            <w:tcW w:w="3685" w:type="dxa"/>
            <w:tcBorders>
              <w:top w:val="single" w:sz="4" w:space="0" w:color="C2D9BA"/>
              <w:bottom w:val="single" w:sz="4" w:space="0" w:color="C2D9BA"/>
            </w:tcBorders>
            <w:shd w:val="clear" w:color="auto" w:fill="auto"/>
          </w:tcPr>
          <w:p w14:paraId="026CDB9B" w14:textId="77777777" w:rsidR="000C1356" w:rsidRDefault="000C1356" w:rsidP="00B521E2">
            <w:pPr>
              <w:pStyle w:val="TableText"/>
            </w:pPr>
            <w:r w:rsidRPr="004E6482">
              <w:t>Gap –uncategorised (unable to determine relevant ESMO-MCBS score)</w:t>
            </w:r>
          </w:p>
          <w:p w14:paraId="25316DCD" w14:textId="77777777" w:rsidR="000C1356" w:rsidRPr="0088228C" w:rsidRDefault="000C1356" w:rsidP="00B521E2">
            <w:pPr>
              <w:pStyle w:val="TableText"/>
            </w:pPr>
            <w:r>
              <w:t xml:space="preserve">The </w:t>
            </w:r>
            <w:r w:rsidRPr="0088228C">
              <w:t xml:space="preserve">ESMO-MCBS score is against a superseded comparator </w:t>
            </w:r>
            <w:r>
              <w:t>–</w:t>
            </w:r>
            <w:r w:rsidRPr="0088228C">
              <w:t xml:space="preserve"> chemotherapy. Standard care in Aotearoa is pembrolizumab or nivolumab. Unable to identify relevant data to inform a score against one of these comparators</w:t>
            </w:r>
            <w:r>
              <w:t>.</w:t>
            </w:r>
          </w:p>
        </w:tc>
      </w:tr>
      <w:tr w:rsidR="000C1356" w14:paraId="3CDE5568" w14:textId="77777777" w:rsidTr="00B521E2">
        <w:trPr>
          <w:cantSplit/>
        </w:trPr>
        <w:tc>
          <w:tcPr>
            <w:tcW w:w="1560" w:type="dxa"/>
            <w:tcBorders>
              <w:top w:val="single" w:sz="4" w:space="0" w:color="C2D9BA"/>
              <w:bottom w:val="single" w:sz="4" w:space="0" w:color="C2D9BA"/>
            </w:tcBorders>
            <w:shd w:val="clear" w:color="auto" w:fill="auto"/>
          </w:tcPr>
          <w:p w14:paraId="72C4488F" w14:textId="77777777" w:rsidR="000C1356" w:rsidRPr="00E444B3" w:rsidRDefault="00B521E2" w:rsidP="00B521E2">
            <w:pPr>
              <w:pStyle w:val="TableText"/>
            </w:pPr>
            <w:r>
              <w:lastRenderedPageBreak/>
              <w:t>Ipilimumab</w:t>
            </w:r>
          </w:p>
        </w:tc>
        <w:tc>
          <w:tcPr>
            <w:tcW w:w="2835" w:type="dxa"/>
            <w:tcBorders>
              <w:top w:val="single" w:sz="4" w:space="0" w:color="C2D9BA"/>
              <w:bottom w:val="single" w:sz="4" w:space="0" w:color="C2D9BA"/>
            </w:tcBorders>
            <w:shd w:val="clear" w:color="auto" w:fill="auto"/>
          </w:tcPr>
          <w:p w14:paraId="6F208344" w14:textId="77777777" w:rsidR="000C1356" w:rsidRDefault="000C1356" w:rsidP="00B521E2">
            <w:pPr>
              <w:pStyle w:val="TableText"/>
              <w:ind w:right="113"/>
            </w:pPr>
            <w:r w:rsidRPr="00E444B3">
              <w:t xml:space="preserve">Melanoma (stage III or IV, unresectable, </w:t>
            </w:r>
            <w:r>
              <w:t xml:space="preserve">first line </w:t>
            </w:r>
            <w:r w:rsidRPr="00E444B3">
              <w:t>induction)</w:t>
            </w:r>
          </w:p>
          <w:p w14:paraId="4D58C881" w14:textId="77777777" w:rsidR="000C1356" w:rsidRPr="00E444B3" w:rsidRDefault="000C1356" w:rsidP="00B521E2">
            <w:pPr>
              <w:pStyle w:val="TableText"/>
              <w:ind w:right="113"/>
            </w:pPr>
            <w:r>
              <w:t>Used in combination with nivolumab</w:t>
            </w:r>
          </w:p>
        </w:tc>
        <w:tc>
          <w:tcPr>
            <w:tcW w:w="3685" w:type="dxa"/>
            <w:tcBorders>
              <w:top w:val="single" w:sz="4" w:space="0" w:color="C2D9BA"/>
              <w:bottom w:val="single" w:sz="4" w:space="0" w:color="C2D9BA"/>
            </w:tcBorders>
            <w:shd w:val="clear" w:color="auto" w:fill="auto"/>
          </w:tcPr>
          <w:p w14:paraId="6210DFFE" w14:textId="77777777" w:rsidR="000C1356" w:rsidRDefault="000C1356" w:rsidP="00B521E2">
            <w:pPr>
              <w:pStyle w:val="TableText"/>
            </w:pPr>
            <w:r w:rsidRPr="004E6482">
              <w:t>Gap – substantial clinical benefit</w:t>
            </w:r>
          </w:p>
          <w:p w14:paraId="3C6DF907" w14:textId="77777777" w:rsidR="000C1356" w:rsidRDefault="000C1356" w:rsidP="00B521E2">
            <w:pPr>
              <w:pStyle w:val="TableText"/>
            </w:pPr>
            <w:r>
              <w:t>The ESMO-MCBS score for the nivolumab/ipilimumab combination</w:t>
            </w:r>
            <w:r w:rsidRPr="0088228C">
              <w:t xml:space="preserve"> is against a comparator that is not funded in Aotearoa </w:t>
            </w:r>
            <w:r>
              <w:t>–</w:t>
            </w:r>
            <w:r w:rsidRPr="0088228C">
              <w:t xml:space="preserve"> ipilimumab. Standard care in Aotearoa is pembrolizumab or nivolumab. Clinical advice indicated that ipilimumab added in to nivolumab for induction in high-risk patients would likely score at least 4 </w:t>
            </w:r>
            <w:r>
              <w:t>when compared with</w:t>
            </w:r>
            <w:r w:rsidRPr="0088228C">
              <w:t xml:space="preserve"> nivolumab alone</w:t>
            </w:r>
            <w:r>
              <w:t>.</w:t>
            </w:r>
          </w:p>
          <w:p w14:paraId="61F74EA4" w14:textId="77777777" w:rsidR="000C1356" w:rsidRDefault="000C1356" w:rsidP="00B521E2">
            <w:pPr>
              <w:pStyle w:val="TableText"/>
            </w:pPr>
            <w:r w:rsidRPr="0088228C">
              <w:t>Funding of ipilimumab in addition to nivolumab for this indication would be needed to fill this gap</w:t>
            </w:r>
            <w:r>
              <w:t>.</w:t>
            </w:r>
          </w:p>
          <w:p w14:paraId="6790E642" w14:textId="77777777" w:rsidR="000C1356" w:rsidRPr="004E6482" w:rsidRDefault="000C1356" w:rsidP="00631389">
            <w:pPr>
              <w:pStyle w:val="TableText"/>
            </w:pPr>
            <w:r w:rsidRPr="0088228C">
              <w:t xml:space="preserve">See </w:t>
            </w:r>
            <w:hyperlink w:anchor="Appendix_7_Table_7point19" w:history="1">
              <w:r w:rsidR="00631389" w:rsidRPr="00631389">
                <w:rPr>
                  <w:rStyle w:val="Hyperlink"/>
                </w:rPr>
                <w:t>Appendix 7, Table 7.19</w:t>
              </w:r>
            </w:hyperlink>
            <w:r w:rsidRPr="0088228C">
              <w:t xml:space="preserve"> for more information</w:t>
            </w:r>
            <w:r>
              <w:t>.</w:t>
            </w:r>
          </w:p>
        </w:tc>
      </w:tr>
      <w:tr w:rsidR="000C1356" w14:paraId="1EECB0FD" w14:textId="77777777" w:rsidTr="00B521E2">
        <w:trPr>
          <w:cantSplit/>
        </w:trPr>
        <w:tc>
          <w:tcPr>
            <w:tcW w:w="1560" w:type="dxa"/>
            <w:tcBorders>
              <w:top w:val="single" w:sz="4" w:space="0" w:color="C2D9BA"/>
              <w:bottom w:val="single" w:sz="4" w:space="0" w:color="C2D9BA"/>
            </w:tcBorders>
            <w:shd w:val="clear" w:color="auto" w:fill="auto"/>
          </w:tcPr>
          <w:p w14:paraId="387F520B" w14:textId="77777777" w:rsidR="000C1356" w:rsidRPr="00E444B3" w:rsidRDefault="00B521E2" w:rsidP="00B521E2">
            <w:pPr>
              <w:pStyle w:val="TableText"/>
            </w:pPr>
            <w:r>
              <w:t>Ipilimumab</w:t>
            </w:r>
          </w:p>
        </w:tc>
        <w:tc>
          <w:tcPr>
            <w:tcW w:w="2835" w:type="dxa"/>
            <w:tcBorders>
              <w:top w:val="single" w:sz="4" w:space="0" w:color="C2D9BA"/>
              <w:bottom w:val="single" w:sz="4" w:space="0" w:color="C2D9BA"/>
            </w:tcBorders>
            <w:shd w:val="clear" w:color="auto" w:fill="auto"/>
          </w:tcPr>
          <w:p w14:paraId="077B52FB" w14:textId="77777777" w:rsidR="000C1356" w:rsidRDefault="000C1356" w:rsidP="00B521E2">
            <w:pPr>
              <w:pStyle w:val="TableText"/>
              <w:ind w:right="113"/>
            </w:pPr>
            <w:r>
              <w:t>Kidney cancer</w:t>
            </w:r>
            <w:r w:rsidRPr="00E444B3">
              <w:t xml:space="preserve"> (</w:t>
            </w:r>
            <w:r>
              <w:t>renal cell carcinoma (RCC), clear cell variant, stage IV, intermediate/poor risk, first</w:t>
            </w:r>
            <w:r w:rsidR="00B521E2">
              <w:noBreakHyphen/>
            </w:r>
            <w:r>
              <w:t>line</w:t>
            </w:r>
            <w:r w:rsidRPr="00E444B3">
              <w:t>)</w:t>
            </w:r>
          </w:p>
          <w:p w14:paraId="212B18A3" w14:textId="77777777" w:rsidR="000C1356" w:rsidRPr="00E444B3" w:rsidRDefault="000C1356" w:rsidP="00B521E2">
            <w:pPr>
              <w:pStyle w:val="TableText"/>
              <w:ind w:right="113"/>
            </w:pPr>
            <w:r>
              <w:t>Used in combination with nivolumab</w:t>
            </w:r>
          </w:p>
        </w:tc>
        <w:tc>
          <w:tcPr>
            <w:tcW w:w="3685" w:type="dxa"/>
            <w:tcBorders>
              <w:top w:val="single" w:sz="4" w:space="0" w:color="C2D9BA"/>
              <w:bottom w:val="single" w:sz="4" w:space="0" w:color="C2D9BA"/>
            </w:tcBorders>
            <w:shd w:val="clear" w:color="auto" w:fill="auto"/>
          </w:tcPr>
          <w:p w14:paraId="0D5CFA90" w14:textId="77777777" w:rsidR="000C1356" w:rsidRDefault="000C1356" w:rsidP="00B521E2">
            <w:pPr>
              <w:pStyle w:val="TableText"/>
            </w:pPr>
            <w:r w:rsidRPr="004E6482">
              <w:t>Gap – substantial clinical benefit</w:t>
            </w:r>
          </w:p>
          <w:p w14:paraId="43051584" w14:textId="77777777" w:rsidR="000C1356" w:rsidRDefault="000C1356" w:rsidP="00B521E2">
            <w:pPr>
              <w:pStyle w:val="TableText"/>
            </w:pPr>
            <w:r w:rsidRPr="0088228C">
              <w:t>ESMO-MCBS score relevant to Aotearoa</w:t>
            </w:r>
          </w:p>
          <w:p w14:paraId="3517536D" w14:textId="77777777" w:rsidR="000C1356" w:rsidRDefault="000C1356" w:rsidP="00B521E2">
            <w:pPr>
              <w:pStyle w:val="TableText"/>
            </w:pPr>
            <w:r w:rsidRPr="0088228C">
              <w:t>Requires funding of both ipilimumab and nivolumab for this indication for this gap to be filled</w:t>
            </w:r>
            <w:r>
              <w:t>.</w:t>
            </w:r>
          </w:p>
          <w:p w14:paraId="5AE85AB5" w14:textId="77777777" w:rsidR="000C1356" w:rsidRPr="004E6482" w:rsidRDefault="000C1356" w:rsidP="00631389">
            <w:pPr>
              <w:pStyle w:val="TableText"/>
            </w:pPr>
            <w:r w:rsidRPr="0088228C">
              <w:t xml:space="preserve">See </w:t>
            </w:r>
            <w:hyperlink w:anchor="Appendix_7_Table_7point10" w:history="1">
              <w:r w:rsidR="00631389" w:rsidRPr="00631389">
                <w:rPr>
                  <w:rStyle w:val="Hyperlink"/>
                </w:rPr>
                <w:t>Appendix 7, Table 7.10</w:t>
              </w:r>
            </w:hyperlink>
            <w:r w:rsidRPr="0088228C">
              <w:t xml:space="preserve"> for more information</w:t>
            </w:r>
            <w:r>
              <w:t>.</w:t>
            </w:r>
          </w:p>
        </w:tc>
      </w:tr>
      <w:tr w:rsidR="000C1356" w14:paraId="4B4AF07B" w14:textId="77777777" w:rsidTr="00B521E2">
        <w:trPr>
          <w:cantSplit/>
        </w:trPr>
        <w:tc>
          <w:tcPr>
            <w:tcW w:w="1560" w:type="dxa"/>
            <w:tcBorders>
              <w:top w:val="single" w:sz="4" w:space="0" w:color="C2D9BA"/>
              <w:bottom w:val="single" w:sz="4" w:space="0" w:color="C2D9BA"/>
            </w:tcBorders>
            <w:shd w:val="clear" w:color="auto" w:fill="auto"/>
          </w:tcPr>
          <w:p w14:paraId="794EAE93" w14:textId="77777777" w:rsidR="000C1356" w:rsidRPr="00E444B3" w:rsidRDefault="00B521E2" w:rsidP="00B521E2">
            <w:pPr>
              <w:pStyle w:val="TableText"/>
            </w:pPr>
            <w:r>
              <w:t>Nivolumab</w:t>
            </w:r>
          </w:p>
        </w:tc>
        <w:tc>
          <w:tcPr>
            <w:tcW w:w="2835" w:type="dxa"/>
            <w:tcBorders>
              <w:top w:val="single" w:sz="4" w:space="0" w:color="C2D9BA"/>
              <w:bottom w:val="single" w:sz="4" w:space="0" w:color="C2D9BA"/>
            </w:tcBorders>
            <w:shd w:val="clear" w:color="auto" w:fill="auto"/>
          </w:tcPr>
          <w:p w14:paraId="5A8C4758" w14:textId="77777777" w:rsidR="000C1356" w:rsidRDefault="000C1356" w:rsidP="00B521E2">
            <w:pPr>
              <w:pStyle w:val="TableText"/>
              <w:ind w:right="113"/>
            </w:pPr>
            <w:r w:rsidRPr="00E444B3">
              <w:t>Lung cancer (</w:t>
            </w:r>
            <w:r>
              <w:t>non-small cell lung cancer (</w:t>
            </w:r>
            <w:r w:rsidRPr="00E444B3">
              <w:t>NSCLC</w:t>
            </w:r>
            <w:r>
              <w:t>)</w:t>
            </w:r>
            <w:r w:rsidRPr="00E444B3">
              <w:t>, stage IV,</w:t>
            </w:r>
            <w:r>
              <w:t xml:space="preserve"> first-line</w:t>
            </w:r>
            <w:r w:rsidRPr="00E444B3">
              <w:t>)</w:t>
            </w:r>
          </w:p>
          <w:p w14:paraId="5299E43E" w14:textId="77777777" w:rsidR="000C1356" w:rsidRPr="00E444B3" w:rsidRDefault="000C1356" w:rsidP="00B521E2">
            <w:pPr>
              <w:pStyle w:val="TableText"/>
              <w:ind w:right="113"/>
            </w:pPr>
            <w:r>
              <w:t>Used in combination with ipilimumab and chemotherapy</w:t>
            </w:r>
          </w:p>
        </w:tc>
        <w:tc>
          <w:tcPr>
            <w:tcW w:w="3685" w:type="dxa"/>
            <w:tcBorders>
              <w:top w:val="single" w:sz="4" w:space="0" w:color="C2D9BA"/>
              <w:bottom w:val="single" w:sz="4" w:space="0" w:color="C2D9BA"/>
            </w:tcBorders>
            <w:shd w:val="clear" w:color="auto" w:fill="auto"/>
          </w:tcPr>
          <w:p w14:paraId="74D6003A" w14:textId="77777777" w:rsidR="000C1356" w:rsidRDefault="000C1356" w:rsidP="00B521E2">
            <w:pPr>
              <w:pStyle w:val="TableText"/>
            </w:pPr>
            <w:r w:rsidRPr="004E6482">
              <w:t>Gap – substantial clinical benefit</w:t>
            </w:r>
          </w:p>
          <w:p w14:paraId="50D3ABE1" w14:textId="77777777" w:rsidR="000C1356" w:rsidRDefault="000C1356" w:rsidP="00B521E2">
            <w:pPr>
              <w:pStyle w:val="TableText"/>
            </w:pPr>
            <w:r w:rsidRPr="0088228C">
              <w:t>ESMO-MCBS score relevant to Aotearoa</w:t>
            </w:r>
          </w:p>
          <w:p w14:paraId="6375A57C" w14:textId="77777777" w:rsidR="000C1356" w:rsidRDefault="000C1356" w:rsidP="00B521E2">
            <w:pPr>
              <w:pStyle w:val="TableText"/>
            </w:pPr>
            <w:r w:rsidRPr="0088228C">
              <w:t xml:space="preserve">Nivolumab is funded in Aotearoa but not for this indication. Requires funding of both nivolumab </w:t>
            </w:r>
            <w:r w:rsidRPr="00D56C18">
              <w:t xml:space="preserve">and ipilimumab </w:t>
            </w:r>
            <w:r w:rsidRPr="0088228C">
              <w:t>for this indication for this gap to be filled.</w:t>
            </w:r>
            <w:r w:rsidRPr="004E6482">
              <w:t xml:space="preserve"> </w:t>
            </w:r>
            <w:r w:rsidRPr="0088228C">
              <w:t>Chemotherapy used in this regimen for this indication is funded in Aotearoa</w:t>
            </w:r>
            <w:r>
              <w:t>.</w:t>
            </w:r>
          </w:p>
          <w:p w14:paraId="335A8294" w14:textId="77777777" w:rsidR="000C1356" w:rsidRDefault="000C1356" w:rsidP="00B521E2">
            <w:pPr>
              <w:pStyle w:val="TableText"/>
            </w:pPr>
            <w:r w:rsidRPr="0088228C">
              <w:t>Other immune checkpoint inhibitor options exist as alternative options to fill this gap</w:t>
            </w:r>
            <w:r>
              <w:t>.</w:t>
            </w:r>
          </w:p>
          <w:p w14:paraId="32503D43" w14:textId="77777777" w:rsidR="000C1356" w:rsidRPr="004E6482" w:rsidRDefault="000C1356" w:rsidP="00631389">
            <w:pPr>
              <w:pStyle w:val="TableText"/>
            </w:pPr>
            <w:r w:rsidRPr="0088228C">
              <w:t xml:space="preserve">See </w:t>
            </w:r>
            <w:hyperlink w:anchor="Appendix_7_Table_7point1" w:history="1">
              <w:r w:rsidR="00631389" w:rsidRPr="00631389">
                <w:rPr>
                  <w:rStyle w:val="Hyperlink"/>
                </w:rPr>
                <w:t>Appendix 7, Table 7.1</w:t>
              </w:r>
            </w:hyperlink>
            <w:r w:rsidRPr="0088228C">
              <w:t xml:space="preserve"> for more information</w:t>
            </w:r>
            <w:r>
              <w:t>.</w:t>
            </w:r>
          </w:p>
        </w:tc>
      </w:tr>
      <w:tr w:rsidR="000C1356" w14:paraId="3DA592AE" w14:textId="77777777" w:rsidTr="00B521E2">
        <w:trPr>
          <w:cantSplit/>
        </w:trPr>
        <w:tc>
          <w:tcPr>
            <w:tcW w:w="1560" w:type="dxa"/>
            <w:tcBorders>
              <w:top w:val="single" w:sz="4" w:space="0" w:color="C2D9BA"/>
              <w:bottom w:val="single" w:sz="4" w:space="0" w:color="C2D9BA"/>
            </w:tcBorders>
            <w:shd w:val="clear" w:color="auto" w:fill="auto"/>
          </w:tcPr>
          <w:p w14:paraId="14F880EB" w14:textId="77777777" w:rsidR="000C1356" w:rsidRPr="00E444B3" w:rsidRDefault="00B521E2" w:rsidP="00B521E2">
            <w:pPr>
              <w:pStyle w:val="TableText"/>
            </w:pPr>
            <w:r>
              <w:t>Nivolumab</w:t>
            </w:r>
          </w:p>
        </w:tc>
        <w:tc>
          <w:tcPr>
            <w:tcW w:w="2835" w:type="dxa"/>
            <w:tcBorders>
              <w:top w:val="single" w:sz="4" w:space="0" w:color="C2D9BA"/>
              <w:bottom w:val="single" w:sz="4" w:space="0" w:color="C2D9BA"/>
            </w:tcBorders>
            <w:shd w:val="clear" w:color="auto" w:fill="auto"/>
          </w:tcPr>
          <w:p w14:paraId="1C766FDF" w14:textId="77777777" w:rsidR="000C1356" w:rsidRDefault="000C1356" w:rsidP="00B521E2">
            <w:pPr>
              <w:pStyle w:val="TableText"/>
              <w:ind w:right="113"/>
            </w:pPr>
            <w:r w:rsidRPr="00E444B3">
              <w:t>Melanoma (stage III or IV, unresectable, induction)</w:t>
            </w:r>
          </w:p>
          <w:p w14:paraId="06AE6FD8" w14:textId="77777777" w:rsidR="000C1356" w:rsidRPr="00E444B3" w:rsidRDefault="000C1356" w:rsidP="00B521E2">
            <w:pPr>
              <w:pStyle w:val="TableText"/>
              <w:ind w:right="113"/>
            </w:pPr>
            <w:r>
              <w:t>Used in combination with ipilimumab</w:t>
            </w:r>
          </w:p>
        </w:tc>
        <w:tc>
          <w:tcPr>
            <w:tcW w:w="3685" w:type="dxa"/>
            <w:tcBorders>
              <w:top w:val="single" w:sz="4" w:space="0" w:color="C2D9BA"/>
              <w:bottom w:val="single" w:sz="4" w:space="0" w:color="C2D9BA"/>
            </w:tcBorders>
            <w:shd w:val="clear" w:color="auto" w:fill="auto"/>
          </w:tcPr>
          <w:p w14:paraId="6D055CED" w14:textId="77777777" w:rsidR="000C1356" w:rsidRDefault="000C1356" w:rsidP="00B521E2">
            <w:pPr>
              <w:pStyle w:val="TableText"/>
            </w:pPr>
            <w:r w:rsidRPr="004E6482">
              <w:t>Gap – substantial clinical benefit</w:t>
            </w:r>
          </w:p>
          <w:p w14:paraId="01CAD76E" w14:textId="77777777" w:rsidR="000C1356" w:rsidRDefault="000C1356" w:rsidP="00B521E2">
            <w:pPr>
              <w:pStyle w:val="TableText"/>
            </w:pPr>
            <w:r>
              <w:t>The ESMO-MCBS score for nivolumab/</w:t>
            </w:r>
            <w:r w:rsidR="00B521E2">
              <w:t xml:space="preserve"> </w:t>
            </w:r>
            <w:r>
              <w:t>ipilimumab combination</w:t>
            </w:r>
            <w:r w:rsidRPr="0088228C">
              <w:t xml:space="preserve"> is against a comparator that is not funded in Aotearoa</w:t>
            </w:r>
            <w:r>
              <w:t xml:space="preserve"> – </w:t>
            </w:r>
            <w:r w:rsidRPr="0088228C">
              <w:t xml:space="preserve">ipilimumab. Standard care in Aotearoa is pembrolizumab or nivolumab. Clinical advice indicated that ipilimumab added in to nivolumab for induction in high-risk patients would likely score at least 4 </w:t>
            </w:r>
            <w:r>
              <w:t>when compared to</w:t>
            </w:r>
            <w:r w:rsidRPr="0088228C">
              <w:t xml:space="preserve"> nivolumab alone</w:t>
            </w:r>
            <w:r>
              <w:t>.</w:t>
            </w:r>
          </w:p>
          <w:p w14:paraId="5DB736A7" w14:textId="77777777" w:rsidR="000C1356" w:rsidRPr="00631389" w:rsidRDefault="000C1356" w:rsidP="00B521E2">
            <w:pPr>
              <w:pStyle w:val="TableText"/>
              <w:rPr>
                <w:spacing w:val="-2"/>
              </w:rPr>
            </w:pPr>
            <w:r w:rsidRPr="00631389">
              <w:rPr>
                <w:spacing w:val="-2"/>
              </w:rPr>
              <w:t>Nivolumab is funded in Aotearoa for stage III or IV unresectable melanoma. Funding of ipilimumab in addition to nivolumab for this indication would be needed to fill this gap.</w:t>
            </w:r>
          </w:p>
          <w:p w14:paraId="58B89E81" w14:textId="77777777" w:rsidR="000C1356" w:rsidRPr="004E6482" w:rsidRDefault="000C1356" w:rsidP="00631389">
            <w:pPr>
              <w:pStyle w:val="TableText"/>
            </w:pPr>
            <w:r w:rsidRPr="0088228C">
              <w:t xml:space="preserve">See </w:t>
            </w:r>
            <w:hyperlink w:anchor="Appendix_7_Table_7point19" w:history="1">
              <w:r w:rsidR="00631389" w:rsidRPr="00631389">
                <w:rPr>
                  <w:rStyle w:val="Hyperlink"/>
                </w:rPr>
                <w:t>Appendix 7, Table 7.19</w:t>
              </w:r>
            </w:hyperlink>
            <w:r w:rsidRPr="0088228C">
              <w:t xml:space="preserve"> for more information</w:t>
            </w:r>
            <w:r>
              <w:t>.</w:t>
            </w:r>
          </w:p>
        </w:tc>
      </w:tr>
      <w:tr w:rsidR="000C1356" w14:paraId="556CED29" w14:textId="77777777" w:rsidTr="00B521E2">
        <w:trPr>
          <w:cantSplit/>
        </w:trPr>
        <w:tc>
          <w:tcPr>
            <w:tcW w:w="1560" w:type="dxa"/>
            <w:tcBorders>
              <w:top w:val="single" w:sz="4" w:space="0" w:color="C2D9BA"/>
              <w:bottom w:val="single" w:sz="4" w:space="0" w:color="C2D9BA"/>
            </w:tcBorders>
            <w:shd w:val="clear" w:color="auto" w:fill="auto"/>
          </w:tcPr>
          <w:p w14:paraId="13F8F28F" w14:textId="77777777" w:rsidR="000C1356" w:rsidRPr="00E444B3" w:rsidRDefault="00B521E2" w:rsidP="00B521E2">
            <w:pPr>
              <w:pStyle w:val="TableText"/>
            </w:pPr>
            <w:r>
              <w:lastRenderedPageBreak/>
              <w:t>Nivolumab</w:t>
            </w:r>
          </w:p>
        </w:tc>
        <w:tc>
          <w:tcPr>
            <w:tcW w:w="2835" w:type="dxa"/>
            <w:tcBorders>
              <w:top w:val="single" w:sz="4" w:space="0" w:color="C2D9BA"/>
              <w:bottom w:val="single" w:sz="4" w:space="0" w:color="C2D9BA"/>
            </w:tcBorders>
            <w:shd w:val="clear" w:color="auto" w:fill="auto"/>
          </w:tcPr>
          <w:p w14:paraId="507E0727" w14:textId="77777777" w:rsidR="000C1356" w:rsidRDefault="000C1356" w:rsidP="00B521E2">
            <w:pPr>
              <w:pStyle w:val="TableText"/>
              <w:ind w:right="113"/>
            </w:pPr>
            <w:r>
              <w:t>Kidney cancer</w:t>
            </w:r>
            <w:r w:rsidRPr="00E444B3">
              <w:t xml:space="preserve"> (</w:t>
            </w:r>
            <w:r>
              <w:t>renal cell carcinoma (RCC), clear cell variant, stage IV, intermediate/poor risk, first</w:t>
            </w:r>
            <w:r w:rsidR="00B521E2">
              <w:noBreakHyphen/>
            </w:r>
            <w:r>
              <w:t>line</w:t>
            </w:r>
            <w:r w:rsidRPr="00E444B3">
              <w:t>)</w:t>
            </w:r>
          </w:p>
          <w:p w14:paraId="0DE54DA5" w14:textId="77777777" w:rsidR="000C1356" w:rsidRPr="00E444B3" w:rsidRDefault="000C1356" w:rsidP="00B521E2">
            <w:pPr>
              <w:pStyle w:val="TableText"/>
              <w:ind w:right="113"/>
            </w:pPr>
            <w:r>
              <w:t>Used in combination with ipilimumab</w:t>
            </w:r>
          </w:p>
        </w:tc>
        <w:tc>
          <w:tcPr>
            <w:tcW w:w="3685" w:type="dxa"/>
            <w:tcBorders>
              <w:top w:val="single" w:sz="4" w:space="0" w:color="C2D9BA"/>
              <w:bottom w:val="single" w:sz="4" w:space="0" w:color="C2D9BA"/>
            </w:tcBorders>
            <w:shd w:val="clear" w:color="auto" w:fill="auto"/>
          </w:tcPr>
          <w:p w14:paraId="30E06AB0" w14:textId="77777777" w:rsidR="000C1356" w:rsidRDefault="000C1356" w:rsidP="00B521E2">
            <w:pPr>
              <w:pStyle w:val="TableText"/>
            </w:pPr>
            <w:r w:rsidRPr="004E6482">
              <w:t>Gap – substantial clinical benefit</w:t>
            </w:r>
          </w:p>
          <w:p w14:paraId="2C69C12C" w14:textId="77777777" w:rsidR="000C1356" w:rsidRDefault="000C1356" w:rsidP="00B521E2">
            <w:pPr>
              <w:pStyle w:val="TableText"/>
            </w:pPr>
            <w:r w:rsidRPr="0088228C">
              <w:t>ESMO-MCBS score relevant to Aotearoa</w:t>
            </w:r>
          </w:p>
          <w:p w14:paraId="702489A7" w14:textId="77777777" w:rsidR="000C1356" w:rsidRDefault="000C1356" w:rsidP="00B521E2">
            <w:pPr>
              <w:pStyle w:val="TableText"/>
            </w:pPr>
            <w:r w:rsidRPr="0088228C">
              <w:t>Nivolumab is funded in Aotearoa but not for this indication. Requires funding of both ipilimumab and nivolumab for this indication for this gap to be filled</w:t>
            </w:r>
            <w:r>
              <w:t>.</w:t>
            </w:r>
          </w:p>
          <w:p w14:paraId="44C1AF3F" w14:textId="77777777" w:rsidR="000C1356" w:rsidRPr="004E6482" w:rsidRDefault="000C1356" w:rsidP="00631389">
            <w:pPr>
              <w:pStyle w:val="TableText"/>
            </w:pPr>
            <w:r w:rsidRPr="0088228C">
              <w:t xml:space="preserve">See </w:t>
            </w:r>
            <w:hyperlink w:anchor="Appendix_7_Table_7point10" w:history="1">
              <w:r w:rsidR="00631389" w:rsidRPr="00631389">
                <w:rPr>
                  <w:rStyle w:val="Hyperlink"/>
                </w:rPr>
                <w:t>Appendix 7, Table 7.10</w:t>
              </w:r>
            </w:hyperlink>
            <w:r w:rsidRPr="0088228C">
              <w:t xml:space="preserve"> for more information</w:t>
            </w:r>
            <w:r>
              <w:t>.</w:t>
            </w:r>
          </w:p>
        </w:tc>
      </w:tr>
      <w:tr w:rsidR="000C1356" w14:paraId="390210E7" w14:textId="77777777" w:rsidTr="00B521E2">
        <w:trPr>
          <w:cantSplit/>
        </w:trPr>
        <w:tc>
          <w:tcPr>
            <w:tcW w:w="1560" w:type="dxa"/>
            <w:tcBorders>
              <w:top w:val="single" w:sz="4" w:space="0" w:color="C2D9BA"/>
              <w:bottom w:val="single" w:sz="4" w:space="0" w:color="C2D9BA"/>
            </w:tcBorders>
            <w:shd w:val="clear" w:color="auto" w:fill="auto"/>
          </w:tcPr>
          <w:p w14:paraId="4ED31F9A" w14:textId="77777777" w:rsidR="000C1356" w:rsidRPr="00E444B3" w:rsidRDefault="000C1356" w:rsidP="00B521E2">
            <w:pPr>
              <w:pStyle w:val="TableText"/>
            </w:pPr>
            <w:r w:rsidRPr="00E444B3">
              <w:t>Olaparib</w:t>
            </w:r>
          </w:p>
        </w:tc>
        <w:tc>
          <w:tcPr>
            <w:tcW w:w="2835" w:type="dxa"/>
            <w:tcBorders>
              <w:top w:val="single" w:sz="4" w:space="0" w:color="C2D9BA"/>
              <w:bottom w:val="single" w:sz="4" w:space="0" w:color="C2D9BA"/>
            </w:tcBorders>
            <w:shd w:val="clear" w:color="auto" w:fill="auto"/>
          </w:tcPr>
          <w:p w14:paraId="14702B64" w14:textId="77777777" w:rsidR="000C1356" w:rsidRPr="00E444B3" w:rsidRDefault="000C1356" w:rsidP="00B521E2">
            <w:pPr>
              <w:pStyle w:val="TableText"/>
              <w:ind w:right="113"/>
            </w:pPr>
            <w:r>
              <w:t>Ovarian cancer (</w:t>
            </w:r>
            <w:r w:rsidRPr="00E444B3">
              <w:t>Epithelial ovarian, fallopian tube or primary peritoneal cancer, BRCA +ve</w:t>
            </w:r>
            <w:r>
              <w:t xml:space="preserve"> [germline and/or somatic], first-line maintenance</w:t>
            </w:r>
            <w:r w:rsidRPr="00E444B3">
              <w:t>)</w:t>
            </w:r>
          </w:p>
        </w:tc>
        <w:tc>
          <w:tcPr>
            <w:tcW w:w="3685" w:type="dxa"/>
            <w:tcBorders>
              <w:top w:val="single" w:sz="4" w:space="0" w:color="C2D9BA"/>
              <w:bottom w:val="single" w:sz="4" w:space="0" w:color="C2D9BA"/>
            </w:tcBorders>
            <w:shd w:val="clear" w:color="auto" w:fill="auto"/>
          </w:tcPr>
          <w:p w14:paraId="2E3D6A01" w14:textId="77777777" w:rsidR="000C1356" w:rsidRDefault="000C1356" w:rsidP="00B521E2">
            <w:pPr>
              <w:pStyle w:val="TableText"/>
            </w:pPr>
            <w:r w:rsidRPr="004E6482">
              <w:t>Gap</w:t>
            </w:r>
            <w:r>
              <w:t xml:space="preserve"> – </w:t>
            </w:r>
            <w:r w:rsidRPr="004E6482">
              <w:t>substantial clinical benefit</w:t>
            </w:r>
          </w:p>
          <w:p w14:paraId="05187791" w14:textId="77777777" w:rsidR="000C1356" w:rsidRDefault="000C1356" w:rsidP="00B521E2">
            <w:pPr>
              <w:pStyle w:val="TableText"/>
            </w:pPr>
            <w:r w:rsidRPr="0088228C">
              <w:t>ESMO-MCBS score relevant to Aotearoa</w:t>
            </w:r>
          </w:p>
          <w:p w14:paraId="16AFA8EE" w14:textId="77777777" w:rsidR="000C1356" w:rsidRDefault="000C1356" w:rsidP="00B521E2">
            <w:pPr>
              <w:pStyle w:val="TableText"/>
            </w:pPr>
            <w:r w:rsidRPr="0088228C">
              <w:t>Olaparib is funded in Aotearoa but not for this indication</w:t>
            </w:r>
            <w:r>
              <w:t>.</w:t>
            </w:r>
          </w:p>
          <w:p w14:paraId="6BF06F3A" w14:textId="77777777" w:rsidR="000C1356" w:rsidRDefault="000C1356" w:rsidP="00B521E2">
            <w:pPr>
              <w:pStyle w:val="TableText"/>
            </w:pPr>
            <w:r w:rsidRPr="0088228C">
              <w:t xml:space="preserve">Note: </w:t>
            </w:r>
            <w:r>
              <w:t>After this</w:t>
            </w:r>
            <w:r w:rsidRPr="0088228C">
              <w:t xml:space="preserve"> analysis</w:t>
            </w:r>
            <w:r>
              <w:t xml:space="preserve"> was completed</w:t>
            </w:r>
            <w:r w:rsidRPr="0088228C">
              <w:t>, Pharmac approved funding of olaparib for a large part of this indication (germline but not somatic BRCA mutation)</w:t>
            </w:r>
            <w:r>
              <w:t>,</w:t>
            </w:r>
            <w:r w:rsidRPr="0088228C">
              <w:t xml:space="preserve"> and therefore this gap will be partially filled from August 2022.</w:t>
            </w:r>
          </w:p>
          <w:p w14:paraId="01E7E9D4" w14:textId="77777777" w:rsidR="000C1356" w:rsidRPr="004E6482" w:rsidRDefault="000C1356" w:rsidP="00607890">
            <w:pPr>
              <w:pStyle w:val="TableText"/>
            </w:pPr>
            <w:r w:rsidRPr="0088228C">
              <w:t xml:space="preserve">See </w:t>
            </w:r>
            <w:hyperlink w:anchor="Appendix_7_Table_7point14" w:history="1">
              <w:r w:rsidR="00607890" w:rsidRPr="00607890">
                <w:rPr>
                  <w:rStyle w:val="Hyperlink"/>
                </w:rPr>
                <w:t>Appendix 7, Table 7.14</w:t>
              </w:r>
            </w:hyperlink>
            <w:r w:rsidRPr="0088228C">
              <w:t xml:space="preserve"> for more information</w:t>
            </w:r>
            <w:r>
              <w:t>.</w:t>
            </w:r>
          </w:p>
        </w:tc>
      </w:tr>
      <w:tr w:rsidR="000C1356" w14:paraId="5CB875E2" w14:textId="77777777" w:rsidTr="00B521E2">
        <w:trPr>
          <w:cantSplit/>
        </w:trPr>
        <w:tc>
          <w:tcPr>
            <w:tcW w:w="1560" w:type="dxa"/>
            <w:tcBorders>
              <w:top w:val="single" w:sz="4" w:space="0" w:color="C2D9BA"/>
              <w:bottom w:val="single" w:sz="4" w:space="0" w:color="C2D9BA"/>
            </w:tcBorders>
            <w:shd w:val="clear" w:color="auto" w:fill="auto"/>
          </w:tcPr>
          <w:p w14:paraId="1F4F522D" w14:textId="77777777" w:rsidR="000C1356" w:rsidRPr="00E444B3" w:rsidRDefault="000C1356" w:rsidP="00B521E2">
            <w:pPr>
              <w:pStyle w:val="TableText"/>
            </w:pPr>
            <w:r w:rsidRPr="00E444B3">
              <w:t>Osimertinib</w:t>
            </w:r>
          </w:p>
        </w:tc>
        <w:tc>
          <w:tcPr>
            <w:tcW w:w="2835" w:type="dxa"/>
            <w:tcBorders>
              <w:top w:val="single" w:sz="4" w:space="0" w:color="C2D9BA"/>
              <w:bottom w:val="single" w:sz="4" w:space="0" w:color="C2D9BA"/>
            </w:tcBorders>
            <w:shd w:val="clear" w:color="auto" w:fill="auto"/>
          </w:tcPr>
          <w:p w14:paraId="4110542D" w14:textId="77777777" w:rsidR="000C1356" w:rsidRPr="00E444B3" w:rsidRDefault="000C1356" w:rsidP="00B521E2">
            <w:pPr>
              <w:pStyle w:val="TableText"/>
              <w:ind w:right="113"/>
            </w:pPr>
            <w:r w:rsidRPr="00E444B3">
              <w:t>Lung cancer (</w:t>
            </w:r>
            <w:r>
              <w:t>non-small cell lung cancer (NSCLC), stage IIIb or IV, EGFR+ve, first-line</w:t>
            </w:r>
            <w:r w:rsidRPr="00E444B3">
              <w:t>)</w:t>
            </w:r>
          </w:p>
        </w:tc>
        <w:tc>
          <w:tcPr>
            <w:tcW w:w="3685" w:type="dxa"/>
            <w:tcBorders>
              <w:top w:val="single" w:sz="4" w:space="0" w:color="C2D9BA"/>
              <w:bottom w:val="single" w:sz="4" w:space="0" w:color="C2D9BA"/>
            </w:tcBorders>
            <w:shd w:val="clear" w:color="auto" w:fill="auto"/>
          </w:tcPr>
          <w:p w14:paraId="2A7A154B" w14:textId="77777777" w:rsidR="000C1356" w:rsidRDefault="000C1356" w:rsidP="00B521E2">
            <w:pPr>
              <w:pStyle w:val="TableText"/>
            </w:pPr>
            <w:r w:rsidRPr="004E6482">
              <w:t>Gap – substantial clinical benefit</w:t>
            </w:r>
          </w:p>
          <w:p w14:paraId="288FBB02" w14:textId="77777777" w:rsidR="000C1356" w:rsidRDefault="000C1356" w:rsidP="00B521E2">
            <w:pPr>
              <w:pStyle w:val="TableText"/>
            </w:pPr>
            <w:r w:rsidRPr="0088228C">
              <w:t>ESMO-MCBS score relevant to Aotearoa</w:t>
            </w:r>
          </w:p>
          <w:p w14:paraId="2D06109F" w14:textId="77777777" w:rsidR="000C1356" w:rsidRPr="0088228C" w:rsidRDefault="000C1356" w:rsidP="00607890">
            <w:pPr>
              <w:pStyle w:val="TableText"/>
            </w:pPr>
            <w:r w:rsidRPr="0088228C">
              <w:t xml:space="preserve">See </w:t>
            </w:r>
            <w:hyperlink w:anchor="Appendix_7_Table_7point4" w:history="1">
              <w:r w:rsidR="00607890" w:rsidRPr="00607890">
                <w:rPr>
                  <w:rStyle w:val="Hyperlink"/>
                </w:rPr>
                <w:t>Appendix 7, Table 7.4</w:t>
              </w:r>
            </w:hyperlink>
            <w:r w:rsidRPr="0088228C">
              <w:t xml:space="preserve"> for more information</w:t>
            </w:r>
            <w:r>
              <w:t>.</w:t>
            </w:r>
          </w:p>
        </w:tc>
      </w:tr>
      <w:tr w:rsidR="000C1356" w14:paraId="27866DF6" w14:textId="77777777" w:rsidTr="00B521E2">
        <w:trPr>
          <w:cantSplit/>
        </w:trPr>
        <w:tc>
          <w:tcPr>
            <w:tcW w:w="1560" w:type="dxa"/>
            <w:tcBorders>
              <w:top w:val="single" w:sz="4" w:space="0" w:color="C2D9BA"/>
              <w:bottom w:val="single" w:sz="4" w:space="0" w:color="C2D9BA"/>
            </w:tcBorders>
            <w:shd w:val="clear" w:color="auto" w:fill="auto"/>
          </w:tcPr>
          <w:p w14:paraId="2B8F3BF0" w14:textId="77777777" w:rsidR="000C1356" w:rsidRPr="00E444B3" w:rsidRDefault="000C1356" w:rsidP="00B521E2">
            <w:pPr>
              <w:pStyle w:val="TableText"/>
            </w:pPr>
            <w:r w:rsidRPr="00E444B3">
              <w:t>Osimertinib</w:t>
            </w:r>
          </w:p>
        </w:tc>
        <w:tc>
          <w:tcPr>
            <w:tcW w:w="2835" w:type="dxa"/>
            <w:tcBorders>
              <w:top w:val="single" w:sz="4" w:space="0" w:color="C2D9BA"/>
              <w:bottom w:val="single" w:sz="4" w:space="0" w:color="C2D9BA"/>
            </w:tcBorders>
            <w:shd w:val="clear" w:color="auto" w:fill="auto"/>
          </w:tcPr>
          <w:p w14:paraId="30FB420D" w14:textId="77777777" w:rsidR="000C1356" w:rsidRPr="00E444B3" w:rsidRDefault="000C1356" w:rsidP="00B521E2">
            <w:pPr>
              <w:pStyle w:val="TableText"/>
              <w:ind w:right="113"/>
            </w:pPr>
            <w:r w:rsidRPr="00E444B3">
              <w:t>Lung cancer (</w:t>
            </w:r>
            <w:r>
              <w:t>non-small cell lung cancer (NSCLC), stage IIIb or IV, EGFR+ve T790M mutation, second-line</w:t>
            </w:r>
            <w:r w:rsidRPr="00E444B3">
              <w:t>)</w:t>
            </w:r>
          </w:p>
        </w:tc>
        <w:tc>
          <w:tcPr>
            <w:tcW w:w="3685" w:type="dxa"/>
            <w:tcBorders>
              <w:top w:val="single" w:sz="4" w:space="0" w:color="C2D9BA"/>
              <w:bottom w:val="single" w:sz="4" w:space="0" w:color="C2D9BA"/>
            </w:tcBorders>
            <w:shd w:val="clear" w:color="auto" w:fill="auto"/>
          </w:tcPr>
          <w:p w14:paraId="3221BAB9" w14:textId="77777777" w:rsidR="000C1356" w:rsidRDefault="000C1356" w:rsidP="00B521E2">
            <w:pPr>
              <w:pStyle w:val="TableText"/>
            </w:pPr>
            <w:r w:rsidRPr="004E6482">
              <w:t>Gap – substantial clinical benefit</w:t>
            </w:r>
          </w:p>
          <w:p w14:paraId="5305286B" w14:textId="77777777" w:rsidR="000C1356" w:rsidRDefault="000C1356" w:rsidP="00B521E2">
            <w:pPr>
              <w:pStyle w:val="TableText"/>
            </w:pPr>
            <w:r w:rsidRPr="0088228C">
              <w:t>ESMO-MCBS score relevant to Aotearoa</w:t>
            </w:r>
          </w:p>
          <w:p w14:paraId="07EC6937" w14:textId="77777777" w:rsidR="000C1356" w:rsidRDefault="000C1356" w:rsidP="00B521E2">
            <w:pPr>
              <w:pStyle w:val="TableText"/>
            </w:pPr>
            <w:r w:rsidRPr="0088228C">
              <w:t>If osimertinib were funded in the first</w:t>
            </w:r>
            <w:r>
              <w:t>-</w:t>
            </w:r>
            <w:r w:rsidRPr="0088228C">
              <w:t>line setting, this gap would be superseded</w:t>
            </w:r>
            <w:r>
              <w:t>.</w:t>
            </w:r>
          </w:p>
          <w:p w14:paraId="138D1C61" w14:textId="77777777" w:rsidR="000C1356" w:rsidRPr="0088228C" w:rsidRDefault="000C1356" w:rsidP="00607890">
            <w:pPr>
              <w:pStyle w:val="TableText"/>
            </w:pPr>
            <w:r w:rsidRPr="0088228C">
              <w:t xml:space="preserve">See </w:t>
            </w:r>
            <w:hyperlink w:anchor="Appendix_7_Table_7point5" w:history="1">
              <w:r w:rsidR="00607890" w:rsidRPr="00607890">
                <w:rPr>
                  <w:rStyle w:val="Hyperlink"/>
                </w:rPr>
                <w:t>Appendix 7, Table 7.5</w:t>
              </w:r>
            </w:hyperlink>
            <w:r w:rsidRPr="0088228C">
              <w:t xml:space="preserve"> for more information</w:t>
            </w:r>
            <w:r>
              <w:t>.</w:t>
            </w:r>
          </w:p>
        </w:tc>
      </w:tr>
      <w:tr w:rsidR="000C1356" w14:paraId="229E0A5F" w14:textId="77777777" w:rsidTr="00B521E2">
        <w:trPr>
          <w:cantSplit/>
        </w:trPr>
        <w:tc>
          <w:tcPr>
            <w:tcW w:w="1560" w:type="dxa"/>
            <w:tcBorders>
              <w:top w:val="single" w:sz="4" w:space="0" w:color="C2D9BA"/>
              <w:bottom w:val="single" w:sz="4" w:space="0" w:color="C2D9BA"/>
            </w:tcBorders>
            <w:shd w:val="clear" w:color="auto" w:fill="auto"/>
          </w:tcPr>
          <w:p w14:paraId="6B353D19" w14:textId="77777777" w:rsidR="000C1356" w:rsidRPr="00E444B3" w:rsidRDefault="000C1356" w:rsidP="00B521E2">
            <w:pPr>
              <w:pStyle w:val="TableText"/>
            </w:pPr>
            <w:r w:rsidRPr="00E444B3">
              <w:t>Panitumumab</w:t>
            </w:r>
          </w:p>
        </w:tc>
        <w:tc>
          <w:tcPr>
            <w:tcW w:w="2835" w:type="dxa"/>
            <w:tcBorders>
              <w:top w:val="single" w:sz="4" w:space="0" w:color="C2D9BA"/>
              <w:bottom w:val="single" w:sz="4" w:space="0" w:color="C2D9BA"/>
            </w:tcBorders>
            <w:shd w:val="clear" w:color="auto" w:fill="auto"/>
          </w:tcPr>
          <w:p w14:paraId="7475D3E7" w14:textId="77777777" w:rsidR="000C1356" w:rsidRDefault="000C1356" w:rsidP="00B521E2">
            <w:pPr>
              <w:pStyle w:val="TableText"/>
              <w:ind w:right="113"/>
            </w:pPr>
            <w:r>
              <w:t>Bowel cancer (colorectal cancer (CRC), metastatic, RAS wild-type, first-line)</w:t>
            </w:r>
          </w:p>
          <w:p w14:paraId="674F2D71" w14:textId="77777777" w:rsidR="000C1356" w:rsidRPr="00E444B3" w:rsidRDefault="000C1356" w:rsidP="00B521E2">
            <w:pPr>
              <w:pStyle w:val="TableText"/>
              <w:ind w:right="113"/>
            </w:pPr>
            <w:r>
              <w:t>Used in combination with chemotherapy</w:t>
            </w:r>
          </w:p>
        </w:tc>
        <w:tc>
          <w:tcPr>
            <w:tcW w:w="3685" w:type="dxa"/>
            <w:tcBorders>
              <w:top w:val="single" w:sz="4" w:space="0" w:color="C2D9BA"/>
              <w:bottom w:val="single" w:sz="4" w:space="0" w:color="C2D9BA"/>
            </w:tcBorders>
            <w:shd w:val="clear" w:color="auto" w:fill="auto"/>
          </w:tcPr>
          <w:p w14:paraId="638F30E0" w14:textId="77777777" w:rsidR="000C1356" w:rsidRDefault="000C1356" w:rsidP="00B521E2">
            <w:pPr>
              <w:pStyle w:val="TableText"/>
            </w:pPr>
            <w:r w:rsidRPr="004E6482">
              <w:t>Gap – substantial clinical benefit</w:t>
            </w:r>
          </w:p>
          <w:p w14:paraId="0752DFA3" w14:textId="77777777" w:rsidR="000C1356" w:rsidRDefault="000C1356" w:rsidP="00B521E2">
            <w:pPr>
              <w:pStyle w:val="TableText"/>
            </w:pPr>
            <w:r w:rsidRPr="0088228C">
              <w:t>ESMO-MCBS score relevant to Aotearoa</w:t>
            </w:r>
          </w:p>
          <w:p w14:paraId="115A3706" w14:textId="77777777" w:rsidR="000C1356" w:rsidRDefault="000C1356" w:rsidP="00B521E2">
            <w:pPr>
              <w:pStyle w:val="TableText"/>
            </w:pPr>
            <w:r w:rsidRPr="0088228C">
              <w:t>Chemotherapy used in this regimen for this indication is funded in Aotearoa</w:t>
            </w:r>
            <w:r>
              <w:t>.</w:t>
            </w:r>
          </w:p>
          <w:p w14:paraId="4CFDAD9B" w14:textId="77777777" w:rsidR="000C1356" w:rsidRDefault="000C1356" w:rsidP="00B521E2">
            <w:pPr>
              <w:pStyle w:val="TableText"/>
            </w:pPr>
            <w:r w:rsidRPr="0088228C">
              <w:t>Cetuximab is an alternative option to fill this gap</w:t>
            </w:r>
            <w:r>
              <w:t>.</w:t>
            </w:r>
          </w:p>
          <w:p w14:paraId="3AF9F7A3" w14:textId="77777777" w:rsidR="000C1356" w:rsidRPr="004E6482" w:rsidRDefault="000C1356" w:rsidP="00607890">
            <w:pPr>
              <w:pStyle w:val="TableText"/>
            </w:pPr>
            <w:r w:rsidRPr="0088228C">
              <w:t xml:space="preserve">See </w:t>
            </w:r>
            <w:hyperlink w:anchor="Appendix_7_Table_7point8" w:history="1">
              <w:r w:rsidR="00607890" w:rsidRPr="00607890">
                <w:rPr>
                  <w:rStyle w:val="Hyperlink"/>
                </w:rPr>
                <w:t>Appendix 7, Table 7.8</w:t>
              </w:r>
            </w:hyperlink>
            <w:r w:rsidRPr="0088228C">
              <w:t xml:space="preserve"> for more information</w:t>
            </w:r>
            <w:r>
              <w:t>.</w:t>
            </w:r>
          </w:p>
        </w:tc>
      </w:tr>
      <w:tr w:rsidR="000C1356" w14:paraId="445784E4" w14:textId="77777777" w:rsidTr="00B521E2">
        <w:trPr>
          <w:cantSplit/>
        </w:trPr>
        <w:tc>
          <w:tcPr>
            <w:tcW w:w="1560" w:type="dxa"/>
            <w:tcBorders>
              <w:top w:val="single" w:sz="4" w:space="0" w:color="C2D9BA"/>
              <w:bottom w:val="single" w:sz="4" w:space="0" w:color="C2D9BA"/>
            </w:tcBorders>
            <w:shd w:val="clear" w:color="auto" w:fill="auto"/>
          </w:tcPr>
          <w:p w14:paraId="2400B668" w14:textId="77777777" w:rsidR="000C1356" w:rsidRPr="00E444B3" w:rsidRDefault="000C1356" w:rsidP="00B521E2">
            <w:pPr>
              <w:pStyle w:val="TableText"/>
            </w:pPr>
            <w:r w:rsidRPr="00E444B3">
              <w:t>Pembrolizumab</w:t>
            </w:r>
          </w:p>
        </w:tc>
        <w:tc>
          <w:tcPr>
            <w:tcW w:w="2835" w:type="dxa"/>
            <w:tcBorders>
              <w:top w:val="single" w:sz="4" w:space="0" w:color="C2D9BA"/>
              <w:bottom w:val="single" w:sz="4" w:space="0" w:color="C2D9BA"/>
            </w:tcBorders>
            <w:shd w:val="clear" w:color="auto" w:fill="auto"/>
          </w:tcPr>
          <w:p w14:paraId="4A6269BB" w14:textId="77777777" w:rsidR="000C1356" w:rsidRPr="00E444B3" w:rsidRDefault="000C1356" w:rsidP="00B521E2">
            <w:pPr>
              <w:pStyle w:val="TableText"/>
              <w:ind w:right="113"/>
            </w:pPr>
            <w:r>
              <w:t>Bladder cancer (urothelial cancer, locally advan</w:t>
            </w:r>
            <w:r w:rsidR="00B521E2">
              <w:t>ced or metastatic, second-line)</w:t>
            </w:r>
          </w:p>
        </w:tc>
        <w:tc>
          <w:tcPr>
            <w:tcW w:w="3685" w:type="dxa"/>
            <w:tcBorders>
              <w:top w:val="single" w:sz="4" w:space="0" w:color="C2D9BA"/>
              <w:bottom w:val="single" w:sz="4" w:space="0" w:color="C2D9BA"/>
            </w:tcBorders>
            <w:shd w:val="clear" w:color="auto" w:fill="auto"/>
          </w:tcPr>
          <w:p w14:paraId="3C7EFC62" w14:textId="77777777" w:rsidR="000C1356" w:rsidRDefault="000C1356" w:rsidP="00B521E2">
            <w:pPr>
              <w:pStyle w:val="TableText"/>
            </w:pPr>
            <w:r w:rsidRPr="004E6482">
              <w:t>Gap – substantial clinical benefit</w:t>
            </w:r>
          </w:p>
          <w:p w14:paraId="6EA50015" w14:textId="77777777" w:rsidR="000C1356" w:rsidRDefault="000C1356" w:rsidP="00B521E2">
            <w:pPr>
              <w:pStyle w:val="TableText"/>
            </w:pPr>
            <w:r w:rsidRPr="0088228C">
              <w:t>ESMO-MCBS score relevant to Aotearoa</w:t>
            </w:r>
          </w:p>
          <w:p w14:paraId="4B012695" w14:textId="77777777" w:rsidR="000C1356" w:rsidRDefault="000C1356" w:rsidP="00B521E2">
            <w:pPr>
              <w:pStyle w:val="TableText"/>
            </w:pPr>
            <w:r w:rsidRPr="0088228C">
              <w:t>Pembrolizumab is funded in Aotearoa but not for this indication</w:t>
            </w:r>
            <w:r>
              <w:t>.</w:t>
            </w:r>
          </w:p>
          <w:p w14:paraId="0631ECD6" w14:textId="77777777" w:rsidR="000C1356" w:rsidRPr="004E6482" w:rsidRDefault="000C1356" w:rsidP="00607890">
            <w:pPr>
              <w:pStyle w:val="TableText"/>
            </w:pPr>
            <w:r w:rsidRPr="0088228C">
              <w:t xml:space="preserve">See </w:t>
            </w:r>
            <w:hyperlink w:anchor="Appendix_7_Table_7point13" w:history="1">
              <w:r w:rsidR="00607890" w:rsidRPr="00607890">
                <w:rPr>
                  <w:rStyle w:val="Hyperlink"/>
                </w:rPr>
                <w:t>Appendix 7, Table 7.13</w:t>
              </w:r>
            </w:hyperlink>
            <w:r w:rsidRPr="0088228C">
              <w:t xml:space="preserve"> for more information</w:t>
            </w:r>
            <w:r>
              <w:t>.</w:t>
            </w:r>
          </w:p>
        </w:tc>
      </w:tr>
      <w:tr w:rsidR="000C1356" w14:paraId="49058EB0" w14:textId="77777777" w:rsidTr="00B521E2">
        <w:trPr>
          <w:cantSplit/>
        </w:trPr>
        <w:tc>
          <w:tcPr>
            <w:tcW w:w="1560" w:type="dxa"/>
            <w:tcBorders>
              <w:top w:val="single" w:sz="4" w:space="0" w:color="C2D9BA"/>
              <w:bottom w:val="single" w:sz="4" w:space="0" w:color="C2D9BA"/>
            </w:tcBorders>
            <w:shd w:val="clear" w:color="auto" w:fill="auto"/>
          </w:tcPr>
          <w:p w14:paraId="6C91ECAD" w14:textId="77777777" w:rsidR="000C1356" w:rsidRPr="00E444B3" w:rsidRDefault="000C1356" w:rsidP="00B521E2">
            <w:pPr>
              <w:pStyle w:val="TableText"/>
            </w:pPr>
            <w:r w:rsidRPr="00E444B3">
              <w:lastRenderedPageBreak/>
              <w:t>Ribociclib</w:t>
            </w:r>
          </w:p>
        </w:tc>
        <w:tc>
          <w:tcPr>
            <w:tcW w:w="2835" w:type="dxa"/>
            <w:tcBorders>
              <w:top w:val="single" w:sz="4" w:space="0" w:color="C2D9BA"/>
              <w:bottom w:val="single" w:sz="4" w:space="0" w:color="C2D9BA"/>
            </w:tcBorders>
            <w:shd w:val="clear" w:color="auto" w:fill="auto"/>
          </w:tcPr>
          <w:p w14:paraId="35319E7C" w14:textId="77777777" w:rsidR="000C1356" w:rsidRDefault="000C1356" w:rsidP="00B521E2">
            <w:pPr>
              <w:pStyle w:val="TableText"/>
              <w:ind w:right="113"/>
            </w:pPr>
            <w:r w:rsidRPr="00E444B3">
              <w:t>Breast cancer</w:t>
            </w:r>
            <w:r>
              <w:t xml:space="preserve"> (locally advanced or metastatic, unresectable, HR+ve, HER-2 +ve, first-line)</w:t>
            </w:r>
          </w:p>
          <w:p w14:paraId="4B99DBC7" w14:textId="77777777" w:rsidR="000C1356" w:rsidRPr="00E444B3" w:rsidRDefault="000C1356" w:rsidP="00B521E2">
            <w:pPr>
              <w:pStyle w:val="TableText"/>
              <w:ind w:right="113"/>
            </w:pPr>
            <w:r>
              <w:t>Used in combination with endocrine therapy</w:t>
            </w:r>
          </w:p>
        </w:tc>
        <w:tc>
          <w:tcPr>
            <w:tcW w:w="3685" w:type="dxa"/>
            <w:tcBorders>
              <w:top w:val="single" w:sz="4" w:space="0" w:color="C2D9BA"/>
              <w:bottom w:val="single" w:sz="4" w:space="0" w:color="C2D9BA"/>
            </w:tcBorders>
            <w:shd w:val="clear" w:color="auto" w:fill="auto"/>
          </w:tcPr>
          <w:p w14:paraId="68914E3D" w14:textId="77777777" w:rsidR="000C1356" w:rsidRDefault="000C1356" w:rsidP="00B521E2">
            <w:pPr>
              <w:pStyle w:val="TableText"/>
            </w:pPr>
            <w:r w:rsidRPr="004E6482">
              <w:t xml:space="preserve">Gap – </w:t>
            </w:r>
            <w:r w:rsidRPr="004E6482">
              <w:rPr>
                <w:b/>
              </w:rPr>
              <w:t>not</w:t>
            </w:r>
            <w:r w:rsidRPr="004E6482">
              <w:t xml:space="preserve"> substantial clinical benefit</w:t>
            </w:r>
          </w:p>
          <w:p w14:paraId="2973580C" w14:textId="77777777" w:rsidR="000C1356" w:rsidRPr="0088228C" w:rsidRDefault="000C1356" w:rsidP="00B521E2">
            <w:pPr>
              <w:pStyle w:val="TableText"/>
            </w:pPr>
            <w:r>
              <w:t xml:space="preserve">The </w:t>
            </w:r>
            <w:r w:rsidRPr="0088228C">
              <w:t>ESMO-MCBS score is based on a superseded comparator</w:t>
            </w:r>
            <w:r>
              <w:t xml:space="preserve"> – </w:t>
            </w:r>
            <w:r w:rsidRPr="0088228C">
              <w:t>placebo. Standard care in Aotearoa is palbociclib (used with endocrine therapy). Clinical advice indicated that ribociclib is unlikely to score 4 or 5 against this comparator for this indication</w:t>
            </w:r>
            <w:r>
              <w:t>.</w:t>
            </w:r>
          </w:p>
        </w:tc>
      </w:tr>
      <w:tr w:rsidR="000C1356" w14:paraId="70AB0579" w14:textId="77777777" w:rsidTr="00B521E2">
        <w:trPr>
          <w:cantSplit/>
        </w:trPr>
        <w:tc>
          <w:tcPr>
            <w:tcW w:w="1560" w:type="dxa"/>
            <w:tcBorders>
              <w:top w:val="single" w:sz="4" w:space="0" w:color="C2D9BA"/>
              <w:bottom w:val="single" w:sz="4" w:space="0" w:color="C2D9BA"/>
            </w:tcBorders>
            <w:shd w:val="clear" w:color="auto" w:fill="auto"/>
          </w:tcPr>
          <w:p w14:paraId="753FD6F7" w14:textId="77777777" w:rsidR="000C1356" w:rsidRPr="00E444B3" w:rsidRDefault="00B521E2" w:rsidP="00B521E2">
            <w:pPr>
              <w:pStyle w:val="TableText"/>
            </w:pPr>
            <w:r>
              <w:t>Vemurafenib</w:t>
            </w:r>
          </w:p>
        </w:tc>
        <w:tc>
          <w:tcPr>
            <w:tcW w:w="2835" w:type="dxa"/>
            <w:tcBorders>
              <w:top w:val="single" w:sz="4" w:space="0" w:color="C2D9BA"/>
              <w:bottom w:val="single" w:sz="4" w:space="0" w:color="C2D9BA"/>
            </w:tcBorders>
            <w:shd w:val="clear" w:color="auto" w:fill="auto"/>
          </w:tcPr>
          <w:p w14:paraId="2D26CA8D" w14:textId="77777777" w:rsidR="000C1356" w:rsidRDefault="000C1356" w:rsidP="00B521E2">
            <w:pPr>
              <w:pStyle w:val="TableText"/>
              <w:ind w:right="113"/>
            </w:pPr>
            <w:r w:rsidRPr="00E444B3">
              <w:t>Melanoma (stage III or IV, unresectable, BRAF +ve)</w:t>
            </w:r>
          </w:p>
          <w:p w14:paraId="443550C6" w14:textId="77777777" w:rsidR="000C1356" w:rsidRPr="00E444B3" w:rsidRDefault="000C1356" w:rsidP="00B521E2">
            <w:pPr>
              <w:pStyle w:val="TableText"/>
              <w:ind w:right="113"/>
            </w:pPr>
            <w:r>
              <w:t>Used in combination with cobimetinib</w:t>
            </w:r>
          </w:p>
        </w:tc>
        <w:tc>
          <w:tcPr>
            <w:tcW w:w="3685" w:type="dxa"/>
            <w:tcBorders>
              <w:top w:val="single" w:sz="4" w:space="0" w:color="C2D9BA"/>
              <w:bottom w:val="single" w:sz="4" w:space="0" w:color="C2D9BA"/>
            </w:tcBorders>
            <w:shd w:val="clear" w:color="auto" w:fill="auto"/>
          </w:tcPr>
          <w:p w14:paraId="4C6895B1" w14:textId="77777777" w:rsidR="000C1356" w:rsidRDefault="000C1356" w:rsidP="00B521E2">
            <w:pPr>
              <w:pStyle w:val="TableText"/>
            </w:pPr>
            <w:r w:rsidRPr="004E6482">
              <w:t>Gap – substantial clinical benefit</w:t>
            </w:r>
          </w:p>
          <w:p w14:paraId="6343985E" w14:textId="77777777" w:rsidR="000C1356" w:rsidRDefault="000C1356" w:rsidP="00B521E2">
            <w:pPr>
              <w:pStyle w:val="TableText"/>
            </w:pPr>
            <w:r>
              <w:t>The ESMO-MCBS score is based on a comparator that isn’t funded in Aotearoa – vemurafenib. This regimen is considered likely to score at least 4 for this specific patient group when compared with the current standard of care in Aotearoa – pembrolizumab or nivolumab.</w:t>
            </w:r>
          </w:p>
          <w:p w14:paraId="33392BA9" w14:textId="10CF6A21" w:rsidR="000C1356" w:rsidRDefault="000C1356" w:rsidP="00B521E2">
            <w:pPr>
              <w:pStyle w:val="TableText"/>
            </w:pPr>
            <w:r w:rsidRPr="0088228C">
              <w:t>Both vemurafe</w:t>
            </w:r>
            <w:r w:rsidR="0009051A">
              <w:t>n</w:t>
            </w:r>
            <w:r w:rsidRPr="0088228C">
              <w:t>ib and cobimetinib would need to be funded for this indication for this gap to be filled</w:t>
            </w:r>
            <w:r>
              <w:t>.</w:t>
            </w:r>
          </w:p>
          <w:p w14:paraId="334CC03F" w14:textId="77777777" w:rsidR="000C1356" w:rsidRDefault="000C1356" w:rsidP="00B521E2">
            <w:pPr>
              <w:pStyle w:val="TableText"/>
            </w:pPr>
            <w:r w:rsidRPr="0088228C">
              <w:t>Other BRAF-MEK combinations are alternative options to fill this gap</w:t>
            </w:r>
            <w:r>
              <w:t>.</w:t>
            </w:r>
          </w:p>
          <w:p w14:paraId="2278002A" w14:textId="77777777" w:rsidR="000C1356" w:rsidRPr="004E6482" w:rsidRDefault="000C1356" w:rsidP="00607890">
            <w:pPr>
              <w:pStyle w:val="TableText"/>
            </w:pPr>
            <w:r w:rsidRPr="0088228C">
              <w:t xml:space="preserve">See </w:t>
            </w:r>
            <w:hyperlink w:anchor="Appendix_7_Table_7point20" w:history="1">
              <w:r w:rsidR="00607890" w:rsidRPr="00607890">
                <w:rPr>
                  <w:rStyle w:val="Hyperlink"/>
                </w:rPr>
                <w:t>Appendix 7, Table 7.20</w:t>
              </w:r>
            </w:hyperlink>
            <w:r w:rsidRPr="0088228C">
              <w:t xml:space="preserve"> for more information</w:t>
            </w:r>
            <w:r>
              <w:t>.</w:t>
            </w:r>
          </w:p>
        </w:tc>
      </w:tr>
    </w:tbl>
    <w:bookmarkEnd w:id="369"/>
    <w:p w14:paraId="6BFDF854" w14:textId="77777777" w:rsidR="00C338E8" w:rsidRDefault="00B12E4F" w:rsidP="00B521E2">
      <w:pPr>
        <w:pStyle w:val="Note"/>
      </w:pPr>
      <w:r w:rsidRPr="00E444B3">
        <w:t>*</w:t>
      </w:r>
      <w:r>
        <w:tab/>
      </w:r>
      <w:r w:rsidRPr="00E444B3">
        <w:t>Funded without restriction in Australia. Indications from TGA</w:t>
      </w:r>
      <w:r>
        <w:t>-</w:t>
      </w:r>
      <w:r w:rsidRPr="00E444B3">
        <w:t xml:space="preserve">approved </w:t>
      </w:r>
      <w:r>
        <w:t>p</w:t>
      </w:r>
      <w:r w:rsidRPr="00E444B3">
        <w:t xml:space="preserve">roduct </w:t>
      </w:r>
      <w:r>
        <w:t>i</w:t>
      </w:r>
      <w:r w:rsidRPr="00E444B3">
        <w:t>nformation and eviQ</w:t>
      </w:r>
      <w:r>
        <w:t>.</w:t>
      </w:r>
    </w:p>
    <w:p w14:paraId="092C94A6" w14:textId="77777777" w:rsidR="00C338E8" w:rsidRDefault="00C338E8" w:rsidP="00B521E2"/>
    <w:p w14:paraId="0E4F4799" w14:textId="77777777" w:rsidR="00C338E8" w:rsidRDefault="0056499C" w:rsidP="00B521E2">
      <w:hyperlink w:anchor="Appendix_5_Table_5point4" w:history="1">
        <w:r w:rsidR="00607890" w:rsidRPr="00607890">
          <w:rPr>
            <w:rStyle w:val="Hyperlink"/>
          </w:rPr>
          <w:t>Tables 5.4</w:t>
        </w:r>
      </w:hyperlink>
      <w:hyperlink w:anchor="Appendix_5_Table_5point5" w:history="1">
        <w:r w:rsidR="00607890" w:rsidRPr="00607890">
          <w:rPr>
            <w:rStyle w:val="Hyperlink"/>
          </w:rPr>
          <w:t xml:space="preserve"> and 5.5</w:t>
        </w:r>
      </w:hyperlink>
      <w:r w:rsidR="00B12E4F" w:rsidRPr="00607890">
        <w:t xml:space="preserve"> show med</w:t>
      </w:r>
      <w:r w:rsidR="00B12E4F">
        <w:t>icines funded in Australia but not in Aotearoa with an ESMO-MCBS score of 3 and 2 respectively, which is below the threshold of substantial clinical benefit as defined by ESMO. These tables provide information on how gaps were categorised, including instances where the scores were upgraded for the Aotearoa context.</w:t>
      </w:r>
    </w:p>
    <w:p w14:paraId="127A8144" w14:textId="77777777" w:rsidR="00C338E8" w:rsidRDefault="00C338E8" w:rsidP="00B521E2"/>
    <w:p w14:paraId="00BDC887" w14:textId="77777777" w:rsidR="00B12E4F" w:rsidRDefault="00B12E4F" w:rsidP="00607890">
      <w:pPr>
        <w:pStyle w:val="Table"/>
        <w:keepNext w:val="0"/>
        <w:pageBreakBefore/>
        <w:spacing w:before="0"/>
      </w:pPr>
      <w:bookmarkStart w:id="370" w:name="_Toc101365612"/>
      <w:bookmarkStart w:id="371" w:name="Appendix_5_Table_5point4"/>
      <w:r w:rsidRPr="00E444B3">
        <w:lastRenderedPageBreak/>
        <w:t>Table</w:t>
      </w:r>
      <w:r w:rsidR="00B521E2">
        <w:t> </w:t>
      </w:r>
      <w:r>
        <w:t>5.4</w:t>
      </w:r>
      <w:r w:rsidRPr="00E444B3">
        <w:t>: Medicines funded in Australia and not in Aotearoa – ESMO-MCBS score of 3</w:t>
      </w:r>
      <w:bookmarkEnd w:id="37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2835"/>
        <w:gridCol w:w="3685"/>
      </w:tblGrid>
      <w:tr w:rsidR="00B521E2" w:rsidRPr="000C1356" w14:paraId="2C043587" w14:textId="77777777" w:rsidTr="00B521E2">
        <w:trPr>
          <w:cantSplit/>
          <w:tblHeader/>
        </w:trPr>
        <w:tc>
          <w:tcPr>
            <w:tcW w:w="1560" w:type="dxa"/>
            <w:tcBorders>
              <w:top w:val="nil"/>
              <w:bottom w:val="nil"/>
            </w:tcBorders>
            <w:shd w:val="clear" w:color="auto" w:fill="C2D9BA"/>
          </w:tcPr>
          <w:p w14:paraId="0BC286B6" w14:textId="77777777" w:rsidR="00B521E2" w:rsidRPr="000C1356" w:rsidRDefault="00B521E2" w:rsidP="00B521E2">
            <w:pPr>
              <w:pStyle w:val="TableText"/>
              <w:rPr>
                <w:b/>
              </w:rPr>
            </w:pPr>
            <w:r w:rsidRPr="000C1356">
              <w:rPr>
                <w:b/>
              </w:rPr>
              <w:t>Medicine</w:t>
            </w:r>
          </w:p>
        </w:tc>
        <w:tc>
          <w:tcPr>
            <w:tcW w:w="2835" w:type="dxa"/>
            <w:tcBorders>
              <w:top w:val="nil"/>
              <w:bottom w:val="nil"/>
            </w:tcBorders>
            <w:shd w:val="clear" w:color="auto" w:fill="C2D9BA"/>
          </w:tcPr>
          <w:p w14:paraId="40B6B947" w14:textId="77777777" w:rsidR="00B521E2" w:rsidRPr="000C1356" w:rsidRDefault="00B521E2" w:rsidP="009B6B07">
            <w:pPr>
              <w:pStyle w:val="TableText"/>
              <w:ind w:right="113"/>
              <w:rPr>
                <w:b/>
              </w:rPr>
            </w:pPr>
            <w:r w:rsidRPr="000C1356">
              <w:rPr>
                <w:b/>
              </w:rPr>
              <w:t xml:space="preserve">Indication </w:t>
            </w:r>
            <w:r w:rsidR="009B6B07">
              <w:rPr>
                <w:b/>
              </w:rPr>
              <w:t xml:space="preserve">as </w:t>
            </w:r>
            <w:r w:rsidRPr="000C1356">
              <w:rPr>
                <w:b/>
              </w:rPr>
              <w:t>per PBS</w:t>
            </w:r>
          </w:p>
        </w:tc>
        <w:tc>
          <w:tcPr>
            <w:tcW w:w="3685" w:type="dxa"/>
            <w:tcBorders>
              <w:top w:val="nil"/>
              <w:bottom w:val="nil"/>
            </w:tcBorders>
            <w:shd w:val="clear" w:color="auto" w:fill="C2D9BA"/>
          </w:tcPr>
          <w:p w14:paraId="3CEEB0DF" w14:textId="77777777" w:rsidR="00B521E2" w:rsidRPr="000C1356" w:rsidRDefault="00B521E2" w:rsidP="00B521E2">
            <w:pPr>
              <w:pStyle w:val="TableText"/>
              <w:rPr>
                <w:b/>
              </w:rPr>
            </w:pPr>
            <w:r w:rsidRPr="000C1356">
              <w:rPr>
                <w:b/>
              </w:rPr>
              <w:t>Final gap categorisation</w:t>
            </w:r>
          </w:p>
        </w:tc>
      </w:tr>
      <w:tr w:rsidR="009B6B07" w:rsidRPr="00A605FF" w14:paraId="642A12FF" w14:textId="77777777" w:rsidTr="00B521E2">
        <w:trPr>
          <w:cantSplit/>
        </w:trPr>
        <w:tc>
          <w:tcPr>
            <w:tcW w:w="1560" w:type="dxa"/>
            <w:tcBorders>
              <w:top w:val="nil"/>
              <w:bottom w:val="single" w:sz="4" w:space="0" w:color="C2D9BA"/>
            </w:tcBorders>
            <w:shd w:val="clear" w:color="auto" w:fill="auto"/>
          </w:tcPr>
          <w:p w14:paraId="38863FB4" w14:textId="77777777" w:rsidR="009B6B07" w:rsidRPr="00E444B3" w:rsidRDefault="009B6B07" w:rsidP="009B6B07">
            <w:pPr>
              <w:pStyle w:val="TableText"/>
            </w:pPr>
            <w:r w:rsidRPr="00E444B3">
              <w:t>Abemaciclib</w:t>
            </w:r>
          </w:p>
        </w:tc>
        <w:tc>
          <w:tcPr>
            <w:tcW w:w="2835" w:type="dxa"/>
            <w:tcBorders>
              <w:top w:val="nil"/>
              <w:bottom w:val="single" w:sz="4" w:space="0" w:color="C2D9BA"/>
            </w:tcBorders>
            <w:shd w:val="clear" w:color="auto" w:fill="auto"/>
          </w:tcPr>
          <w:p w14:paraId="1146B70F" w14:textId="77777777" w:rsidR="009B6B07" w:rsidRDefault="009B6B07" w:rsidP="009B6B07">
            <w:pPr>
              <w:pStyle w:val="TableText"/>
              <w:ind w:right="113"/>
            </w:pPr>
            <w:r w:rsidRPr="00E444B3">
              <w:t>Breast cancer</w:t>
            </w:r>
            <w:r>
              <w:t xml:space="preserve"> (locally advanced or metastatic, HR+ve, HER-2 -ve, unresectable)</w:t>
            </w:r>
          </w:p>
          <w:p w14:paraId="60E965AE" w14:textId="77777777" w:rsidR="009B6B07" w:rsidRPr="00E444B3" w:rsidRDefault="009B6B07" w:rsidP="009B6B07">
            <w:pPr>
              <w:pStyle w:val="TableText"/>
              <w:ind w:right="113"/>
            </w:pPr>
            <w:r>
              <w:t>Used in combination with endocrine therapy</w:t>
            </w:r>
          </w:p>
        </w:tc>
        <w:tc>
          <w:tcPr>
            <w:tcW w:w="3685" w:type="dxa"/>
            <w:tcBorders>
              <w:top w:val="nil"/>
              <w:bottom w:val="single" w:sz="4" w:space="0" w:color="C2D9BA"/>
            </w:tcBorders>
            <w:shd w:val="clear" w:color="auto" w:fill="auto"/>
          </w:tcPr>
          <w:p w14:paraId="74EEBCFE" w14:textId="77777777" w:rsidR="009B6B07" w:rsidRDefault="009B6B07" w:rsidP="009B6B07">
            <w:pPr>
              <w:pStyle w:val="TableText"/>
            </w:pPr>
            <w:r w:rsidRPr="00945D13">
              <w:t>Gap – not substantial clinical benefit</w:t>
            </w:r>
          </w:p>
          <w:p w14:paraId="05D554FD" w14:textId="77777777" w:rsidR="009B6B07" w:rsidRPr="0088228C" w:rsidRDefault="009B6B07" w:rsidP="009B6B07">
            <w:pPr>
              <w:pStyle w:val="TableText"/>
            </w:pPr>
            <w:r w:rsidRPr="0088228C">
              <w:t>ESMO-MCBS comparator is placebo. No clinical advice sought.</w:t>
            </w:r>
          </w:p>
        </w:tc>
      </w:tr>
      <w:tr w:rsidR="009B6B07" w:rsidRPr="00A605FF" w14:paraId="1BEF9D43" w14:textId="77777777" w:rsidTr="00B521E2">
        <w:trPr>
          <w:cantSplit/>
        </w:trPr>
        <w:tc>
          <w:tcPr>
            <w:tcW w:w="1560" w:type="dxa"/>
            <w:tcBorders>
              <w:top w:val="single" w:sz="4" w:space="0" w:color="C2D9BA"/>
              <w:bottom w:val="single" w:sz="4" w:space="0" w:color="C2D9BA"/>
            </w:tcBorders>
            <w:shd w:val="clear" w:color="auto" w:fill="auto"/>
          </w:tcPr>
          <w:p w14:paraId="3D27BD78" w14:textId="77777777" w:rsidR="009B6B07" w:rsidRPr="00E444B3" w:rsidRDefault="009B6B07" w:rsidP="009B6B07">
            <w:pPr>
              <w:pStyle w:val="TableText"/>
            </w:pPr>
            <w:r w:rsidRPr="00E444B3">
              <w:t>Atezolizumab</w:t>
            </w:r>
          </w:p>
        </w:tc>
        <w:tc>
          <w:tcPr>
            <w:tcW w:w="2835" w:type="dxa"/>
            <w:tcBorders>
              <w:top w:val="single" w:sz="4" w:space="0" w:color="C2D9BA"/>
              <w:bottom w:val="single" w:sz="4" w:space="0" w:color="C2D9BA"/>
            </w:tcBorders>
            <w:shd w:val="clear" w:color="auto" w:fill="auto"/>
          </w:tcPr>
          <w:p w14:paraId="389C6F99" w14:textId="77777777" w:rsidR="009B6B07" w:rsidRDefault="009B6B07" w:rsidP="009B6B07">
            <w:pPr>
              <w:pStyle w:val="TableText"/>
              <w:ind w:right="113"/>
            </w:pPr>
            <w:r w:rsidRPr="00E444B3">
              <w:t>Lung cancer (small cell</w:t>
            </w:r>
            <w:r>
              <w:t xml:space="preserve"> lung cancer (SCLC), extensive disease, first-line</w:t>
            </w:r>
            <w:r w:rsidRPr="00E444B3">
              <w:t>)</w:t>
            </w:r>
          </w:p>
          <w:p w14:paraId="6472139A" w14:textId="77777777" w:rsidR="009B6B07" w:rsidRPr="00E444B3" w:rsidRDefault="009B6B07" w:rsidP="009B6B07">
            <w:pPr>
              <w:pStyle w:val="TableText"/>
              <w:ind w:right="113"/>
            </w:pPr>
            <w:r>
              <w:t>Used in combination with chemotherapy</w:t>
            </w:r>
          </w:p>
        </w:tc>
        <w:tc>
          <w:tcPr>
            <w:tcW w:w="3685" w:type="dxa"/>
            <w:tcBorders>
              <w:top w:val="single" w:sz="4" w:space="0" w:color="C2D9BA"/>
              <w:bottom w:val="single" w:sz="4" w:space="0" w:color="C2D9BA"/>
            </w:tcBorders>
            <w:shd w:val="clear" w:color="auto" w:fill="auto"/>
          </w:tcPr>
          <w:p w14:paraId="0766DEAE" w14:textId="77777777" w:rsidR="009B6B07" w:rsidRDefault="009B6B07" w:rsidP="009B6B07">
            <w:pPr>
              <w:pStyle w:val="TableText"/>
            </w:pPr>
            <w:r w:rsidRPr="00945D13">
              <w:t>Gap – not substantial clinical benefit</w:t>
            </w:r>
          </w:p>
          <w:p w14:paraId="107963A0" w14:textId="77777777" w:rsidR="009B6B07" w:rsidRPr="00945D13" w:rsidRDefault="009B6B07" w:rsidP="009B6B07">
            <w:pPr>
              <w:pStyle w:val="TableText"/>
            </w:pPr>
            <w:r w:rsidRPr="0088228C">
              <w:t>ESMO-MCBS comparator is plac</w:t>
            </w:r>
            <w:r>
              <w:t>ebo. No clinical advice sought.</w:t>
            </w:r>
          </w:p>
        </w:tc>
      </w:tr>
      <w:tr w:rsidR="009B6B07" w:rsidRPr="00A605FF" w14:paraId="3EA020F6" w14:textId="77777777" w:rsidTr="00B521E2">
        <w:trPr>
          <w:cantSplit/>
        </w:trPr>
        <w:tc>
          <w:tcPr>
            <w:tcW w:w="1560" w:type="dxa"/>
            <w:tcBorders>
              <w:top w:val="single" w:sz="4" w:space="0" w:color="C2D9BA"/>
              <w:bottom w:val="single" w:sz="4" w:space="0" w:color="C2D9BA"/>
            </w:tcBorders>
            <w:shd w:val="clear" w:color="auto" w:fill="auto"/>
          </w:tcPr>
          <w:p w14:paraId="5270C64A" w14:textId="77777777" w:rsidR="009B6B07" w:rsidRPr="00E444B3" w:rsidRDefault="009B6B07" w:rsidP="009B6B07">
            <w:pPr>
              <w:pStyle w:val="TableText"/>
            </w:pPr>
            <w:r>
              <w:t>Atezolizumab</w:t>
            </w:r>
          </w:p>
        </w:tc>
        <w:tc>
          <w:tcPr>
            <w:tcW w:w="2835" w:type="dxa"/>
            <w:tcBorders>
              <w:top w:val="single" w:sz="4" w:space="0" w:color="C2D9BA"/>
              <w:bottom w:val="single" w:sz="4" w:space="0" w:color="C2D9BA"/>
            </w:tcBorders>
            <w:shd w:val="clear" w:color="auto" w:fill="auto"/>
          </w:tcPr>
          <w:p w14:paraId="4B73F281" w14:textId="77777777" w:rsidR="009B6B07" w:rsidRDefault="009B6B07" w:rsidP="009B6B07">
            <w:pPr>
              <w:pStyle w:val="TableText"/>
              <w:ind w:right="113"/>
            </w:pPr>
            <w:r w:rsidRPr="00E444B3">
              <w:t>Lung cancer (</w:t>
            </w:r>
            <w:r>
              <w:t>non-small cell lung cancer (</w:t>
            </w:r>
            <w:r w:rsidRPr="00E444B3">
              <w:t>NSCLC</w:t>
            </w:r>
            <w:r>
              <w:t>)</w:t>
            </w:r>
            <w:r w:rsidRPr="00E444B3">
              <w:t xml:space="preserve">, stage IV, </w:t>
            </w:r>
            <w:r>
              <w:t>first-line</w:t>
            </w:r>
            <w:r w:rsidRPr="00E444B3">
              <w:t>)</w:t>
            </w:r>
          </w:p>
          <w:p w14:paraId="3A2B0EBD" w14:textId="77777777" w:rsidR="009B6B07" w:rsidRPr="00E444B3" w:rsidRDefault="009B6B07" w:rsidP="009B6B07">
            <w:pPr>
              <w:pStyle w:val="TableText"/>
              <w:ind w:right="113"/>
            </w:pPr>
            <w:r>
              <w:t>Used in combination with bevacizumab and chemotherapy</w:t>
            </w:r>
          </w:p>
        </w:tc>
        <w:tc>
          <w:tcPr>
            <w:tcW w:w="3685" w:type="dxa"/>
            <w:tcBorders>
              <w:top w:val="single" w:sz="4" w:space="0" w:color="C2D9BA"/>
              <w:bottom w:val="single" w:sz="4" w:space="0" w:color="C2D9BA"/>
            </w:tcBorders>
            <w:shd w:val="clear" w:color="auto" w:fill="auto"/>
          </w:tcPr>
          <w:p w14:paraId="20E13444" w14:textId="77777777" w:rsidR="009B6B07" w:rsidRDefault="009B6B07" w:rsidP="009B6B07">
            <w:pPr>
              <w:pStyle w:val="TableText"/>
            </w:pPr>
            <w:r w:rsidRPr="00945D13">
              <w:t xml:space="preserve">Gap – </w:t>
            </w:r>
            <w:r w:rsidRPr="00945D13">
              <w:rPr>
                <w:b/>
              </w:rPr>
              <w:t>substantial</w:t>
            </w:r>
            <w:r w:rsidRPr="00945D13">
              <w:t xml:space="preserve"> clinical benefit</w:t>
            </w:r>
          </w:p>
          <w:p w14:paraId="7A9ED2BE" w14:textId="77777777" w:rsidR="009B6B07" w:rsidRDefault="009B6B07" w:rsidP="009B6B07">
            <w:pPr>
              <w:pStyle w:val="TableText"/>
            </w:pPr>
            <w:r>
              <w:t xml:space="preserve">The </w:t>
            </w:r>
            <w:r w:rsidRPr="0088228C">
              <w:t xml:space="preserve">ESMO-MCBS score is based on a comparator that is not funded for this indication in Aotearoa – bevacizumab (used with chemotherapy). Clinical advice indicated this regimen is considered likely to score at least 4 </w:t>
            </w:r>
            <w:r>
              <w:t>when compared to</w:t>
            </w:r>
            <w:r w:rsidRPr="0088228C">
              <w:t xml:space="preserve"> the current standard of care in Aotearoa – chemotherapy</w:t>
            </w:r>
            <w:r>
              <w:t>.</w:t>
            </w:r>
          </w:p>
          <w:p w14:paraId="3A07AC26" w14:textId="77777777" w:rsidR="009B6B07" w:rsidRDefault="009B6B07" w:rsidP="009B6B07">
            <w:pPr>
              <w:pStyle w:val="TableText"/>
            </w:pPr>
            <w:r w:rsidRPr="0088228C">
              <w:t>Other immune checkpoint inhibitor options exist as alternative options to fill this gap</w:t>
            </w:r>
            <w:r>
              <w:t>.</w:t>
            </w:r>
          </w:p>
          <w:p w14:paraId="536401A6" w14:textId="77777777" w:rsidR="009B6B07" w:rsidRPr="00945D13" w:rsidRDefault="009B6B07" w:rsidP="00607890">
            <w:pPr>
              <w:pStyle w:val="TableText"/>
            </w:pPr>
            <w:r w:rsidRPr="0088228C">
              <w:t xml:space="preserve">See </w:t>
            </w:r>
            <w:hyperlink w:anchor="Appendix_7_Table_7point1" w:history="1">
              <w:r w:rsidR="00607890" w:rsidRPr="00607890">
                <w:rPr>
                  <w:rStyle w:val="Hyperlink"/>
                </w:rPr>
                <w:t>Appendix 7, Table 7.1</w:t>
              </w:r>
            </w:hyperlink>
            <w:r w:rsidRPr="0088228C">
              <w:t xml:space="preserve"> for more information</w:t>
            </w:r>
            <w:r>
              <w:t>.</w:t>
            </w:r>
          </w:p>
        </w:tc>
      </w:tr>
      <w:tr w:rsidR="009B6B07" w:rsidRPr="00A605FF" w14:paraId="150ACB01" w14:textId="77777777" w:rsidTr="00B521E2">
        <w:trPr>
          <w:cantSplit/>
        </w:trPr>
        <w:tc>
          <w:tcPr>
            <w:tcW w:w="1560" w:type="dxa"/>
            <w:tcBorders>
              <w:top w:val="single" w:sz="4" w:space="0" w:color="C2D9BA"/>
              <w:bottom w:val="single" w:sz="4" w:space="0" w:color="C2D9BA"/>
            </w:tcBorders>
            <w:shd w:val="clear" w:color="auto" w:fill="auto"/>
          </w:tcPr>
          <w:p w14:paraId="201D472D" w14:textId="77777777" w:rsidR="009B6B07" w:rsidRPr="00E444B3" w:rsidRDefault="009B6B07" w:rsidP="009B6B07">
            <w:pPr>
              <w:pStyle w:val="TableText"/>
            </w:pPr>
            <w:r w:rsidRPr="00E444B3">
              <w:t>Avelumab</w:t>
            </w:r>
          </w:p>
        </w:tc>
        <w:tc>
          <w:tcPr>
            <w:tcW w:w="2835" w:type="dxa"/>
            <w:tcBorders>
              <w:top w:val="single" w:sz="4" w:space="0" w:color="C2D9BA"/>
              <w:bottom w:val="single" w:sz="4" w:space="0" w:color="C2D9BA"/>
            </w:tcBorders>
            <w:shd w:val="clear" w:color="auto" w:fill="auto"/>
          </w:tcPr>
          <w:p w14:paraId="1E40399B" w14:textId="77777777" w:rsidR="009B6B07" w:rsidRPr="00E444B3" w:rsidRDefault="009B6B07" w:rsidP="009B6B07">
            <w:pPr>
              <w:pStyle w:val="TableText"/>
              <w:ind w:right="113"/>
            </w:pPr>
            <w:r w:rsidRPr="00E444B3">
              <w:t>Merkel cell carcinoma</w:t>
            </w:r>
            <w:r>
              <w:t xml:space="preserve"> (stage IV)</w:t>
            </w:r>
          </w:p>
        </w:tc>
        <w:tc>
          <w:tcPr>
            <w:tcW w:w="3685" w:type="dxa"/>
            <w:tcBorders>
              <w:top w:val="single" w:sz="4" w:space="0" w:color="C2D9BA"/>
              <w:bottom w:val="single" w:sz="4" w:space="0" w:color="C2D9BA"/>
            </w:tcBorders>
            <w:shd w:val="clear" w:color="auto" w:fill="auto"/>
          </w:tcPr>
          <w:p w14:paraId="20EEA1E3" w14:textId="77777777" w:rsidR="009B6B07" w:rsidRDefault="009B6B07" w:rsidP="009B6B07">
            <w:pPr>
              <w:pStyle w:val="TableText"/>
            </w:pPr>
            <w:r w:rsidRPr="00945D13">
              <w:t>Gap – not substantial clinical benefit</w:t>
            </w:r>
          </w:p>
          <w:p w14:paraId="7DC54C3D" w14:textId="77777777" w:rsidR="009B6B07" w:rsidRPr="0088228C" w:rsidRDefault="009B6B07" w:rsidP="009B6B07">
            <w:pPr>
              <w:pStyle w:val="TableText"/>
            </w:pPr>
            <w:r>
              <w:t xml:space="preserve">The </w:t>
            </w:r>
            <w:r w:rsidRPr="0088228C">
              <w:t>ESMO-MCBS score is based on a single-arm study – no comparator. No clinical advice sought.</w:t>
            </w:r>
          </w:p>
        </w:tc>
      </w:tr>
      <w:tr w:rsidR="009B6B07" w:rsidRPr="00A605FF" w14:paraId="10653A2C" w14:textId="77777777" w:rsidTr="00B521E2">
        <w:trPr>
          <w:cantSplit/>
        </w:trPr>
        <w:tc>
          <w:tcPr>
            <w:tcW w:w="1560" w:type="dxa"/>
            <w:tcBorders>
              <w:top w:val="single" w:sz="4" w:space="0" w:color="C2D9BA"/>
              <w:bottom w:val="single" w:sz="4" w:space="0" w:color="C2D9BA"/>
            </w:tcBorders>
            <w:shd w:val="clear" w:color="auto" w:fill="auto"/>
          </w:tcPr>
          <w:p w14:paraId="5A1AAF2B" w14:textId="77777777" w:rsidR="009B6B07" w:rsidRPr="00E444B3" w:rsidRDefault="009B6B07" w:rsidP="009B6B07">
            <w:pPr>
              <w:pStyle w:val="TableText"/>
            </w:pPr>
            <w:r w:rsidRPr="00E444B3">
              <w:t>Bevacizumab*</w:t>
            </w:r>
          </w:p>
        </w:tc>
        <w:tc>
          <w:tcPr>
            <w:tcW w:w="2835" w:type="dxa"/>
            <w:tcBorders>
              <w:top w:val="single" w:sz="4" w:space="0" w:color="C2D9BA"/>
              <w:bottom w:val="single" w:sz="4" w:space="0" w:color="C2D9BA"/>
            </w:tcBorders>
            <w:shd w:val="clear" w:color="auto" w:fill="auto"/>
          </w:tcPr>
          <w:p w14:paraId="4CBEDB3D" w14:textId="77777777" w:rsidR="009B6B07" w:rsidRDefault="009B6B07" w:rsidP="009B6B07">
            <w:pPr>
              <w:pStyle w:val="TableText"/>
              <w:ind w:right="113"/>
            </w:pPr>
            <w:r w:rsidRPr="00E444B3">
              <w:t>Cervical cancer</w:t>
            </w:r>
            <w:r>
              <w:t xml:space="preserve"> (persistent, recurrent or metastatic)</w:t>
            </w:r>
          </w:p>
          <w:p w14:paraId="50ED8C19" w14:textId="77777777" w:rsidR="009B6B07" w:rsidRPr="00E444B3" w:rsidRDefault="009B6B07" w:rsidP="009B6B07">
            <w:pPr>
              <w:pStyle w:val="TableText"/>
              <w:ind w:right="113"/>
            </w:pPr>
            <w:r>
              <w:t>Used in combination with chemotherapy</w:t>
            </w:r>
          </w:p>
        </w:tc>
        <w:tc>
          <w:tcPr>
            <w:tcW w:w="3685" w:type="dxa"/>
            <w:tcBorders>
              <w:top w:val="single" w:sz="4" w:space="0" w:color="C2D9BA"/>
              <w:bottom w:val="single" w:sz="4" w:space="0" w:color="C2D9BA"/>
            </w:tcBorders>
            <w:shd w:val="clear" w:color="auto" w:fill="auto"/>
          </w:tcPr>
          <w:p w14:paraId="44248C39" w14:textId="77777777" w:rsidR="009B6B07" w:rsidRDefault="009B6B07" w:rsidP="009B6B07">
            <w:pPr>
              <w:pStyle w:val="TableText"/>
            </w:pPr>
            <w:r w:rsidRPr="00945D13">
              <w:t>Gap – not substantial clinical benefit</w:t>
            </w:r>
          </w:p>
          <w:p w14:paraId="49244B30" w14:textId="77777777" w:rsidR="009B6B07" w:rsidRPr="0088228C" w:rsidRDefault="009B6B07" w:rsidP="009B6B07">
            <w:pPr>
              <w:pStyle w:val="TableText"/>
            </w:pPr>
            <w:r>
              <w:t xml:space="preserve">The </w:t>
            </w:r>
            <w:r w:rsidRPr="0088228C">
              <w:t>ESMO-MCBS comparator is chemotherapy. Funded in Aotearoa without restriction. No clinical advice sought.</w:t>
            </w:r>
          </w:p>
        </w:tc>
      </w:tr>
      <w:tr w:rsidR="009B6B07" w:rsidRPr="00A605FF" w14:paraId="5E8697F8" w14:textId="77777777" w:rsidTr="00B521E2">
        <w:trPr>
          <w:cantSplit/>
        </w:trPr>
        <w:tc>
          <w:tcPr>
            <w:tcW w:w="1560" w:type="dxa"/>
            <w:tcBorders>
              <w:top w:val="single" w:sz="4" w:space="0" w:color="C2D9BA"/>
              <w:bottom w:val="single" w:sz="4" w:space="0" w:color="C2D9BA"/>
            </w:tcBorders>
            <w:shd w:val="clear" w:color="auto" w:fill="auto"/>
          </w:tcPr>
          <w:p w14:paraId="16755346" w14:textId="77777777" w:rsidR="009B6B07" w:rsidRPr="00E444B3" w:rsidRDefault="009B6B07" w:rsidP="009B6B07">
            <w:pPr>
              <w:pStyle w:val="TableText"/>
            </w:pPr>
            <w:r w:rsidRPr="00E444B3">
              <w:t>Bevacizumab*</w:t>
            </w:r>
          </w:p>
        </w:tc>
        <w:tc>
          <w:tcPr>
            <w:tcW w:w="2835" w:type="dxa"/>
            <w:tcBorders>
              <w:top w:val="single" w:sz="4" w:space="0" w:color="C2D9BA"/>
              <w:bottom w:val="single" w:sz="4" w:space="0" w:color="C2D9BA"/>
            </w:tcBorders>
            <w:shd w:val="clear" w:color="auto" w:fill="auto"/>
          </w:tcPr>
          <w:p w14:paraId="2E085B21" w14:textId="77777777" w:rsidR="009B6B07" w:rsidRDefault="009B6B07" w:rsidP="009B6B07">
            <w:pPr>
              <w:pStyle w:val="TableText"/>
              <w:ind w:right="113"/>
            </w:pPr>
            <w:r w:rsidRPr="00E444B3" w:rsidDel="002B1A65">
              <w:t xml:space="preserve">Colorectal </w:t>
            </w:r>
            <w:r>
              <w:t>Bowel</w:t>
            </w:r>
            <w:r w:rsidRPr="00E444B3">
              <w:t xml:space="preserve"> cancer</w:t>
            </w:r>
            <w:r>
              <w:t xml:space="preserve"> (colorectal cancer, metastatic)</w:t>
            </w:r>
          </w:p>
          <w:p w14:paraId="119CCB65" w14:textId="77777777" w:rsidR="009B6B07" w:rsidRPr="00E444B3" w:rsidRDefault="009B6B07" w:rsidP="009B6B07">
            <w:pPr>
              <w:pStyle w:val="TableText"/>
              <w:ind w:right="113"/>
            </w:pPr>
            <w:r>
              <w:t>Used in combination with chemotherapy</w:t>
            </w:r>
          </w:p>
        </w:tc>
        <w:tc>
          <w:tcPr>
            <w:tcW w:w="3685" w:type="dxa"/>
            <w:tcBorders>
              <w:top w:val="single" w:sz="4" w:space="0" w:color="C2D9BA"/>
              <w:bottom w:val="single" w:sz="4" w:space="0" w:color="C2D9BA"/>
            </w:tcBorders>
            <w:shd w:val="clear" w:color="auto" w:fill="auto"/>
          </w:tcPr>
          <w:p w14:paraId="4733A354" w14:textId="77777777" w:rsidR="009B6B07" w:rsidRDefault="009B6B07" w:rsidP="009B6B07">
            <w:pPr>
              <w:pStyle w:val="TableText"/>
            </w:pPr>
            <w:r w:rsidRPr="00945D13">
              <w:t>Gap – not substantial clinical benefit</w:t>
            </w:r>
          </w:p>
          <w:p w14:paraId="230DABDA" w14:textId="77777777" w:rsidR="009B6B07" w:rsidRPr="00945D13" w:rsidRDefault="009B6B07" w:rsidP="009B6B07">
            <w:pPr>
              <w:pStyle w:val="TableText"/>
            </w:pPr>
            <w:r>
              <w:t xml:space="preserve">The </w:t>
            </w:r>
            <w:r w:rsidRPr="0088228C">
              <w:t>ESMO-MCBS comparator is chemotherapy. Funded in Aotearoa without restriction. No clinical advice sought.</w:t>
            </w:r>
          </w:p>
        </w:tc>
      </w:tr>
      <w:tr w:rsidR="009B6B07" w:rsidRPr="00A605FF" w14:paraId="48E643FF" w14:textId="77777777" w:rsidTr="00B521E2">
        <w:trPr>
          <w:cantSplit/>
        </w:trPr>
        <w:tc>
          <w:tcPr>
            <w:tcW w:w="1560" w:type="dxa"/>
            <w:tcBorders>
              <w:top w:val="single" w:sz="4" w:space="0" w:color="C2D9BA"/>
              <w:bottom w:val="single" w:sz="4" w:space="0" w:color="C2D9BA"/>
            </w:tcBorders>
            <w:shd w:val="clear" w:color="auto" w:fill="auto"/>
          </w:tcPr>
          <w:p w14:paraId="6C80F3C3" w14:textId="77777777" w:rsidR="009B6B07" w:rsidRPr="00E444B3" w:rsidRDefault="009B6B07" w:rsidP="009B6B07">
            <w:pPr>
              <w:pStyle w:val="TableText"/>
            </w:pPr>
            <w:r w:rsidRPr="00E444B3">
              <w:t>Bevacizumab*</w:t>
            </w:r>
          </w:p>
        </w:tc>
        <w:tc>
          <w:tcPr>
            <w:tcW w:w="2835" w:type="dxa"/>
            <w:tcBorders>
              <w:top w:val="single" w:sz="4" w:space="0" w:color="C2D9BA"/>
              <w:bottom w:val="single" w:sz="4" w:space="0" w:color="C2D9BA"/>
            </w:tcBorders>
            <w:shd w:val="clear" w:color="auto" w:fill="auto"/>
          </w:tcPr>
          <w:p w14:paraId="2A14648C" w14:textId="77777777" w:rsidR="009B6B07" w:rsidRDefault="009B6B07" w:rsidP="009B6B07">
            <w:pPr>
              <w:pStyle w:val="TableText"/>
              <w:ind w:right="113"/>
            </w:pPr>
            <w:r>
              <w:t>Kidney cancer (r</w:t>
            </w:r>
            <w:r w:rsidRPr="00E444B3">
              <w:t>enal cell carcinoma</w:t>
            </w:r>
            <w:r>
              <w:t xml:space="preserve"> (RCC), locally advanced or metastatic)</w:t>
            </w:r>
          </w:p>
          <w:p w14:paraId="6B620721" w14:textId="77777777" w:rsidR="009B6B07" w:rsidRPr="00E444B3" w:rsidRDefault="009B6B07" w:rsidP="009B6B07">
            <w:pPr>
              <w:pStyle w:val="TableText"/>
              <w:ind w:right="113"/>
            </w:pPr>
            <w:r>
              <w:t>Used in combination with interferon</w:t>
            </w:r>
          </w:p>
        </w:tc>
        <w:tc>
          <w:tcPr>
            <w:tcW w:w="3685" w:type="dxa"/>
            <w:tcBorders>
              <w:top w:val="single" w:sz="4" w:space="0" w:color="C2D9BA"/>
              <w:bottom w:val="single" w:sz="4" w:space="0" w:color="C2D9BA"/>
            </w:tcBorders>
            <w:shd w:val="clear" w:color="auto" w:fill="auto"/>
          </w:tcPr>
          <w:p w14:paraId="2AB866A4" w14:textId="77777777" w:rsidR="009B6B07" w:rsidRDefault="009B6B07" w:rsidP="009B6B07">
            <w:pPr>
              <w:pStyle w:val="TableText"/>
            </w:pPr>
            <w:r w:rsidRPr="00945D13">
              <w:t>Gap – not substantial clinical benefit</w:t>
            </w:r>
          </w:p>
          <w:p w14:paraId="7F46598C" w14:textId="77777777" w:rsidR="009B6B07" w:rsidRPr="00945D13" w:rsidRDefault="009B6B07" w:rsidP="009B6B07">
            <w:pPr>
              <w:pStyle w:val="TableText"/>
            </w:pPr>
            <w:r>
              <w:t xml:space="preserve">The </w:t>
            </w:r>
            <w:r w:rsidRPr="0088228C">
              <w:t>ESMO-MCBS comparator is interferon. Interferon alpha-2b is funded in Aotearoa without restriction. No clinical advice sought.</w:t>
            </w:r>
          </w:p>
        </w:tc>
      </w:tr>
      <w:tr w:rsidR="009B6B07" w:rsidRPr="00A605FF" w14:paraId="23B932B3" w14:textId="77777777" w:rsidTr="00B521E2">
        <w:trPr>
          <w:cantSplit/>
        </w:trPr>
        <w:tc>
          <w:tcPr>
            <w:tcW w:w="1560" w:type="dxa"/>
            <w:tcBorders>
              <w:top w:val="single" w:sz="4" w:space="0" w:color="C2D9BA"/>
              <w:bottom w:val="single" w:sz="4" w:space="0" w:color="C2D9BA"/>
            </w:tcBorders>
            <w:shd w:val="clear" w:color="auto" w:fill="auto"/>
          </w:tcPr>
          <w:p w14:paraId="44CB7C75" w14:textId="77777777" w:rsidR="009B6B07" w:rsidRPr="00E444B3" w:rsidRDefault="009B6B07" w:rsidP="009B6B07">
            <w:pPr>
              <w:pStyle w:val="TableText"/>
            </w:pPr>
            <w:r>
              <w:lastRenderedPageBreak/>
              <w:t>Bevacizumab*</w:t>
            </w:r>
          </w:p>
        </w:tc>
        <w:tc>
          <w:tcPr>
            <w:tcW w:w="2835" w:type="dxa"/>
            <w:tcBorders>
              <w:top w:val="single" w:sz="4" w:space="0" w:color="C2D9BA"/>
              <w:bottom w:val="single" w:sz="4" w:space="0" w:color="C2D9BA"/>
            </w:tcBorders>
            <w:shd w:val="clear" w:color="auto" w:fill="auto"/>
          </w:tcPr>
          <w:p w14:paraId="4D7260C8" w14:textId="77777777" w:rsidR="009B6B07" w:rsidRDefault="009B6B07" w:rsidP="009B6B07">
            <w:pPr>
              <w:pStyle w:val="TableText"/>
              <w:ind w:right="113"/>
            </w:pPr>
            <w:r w:rsidRPr="00E444B3">
              <w:t>Lung cancer (</w:t>
            </w:r>
            <w:r>
              <w:t>non-small cell lung cancer (</w:t>
            </w:r>
            <w:r w:rsidRPr="00E444B3">
              <w:t>NSCLC</w:t>
            </w:r>
            <w:r>
              <w:t>)</w:t>
            </w:r>
            <w:r w:rsidRPr="00E444B3">
              <w:t xml:space="preserve">, stage IV, </w:t>
            </w:r>
            <w:r>
              <w:t>first-line</w:t>
            </w:r>
            <w:r w:rsidRPr="00E444B3">
              <w:t>)</w:t>
            </w:r>
          </w:p>
          <w:p w14:paraId="37F7AF0D" w14:textId="77777777" w:rsidR="009B6B07" w:rsidRPr="00E444B3" w:rsidRDefault="009B6B07" w:rsidP="009B6B07">
            <w:pPr>
              <w:pStyle w:val="TableText"/>
              <w:ind w:right="113"/>
            </w:pPr>
            <w:r>
              <w:t>Used in combination with atezolizumab and chemotherapy</w:t>
            </w:r>
          </w:p>
        </w:tc>
        <w:tc>
          <w:tcPr>
            <w:tcW w:w="3685" w:type="dxa"/>
            <w:tcBorders>
              <w:top w:val="single" w:sz="4" w:space="0" w:color="C2D9BA"/>
              <w:bottom w:val="single" w:sz="4" w:space="0" w:color="C2D9BA"/>
            </w:tcBorders>
            <w:shd w:val="clear" w:color="auto" w:fill="auto"/>
          </w:tcPr>
          <w:p w14:paraId="340349C2" w14:textId="77777777" w:rsidR="009B6B07" w:rsidRDefault="009B6B07" w:rsidP="009B6B07">
            <w:pPr>
              <w:pStyle w:val="TableText"/>
            </w:pPr>
            <w:r w:rsidRPr="00945D13">
              <w:t xml:space="preserve">Gap – </w:t>
            </w:r>
            <w:r w:rsidRPr="00945D13">
              <w:rPr>
                <w:b/>
              </w:rPr>
              <w:t>substantial</w:t>
            </w:r>
            <w:r w:rsidRPr="00945D13">
              <w:t xml:space="preserve"> clinical benefit</w:t>
            </w:r>
          </w:p>
          <w:p w14:paraId="7D316E9D" w14:textId="77777777" w:rsidR="009B6B07" w:rsidRDefault="009B6B07" w:rsidP="009B6B07">
            <w:pPr>
              <w:pStyle w:val="TableText"/>
            </w:pPr>
            <w:r>
              <w:t xml:space="preserve">The </w:t>
            </w:r>
            <w:r w:rsidRPr="0088228C">
              <w:t xml:space="preserve">ESMO-MCBS score is based on a comparator that is not funded for this indication in Aotearoa – bevacizumab (used with chemotherapy). Clinical advice indicated this regimen is considered likely to score at least 4 </w:t>
            </w:r>
            <w:r>
              <w:t>when compared with</w:t>
            </w:r>
            <w:r w:rsidRPr="0088228C">
              <w:t xml:space="preserve"> the current standard of care in Aotearoa – chemotherapy</w:t>
            </w:r>
            <w:r>
              <w:t>.</w:t>
            </w:r>
          </w:p>
          <w:p w14:paraId="6C6D86C0" w14:textId="77777777" w:rsidR="009B6B07" w:rsidRDefault="009B6B07" w:rsidP="009B6B07">
            <w:pPr>
              <w:pStyle w:val="TableText"/>
            </w:pPr>
            <w:r w:rsidRPr="0088228C">
              <w:t>Other immune checkpoint inhibitor options exist as alternative options to fill this gap</w:t>
            </w:r>
            <w:r>
              <w:t>.</w:t>
            </w:r>
          </w:p>
          <w:p w14:paraId="40D76E8F" w14:textId="77777777" w:rsidR="009B6B07" w:rsidRPr="00945D13" w:rsidRDefault="009B6B07" w:rsidP="00607890">
            <w:pPr>
              <w:pStyle w:val="TableText"/>
            </w:pPr>
            <w:r w:rsidRPr="0088228C">
              <w:t xml:space="preserve">See </w:t>
            </w:r>
            <w:hyperlink w:anchor="Appendix_7_Table_7point1" w:history="1">
              <w:r w:rsidR="00607890" w:rsidRPr="00607890">
                <w:rPr>
                  <w:rStyle w:val="Hyperlink"/>
                </w:rPr>
                <w:t>Appendix 7, Table 7.1</w:t>
              </w:r>
            </w:hyperlink>
            <w:r w:rsidRPr="0088228C">
              <w:t xml:space="preserve"> for more information</w:t>
            </w:r>
            <w:r>
              <w:t>.</w:t>
            </w:r>
          </w:p>
        </w:tc>
      </w:tr>
      <w:tr w:rsidR="009B6B07" w:rsidRPr="00A605FF" w14:paraId="6767D2DB" w14:textId="77777777" w:rsidTr="00B521E2">
        <w:trPr>
          <w:cantSplit/>
        </w:trPr>
        <w:tc>
          <w:tcPr>
            <w:tcW w:w="1560" w:type="dxa"/>
            <w:tcBorders>
              <w:top w:val="single" w:sz="4" w:space="0" w:color="C2D9BA"/>
              <w:bottom w:val="single" w:sz="4" w:space="0" w:color="C2D9BA"/>
            </w:tcBorders>
            <w:shd w:val="clear" w:color="auto" w:fill="auto"/>
          </w:tcPr>
          <w:p w14:paraId="12DAD333" w14:textId="77777777" w:rsidR="009B6B07" w:rsidRPr="00E444B3" w:rsidRDefault="009B6B07" w:rsidP="009B6B07">
            <w:pPr>
              <w:pStyle w:val="TableText"/>
            </w:pPr>
            <w:r w:rsidRPr="00E444B3">
              <w:t>Brigatinib</w:t>
            </w:r>
          </w:p>
        </w:tc>
        <w:tc>
          <w:tcPr>
            <w:tcW w:w="2835" w:type="dxa"/>
            <w:tcBorders>
              <w:top w:val="single" w:sz="4" w:space="0" w:color="C2D9BA"/>
              <w:bottom w:val="single" w:sz="4" w:space="0" w:color="C2D9BA"/>
            </w:tcBorders>
            <w:shd w:val="clear" w:color="auto" w:fill="auto"/>
          </w:tcPr>
          <w:p w14:paraId="6FE4FAA8" w14:textId="77777777" w:rsidR="009B6B07" w:rsidRPr="00E444B3" w:rsidRDefault="009B6B07" w:rsidP="009B6B07">
            <w:pPr>
              <w:pStyle w:val="TableText"/>
              <w:ind w:right="113"/>
            </w:pPr>
            <w:r w:rsidRPr="00E444B3">
              <w:t>Lung cancer (</w:t>
            </w:r>
            <w:r>
              <w:t>non-small cell lung cancer (</w:t>
            </w:r>
            <w:r w:rsidRPr="00E444B3">
              <w:t>NSCLC</w:t>
            </w:r>
            <w:r>
              <w:t>)</w:t>
            </w:r>
            <w:r w:rsidRPr="00E444B3">
              <w:t>,</w:t>
            </w:r>
            <w:r>
              <w:t xml:space="preserve"> stage IIb or IV,</w:t>
            </w:r>
            <w:r w:rsidRPr="00E444B3">
              <w:t xml:space="preserve"> ALK +ve)</w:t>
            </w:r>
          </w:p>
        </w:tc>
        <w:tc>
          <w:tcPr>
            <w:tcW w:w="3685" w:type="dxa"/>
            <w:tcBorders>
              <w:top w:val="single" w:sz="4" w:space="0" w:color="C2D9BA"/>
              <w:bottom w:val="single" w:sz="4" w:space="0" w:color="C2D9BA"/>
            </w:tcBorders>
            <w:shd w:val="clear" w:color="auto" w:fill="auto"/>
          </w:tcPr>
          <w:p w14:paraId="3E70E289" w14:textId="77777777" w:rsidR="009B6B07" w:rsidRDefault="009B6B07" w:rsidP="009B6B07">
            <w:pPr>
              <w:pStyle w:val="TableText"/>
            </w:pPr>
            <w:r w:rsidRPr="00945D13">
              <w:t>Gap – not substantial clinical benefit</w:t>
            </w:r>
          </w:p>
          <w:p w14:paraId="0BAF8401" w14:textId="77777777" w:rsidR="009B6B07" w:rsidRPr="00945D13" w:rsidRDefault="009B6B07" w:rsidP="009B6B07">
            <w:pPr>
              <w:pStyle w:val="TableText"/>
            </w:pPr>
            <w:r>
              <w:t xml:space="preserve">The </w:t>
            </w:r>
            <w:r w:rsidRPr="0088228C">
              <w:t>ESMO-MCBS score is based on a single-arm study – no comparator. No clinical advice sought.</w:t>
            </w:r>
          </w:p>
        </w:tc>
      </w:tr>
      <w:tr w:rsidR="009B6B07" w:rsidRPr="00A605FF" w14:paraId="17561C98" w14:textId="77777777" w:rsidTr="00B521E2">
        <w:trPr>
          <w:cantSplit/>
        </w:trPr>
        <w:tc>
          <w:tcPr>
            <w:tcW w:w="1560" w:type="dxa"/>
            <w:tcBorders>
              <w:top w:val="single" w:sz="4" w:space="0" w:color="C2D9BA"/>
              <w:bottom w:val="single" w:sz="4" w:space="0" w:color="C2D9BA"/>
            </w:tcBorders>
            <w:shd w:val="clear" w:color="auto" w:fill="auto"/>
          </w:tcPr>
          <w:p w14:paraId="15111A1E" w14:textId="77777777" w:rsidR="009B6B07" w:rsidRPr="00E444B3" w:rsidRDefault="009B6B07" w:rsidP="009B6B07">
            <w:pPr>
              <w:pStyle w:val="TableText"/>
            </w:pPr>
            <w:r w:rsidRPr="00E444B3">
              <w:t>Cabazitaxel</w:t>
            </w:r>
          </w:p>
        </w:tc>
        <w:tc>
          <w:tcPr>
            <w:tcW w:w="2835" w:type="dxa"/>
            <w:tcBorders>
              <w:top w:val="single" w:sz="4" w:space="0" w:color="C2D9BA"/>
              <w:bottom w:val="single" w:sz="4" w:space="0" w:color="C2D9BA"/>
            </w:tcBorders>
            <w:shd w:val="clear" w:color="auto" w:fill="auto"/>
          </w:tcPr>
          <w:p w14:paraId="4C239C5B" w14:textId="77777777" w:rsidR="009B6B07" w:rsidRDefault="009B6B07" w:rsidP="009B6B07">
            <w:pPr>
              <w:pStyle w:val="TableText"/>
              <w:ind w:right="113"/>
            </w:pPr>
            <w:r w:rsidRPr="00E444B3">
              <w:t>Prostate cancer</w:t>
            </w:r>
            <w:r>
              <w:t xml:space="preserve"> (metastatic, castration-resistant, second</w:t>
            </w:r>
            <w:r>
              <w:noBreakHyphen/>
              <w:t>line)</w:t>
            </w:r>
          </w:p>
          <w:p w14:paraId="0D323663" w14:textId="77777777" w:rsidR="009B6B07" w:rsidRPr="00E444B3" w:rsidRDefault="009B6B07" w:rsidP="009B6B07">
            <w:pPr>
              <w:pStyle w:val="TableText"/>
              <w:ind w:right="113"/>
            </w:pPr>
            <w:r>
              <w:t>Used in combination with prednisolone</w:t>
            </w:r>
          </w:p>
        </w:tc>
        <w:tc>
          <w:tcPr>
            <w:tcW w:w="3685" w:type="dxa"/>
            <w:tcBorders>
              <w:top w:val="single" w:sz="4" w:space="0" w:color="C2D9BA"/>
              <w:bottom w:val="single" w:sz="4" w:space="0" w:color="C2D9BA"/>
            </w:tcBorders>
            <w:shd w:val="clear" w:color="auto" w:fill="auto"/>
          </w:tcPr>
          <w:p w14:paraId="5A5D39F2" w14:textId="77777777" w:rsidR="009B6B07" w:rsidRDefault="009B6B07" w:rsidP="009B6B07">
            <w:pPr>
              <w:pStyle w:val="TableText"/>
            </w:pPr>
            <w:r w:rsidRPr="00945D13">
              <w:t>Gap – not substantial clinical benefit</w:t>
            </w:r>
          </w:p>
          <w:p w14:paraId="4584EBC7" w14:textId="77777777" w:rsidR="009B6B07" w:rsidRPr="00945D13" w:rsidRDefault="009B6B07" w:rsidP="009B6B07">
            <w:pPr>
              <w:pStyle w:val="TableText"/>
            </w:pPr>
            <w:r>
              <w:t xml:space="preserve">The </w:t>
            </w:r>
            <w:r w:rsidRPr="0088228C">
              <w:t>ESMO-MCBS comparator is abiraterone or enzalutamide. Abiraterone is funded in Aotearoa for this indication. No clinical advice sought.</w:t>
            </w:r>
          </w:p>
        </w:tc>
      </w:tr>
      <w:tr w:rsidR="009B6B07" w:rsidRPr="00A605FF" w14:paraId="406020AF" w14:textId="77777777" w:rsidTr="00B521E2">
        <w:trPr>
          <w:cantSplit/>
        </w:trPr>
        <w:tc>
          <w:tcPr>
            <w:tcW w:w="1560" w:type="dxa"/>
            <w:tcBorders>
              <w:top w:val="single" w:sz="4" w:space="0" w:color="C2D9BA"/>
              <w:bottom w:val="single" w:sz="4" w:space="0" w:color="C2D9BA"/>
            </w:tcBorders>
            <w:shd w:val="clear" w:color="auto" w:fill="auto"/>
          </w:tcPr>
          <w:p w14:paraId="5D93AAE4" w14:textId="77777777" w:rsidR="009B6B07" w:rsidRPr="00E444B3" w:rsidRDefault="00607890" w:rsidP="009B6B07">
            <w:pPr>
              <w:pStyle w:val="TableText"/>
            </w:pPr>
            <w:r>
              <w:t>Cabozantinib</w:t>
            </w:r>
          </w:p>
        </w:tc>
        <w:tc>
          <w:tcPr>
            <w:tcW w:w="2835" w:type="dxa"/>
            <w:tcBorders>
              <w:top w:val="single" w:sz="4" w:space="0" w:color="C2D9BA"/>
              <w:bottom w:val="single" w:sz="4" w:space="0" w:color="C2D9BA"/>
            </w:tcBorders>
            <w:shd w:val="clear" w:color="auto" w:fill="auto"/>
          </w:tcPr>
          <w:p w14:paraId="050FC519" w14:textId="77777777" w:rsidR="009B6B07" w:rsidRPr="00E444B3" w:rsidRDefault="009B6B07" w:rsidP="009B6B07">
            <w:pPr>
              <w:pStyle w:val="TableText"/>
              <w:ind w:right="113"/>
            </w:pPr>
            <w:r>
              <w:t>Kidney cancer</w:t>
            </w:r>
            <w:r w:rsidRPr="00E444B3">
              <w:t xml:space="preserve"> (</w:t>
            </w:r>
            <w:r>
              <w:t>renal cell carcinoma (RCC)</w:t>
            </w:r>
            <w:r w:rsidRPr="00E444B3">
              <w:t xml:space="preserve">, </w:t>
            </w:r>
            <w:r>
              <w:t>clear cell variant, stage IV, intermediate-poor risk, first-line</w:t>
            </w:r>
            <w:r w:rsidRPr="00E444B3">
              <w:t>)</w:t>
            </w:r>
          </w:p>
        </w:tc>
        <w:tc>
          <w:tcPr>
            <w:tcW w:w="3685" w:type="dxa"/>
            <w:tcBorders>
              <w:top w:val="single" w:sz="4" w:space="0" w:color="C2D9BA"/>
              <w:bottom w:val="single" w:sz="4" w:space="0" w:color="C2D9BA"/>
            </w:tcBorders>
            <w:shd w:val="clear" w:color="auto" w:fill="auto"/>
          </w:tcPr>
          <w:p w14:paraId="49090282" w14:textId="77777777" w:rsidR="009B6B07" w:rsidRDefault="009B6B07" w:rsidP="009B6B07">
            <w:pPr>
              <w:pStyle w:val="TableText"/>
            </w:pPr>
            <w:r w:rsidRPr="00945D13">
              <w:t>Gap – not substantial clinical benefit</w:t>
            </w:r>
          </w:p>
          <w:p w14:paraId="79B2186E" w14:textId="77777777" w:rsidR="009B6B07" w:rsidRPr="0088228C" w:rsidRDefault="009B6B07" w:rsidP="009B6B07">
            <w:pPr>
              <w:pStyle w:val="TableText"/>
            </w:pPr>
            <w:r>
              <w:t xml:space="preserve">The </w:t>
            </w:r>
            <w:r w:rsidRPr="0088228C">
              <w:t>ESMO-MCBS comparator is sunitinib – funded in Aotearoa for this indication. No clinical advice sought.</w:t>
            </w:r>
          </w:p>
        </w:tc>
      </w:tr>
      <w:tr w:rsidR="009B6B07" w:rsidRPr="00A605FF" w14:paraId="3A0BFB95" w14:textId="77777777" w:rsidTr="00B521E2">
        <w:trPr>
          <w:cantSplit/>
        </w:trPr>
        <w:tc>
          <w:tcPr>
            <w:tcW w:w="1560" w:type="dxa"/>
            <w:tcBorders>
              <w:top w:val="single" w:sz="4" w:space="0" w:color="C2D9BA"/>
              <w:bottom w:val="single" w:sz="4" w:space="0" w:color="C2D9BA"/>
            </w:tcBorders>
            <w:shd w:val="clear" w:color="auto" w:fill="auto"/>
          </w:tcPr>
          <w:p w14:paraId="42D2A2A1" w14:textId="77777777" w:rsidR="009B6B07" w:rsidRPr="00E444B3" w:rsidRDefault="009B6B07" w:rsidP="009B6B07">
            <w:pPr>
              <w:pStyle w:val="TableText"/>
            </w:pPr>
            <w:r w:rsidRPr="00E444B3">
              <w:t>Cabozantinib</w:t>
            </w:r>
          </w:p>
        </w:tc>
        <w:tc>
          <w:tcPr>
            <w:tcW w:w="2835" w:type="dxa"/>
            <w:tcBorders>
              <w:top w:val="single" w:sz="4" w:space="0" w:color="C2D9BA"/>
              <w:bottom w:val="single" w:sz="4" w:space="0" w:color="C2D9BA"/>
            </w:tcBorders>
            <w:shd w:val="clear" w:color="auto" w:fill="auto"/>
          </w:tcPr>
          <w:p w14:paraId="25B5D827" w14:textId="77777777" w:rsidR="009B6B07" w:rsidRPr="00E444B3" w:rsidRDefault="009B6B07" w:rsidP="009B6B07">
            <w:pPr>
              <w:pStyle w:val="TableText"/>
              <w:ind w:right="113"/>
            </w:pPr>
            <w:r>
              <w:t>Kidney cancer (renal cell carcinoma (RCC), clear cell variant, stage IV, intermediate-poor risk, second-line)</w:t>
            </w:r>
          </w:p>
        </w:tc>
        <w:tc>
          <w:tcPr>
            <w:tcW w:w="3685" w:type="dxa"/>
            <w:tcBorders>
              <w:top w:val="single" w:sz="4" w:space="0" w:color="C2D9BA"/>
              <w:bottom w:val="single" w:sz="4" w:space="0" w:color="C2D9BA"/>
            </w:tcBorders>
            <w:shd w:val="clear" w:color="auto" w:fill="auto"/>
          </w:tcPr>
          <w:p w14:paraId="4C320597" w14:textId="77777777" w:rsidR="009B6B07" w:rsidRDefault="009B6B07" w:rsidP="009B6B07">
            <w:pPr>
              <w:pStyle w:val="TableText"/>
            </w:pPr>
            <w:r w:rsidRPr="00945D13">
              <w:t>Gap –uncategorised (unable to determine relevant ESMO-MCBS score)</w:t>
            </w:r>
          </w:p>
          <w:p w14:paraId="360D5F40" w14:textId="77777777" w:rsidR="009B6B07" w:rsidRPr="00607890" w:rsidRDefault="009B6B07" w:rsidP="009B6B07">
            <w:pPr>
              <w:pStyle w:val="TableText"/>
              <w:rPr>
                <w:spacing w:val="-2"/>
              </w:rPr>
            </w:pPr>
            <w:r w:rsidRPr="00607890">
              <w:rPr>
                <w:spacing w:val="-2"/>
              </w:rPr>
              <w:t>The ESMO-MCBS comparator is everolimus – not funded in Aotearoa for this indication. Standard care is best supportive care. Clinical advice was inconclusive. Unable to identify relevant data to inform whether this score should be upgraded for the Aotearoa clinical context.</w:t>
            </w:r>
          </w:p>
        </w:tc>
      </w:tr>
      <w:tr w:rsidR="009B6B07" w:rsidRPr="00A605FF" w14:paraId="56885ED5" w14:textId="77777777" w:rsidTr="00B521E2">
        <w:trPr>
          <w:cantSplit/>
        </w:trPr>
        <w:tc>
          <w:tcPr>
            <w:tcW w:w="1560" w:type="dxa"/>
            <w:tcBorders>
              <w:top w:val="single" w:sz="4" w:space="0" w:color="C2D9BA"/>
              <w:bottom w:val="single" w:sz="4" w:space="0" w:color="C2D9BA"/>
            </w:tcBorders>
            <w:shd w:val="clear" w:color="auto" w:fill="auto"/>
          </w:tcPr>
          <w:p w14:paraId="78BF5B17" w14:textId="77777777" w:rsidR="009B6B07" w:rsidRPr="00E444B3" w:rsidRDefault="009B6B07" w:rsidP="009B6B07">
            <w:pPr>
              <w:pStyle w:val="TableText"/>
            </w:pPr>
            <w:r w:rsidRPr="00E444B3">
              <w:t>Crizotinib</w:t>
            </w:r>
          </w:p>
        </w:tc>
        <w:tc>
          <w:tcPr>
            <w:tcW w:w="2835" w:type="dxa"/>
            <w:tcBorders>
              <w:top w:val="single" w:sz="4" w:space="0" w:color="C2D9BA"/>
              <w:bottom w:val="single" w:sz="4" w:space="0" w:color="C2D9BA"/>
            </w:tcBorders>
            <w:shd w:val="clear" w:color="auto" w:fill="auto"/>
          </w:tcPr>
          <w:p w14:paraId="60168AFF" w14:textId="77777777" w:rsidR="009B6B07" w:rsidRPr="00E444B3" w:rsidRDefault="009B6B07" w:rsidP="009B6B07">
            <w:pPr>
              <w:pStyle w:val="TableText"/>
              <w:ind w:right="113"/>
            </w:pPr>
            <w:r w:rsidRPr="00E444B3">
              <w:t>Lung cancer (</w:t>
            </w:r>
            <w:r>
              <w:t>non-small cell lung cancer (</w:t>
            </w:r>
            <w:r w:rsidRPr="00E444B3">
              <w:t>NSCLC</w:t>
            </w:r>
            <w:r>
              <w:t>)</w:t>
            </w:r>
            <w:r w:rsidRPr="00E444B3">
              <w:t xml:space="preserve">, </w:t>
            </w:r>
            <w:r>
              <w:t xml:space="preserve">stage IIIb or IV, </w:t>
            </w:r>
            <w:r w:rsidRPr="00E444B3">
              <w:t>ROS-1 +ve)</w:t>
            </w:r>
          </w:p>
        </w:tc>
        <w:tc>
          <w:tcPr>
            <w:tcW w:w="3685" w:type="dxa"/>
            <w:tcBorders>
              <w:top w:val="single" w:sz="4" w:space="0" w:color="C2D9BA"/>
              <w:bottom w:val="single" w:sz="4" w:space="0" w:color="C2D9BA"/>
            </w:tcBorders>
            <w:shd w:val="clear" w:color="auto" w:fill="auto"/>
          </w:tcPr>
          <w:p w14:paraId="5BDF4C66" w14:textId="77777777" w:rsidR="009B6B07" w:rsidRDefault="009B6B07" w:rsidP="009B6B07">
            <w:pPr>
              <w:pStyle w:val="TableText"/>
            </w:pPr>
            <w:r w:rsidRPr="00945D13">
              <w:t>Gap – not substantial clinical benefit</w:t>
            </w:r>
          </w:p>
          <w:p w14:paraId="2082D73F" w14:textId="77777777" w:rsidR="009B6B07" w:rsidRPr="00945D13" w:rsidRDefault="009B6B07" w:rsidP="009B6B07">
            <w:pPr>
              <w:pStyle w:val="TableText"/>
            </w:pPr>
            <w:r>
              <w:t xml:space="preserve">The </w:t>
            </w:r>
            <w:r w:rsidRPr="0088228C">
              <w:t>ESMO-MCBS score is based on a single-arm study – no comparator. No clinical advice sought.</w:t>
            </w:r>
          </w:p>
        </w:tc>
      </w:tr>
      <w:tr w:rsidR="009B6B07" w:rsidRPr="00A605FF" w14:paraId="7E02AEE1" w14:textId="77777777" w:rsidTr="00B521E2">
        <w:trPr>
          <w:cantSplit/>
        </w:trPr>
        <w:tc>
          <w:tcPr>
            <w:tcW w:w="1560" w:type="dxa"/>
            <w:tcBorders>
              <w:top w:val="single" w:sz="4" w:space="0" w:color="C2D9BA"/>
              <w:bottom w:val="single" w:sz="4" w:space="0" w:color="C2D9BA"/>
            </w:tcBorders>
            <w:shd w:val="clear" w:color="auto" w:fill="auto"/>
          </w:tcPr>
          <w:p w14:paraId="48AAEE24" w14:textId="77777777" w:rsidR="009B6B07" w:rsidRPr="00E444B3" w:rsidRDefault="009B6B07" w:rsidP="009B6B07">
            <w:pPr>
              <w:pStyle w:val="TableText"/>
            </w:pPr>
            <w:r w:rsidRPr="00E444B3">
              <w:t>Entrectinib</w:t>
            </w:r>
          </w:p>
        </w:tc>
        <w:tc>
          <w:tcPr>
            <w:tcW w:w="2835" w:type="dxa"/>
            <w:tcBorders>
              <w:top w:val="single" w:sz="4" w:space="0" w:color="C2D9BA"/>
              <w:bottom w:val="single" w:sz="4" w:space="0" w:color="C2D9BA"/>
            </w:tcBorders>
            <w:shd w:val="clear" w:color="auto" w:fill="auto"/>
          </w:tcPr>
          <w:p w14:paraId="607EAFF8" w14:textId="77777777" w:rsidR="009B6B07" w:rsidRPr="00E444B3" w:rsidRDefault="009B6B07" w:rsidP="009B6B07">
            <w:pPr>
              <w:pStyle w:val="TableText"/>
              <w:ind w:right="113"/>
            </w:pPr>
            <w:r w:rsidRPr="00E444B3">
              <w:t>Lung cancer (</w:t>
            </w:r>
            <w:r>
              <w:t>non-small cell lung cancer (</w:t>
            </w:r>
            <w:r w:rsidRPr="00E444B3">
              <w:t>NSCLC</w:t>
            </w:r>
            <w:r>
              <w:t>)</w:t>
            </w:r>
            <w:r w:rsidRPr="00E444B3">
              <w:t xml:space="preserve">, </w:t>
            </w:r>
            <w:r>
              <w:t xml:space="preserve">stage IIIb or IV, </w:t>
            </w:r>
            <w:r w:rsidRPr="00E444B3">
              <w:t>ROS-1 +ve)</w:t>
            </w:r>
          </w:p>
        </w:tc>
        <w:tc>
          <w:tcPr>
            <w:tcW w:w="3685" w:type="dxa"/>
            <w:tcBorders>
              <w:top w:val="single" w:sz="4" w:space="0" w:color="C2D9BA"/>
              <w:bottom w:val="single" w:sz="4" w:space="0" w:color="C2D9BA"/>
            </w:tcBorders>
            <w:shd w:val="clear" w:color="auto" w:fill="auto"/>
          </w:tcPr>
          <w:p w14:paraId="7731B593" w14:textId="77777777" w:rsidR="009B6B07" w:rsidRDefault="009B6B07" w:rsidP="009B6B07">
            <w:pPr>
              <w:pStyle w:val="TableText"/>
            </w:pPr>
            <w:r w:rsidRPr="00945D13">
              <w:t>Gap – not substantial clinical benefit</w:t>
            </w:r>
          </w:p>
          <w:p w14:paraId="490FCB9A" w14:textId="77777777" w:rsidR="009B6B07" w:rsidRPr="00945D13" w:rsidRDefault="009B6B07" w:rsidP="009B6B07">
            <w:pPr>
              <w:pStyle w:val="TableText"/>
            </w:pPr>
            <w:r>
              <w:t xml:space="preserve">The </w:t>
            </w:r>
            <w:r w:rsidRPr="0088228C">
              <w:t>ESMO-MCBS score is based on a single-arm study – no comparator. No clinical advice sought.</w:t>
            </w:r>
          </w:p>
        </w:tc>
      </w:tr>
      <w:tr w:rsidR="009B6B07" w:rsidRPr="00A605FF" w14:paraId="681F78DF" w14:textId="77777777" w:rsidTr="00B521E2">
        <w:trPr>
          <w:cantSplit/>
        </w:trPr>
        <w:tc>
          <w:tcPr>
            <w:tcW w:w="1560" w:type="dxa"/>
            <w:tcBorders>
              <w:top w:val="single" w:sz="4" w:space="0" w:color="C2D9BA"/>
              <w:bottom w:val="single" w:sz="4" w:space="0" w:color="C2D9BA"/>
            </w:tcBorders>
            <w:shd w:val="clear" w:color="auto" w:fill="auto"/>
          </w:tcPr>
          <w:p w14:paraId="47FBE912" w14:textId="77777777" w:rsidR="009B6B07" w:rsidRPr="00E444B3" w:rsidRDefault="009B6B07" w:rsidP="009B6B07">
            <w:pPr>
              <w:pStyle w:val="TableText"/>
            </w:pPr>
            <w:r w:rsidRPr="00E444B3">
              <w:t>Eribulin</w:t>
            </w:r>
          </w:p>
        </w:tc>
        <w:tc>
          <w:tcPr>
            <w:tcW w:w="2835" w:type="dxa"/>
            <w:tcBorders>
              <w:top w:val="single" w:sz="4" w:space="0" w:color="C2D9BA"/>
              <w:bottom w:val="single" w:sz="4" w:space="0" w:color="C2D9BA"/>
            </w:tcBorders>
            <w:shd w:val="clear" w:color="auto" w:fill="auto"/>
          </w:tcPr>
          <w:p w14:paraId="262930C8" w14:textId="77777777" w:rsidR="009B6B07" w:rsidRPr="00E444B3" w:rsidRDefault="009B6B07" w:rsidP="009B6B07">
            <w:pPr>
              <w:pStyle w:val="TableText"/>
              <w:ind w:right="113"/>
            </w:pPr>
            <w:r w:rsidRPr="00E444B3">
              <w:t>Liposarcoma</w:t>
            </w:r>
            <w:r>
              <w:t xml:space="preserve"> (metastatic or unresectable, second-line)</w:t>
            </w:r>
          </w:p>
        </w:tc>
        <w:tc>
          <w:tcPr>
            <w:tcW w:w="3685" w:type="dxa"/>
            <w:tcBorders>
              <w:top w:val="single" w:sz="4" w:space="0" w:color="C2D9BA"/>
              <w:bottom w:val="single" w:sz="4" w:space="0" w:color="C2D9BA"/>
            </w:tcBorders>
            <w:shd w:val="clear" w:color="auto" w:fill="auto"/>
          </w:tcPr>
          <w:p w14:paraId="154128F3" w14:textId="77777777" w:rsidR="009B6B07" w:rsidRDefault="009B6B07" w:rsidP="009B6B07">
            <w:pPr>
              <w:pStyle w:val="TableText"/>
            </w:pPr>
            <w:r w:rsidRPr="00945D13">
              <w:t>Gap – not substantial clinical benefit</w:t>
            </w:r>
          </w:p>
          <w:p w14:paraId="7FCC9FE8" w14:textId="77777777" w:rsidR="009B6B07" w:rsidRPr="0088228C" w:rsidRDefault="009B6B07" w:rsidP="009B6B07">
            <w:pPr>
              <w:pStyle w:val="TableText"/>
            </w:pPr>
            <w:r>
              <w:t xml:space="preserve">The </w:t>
            </w:r>
            <w:r w:rsidRPr="0088228C">
              <w:t>ESMO-MCBS comparator is dacarbazine</w:t>
            </w:r>
            <w:r>
              <w:t>,</w:t>
            </w:r>
            <w:r w:rsidRPr="0088228C">
              <w:t xml:space="preserve"> </w:t>
            </w:r>
            <w:r>
              <w:t xml:space="preserve">which is </w:t>
            </w:r>
            <w:r w:rsidRPr="0088228C">
              <w:t>funded without restriction in Aotearoa. No clinical advice sought.</w:t>
            </w:r>
          </w:p>
        </w:tc>
      </w:tr>
      <w:tr w:rsidR="009B6B07" w:rsidRPr="00A605FF" w14:paraId="566E7C0B" w14:textId="77777777" w:rsidTr="00B521E2">
        <w:trPr>
          <w:cantSplit/>
        </w:trPr>
        <w:tc>
          <w:tcPr>
            <w:tcW w:w="1560" w:type="dxa"/>
            <w:tcBorders>
              <w:top w:val="single" w:sz="4" w:space="0" w:color="C2D9BA"/>
              <w:bottom w:val="single" w:sz="4" w:space="0" w:color="C2D9BA"/>
            </w:tcBorders>
            <w:shd w:val="clear" w:color="auto" w:fill="auto"/>
          </w:tcPr>
          <w:p w14:paraId="1A6CEAF1" w14:textId="77777777" w:rsidR="009B6B07" w:rsidRPr="00E444B3" w:rsidRDefault="009B6B07" w:rsidP="009B6B07">
            <w:pPr>
              <w:pStyle w:val="TableText"/>
            </w:pPr>
            <w:r w:rsidRPr="00E444B3">
              <w:lastRenderedPageBreak/>
              <w:t>Everolimus</w:t>
            </w:r>
          </w:p>
        </w:tc>
        <w:tc>
          <w:tcPr>
            <w:tcW w:w="2835" w:type="dxa"/>
            <w:tcBorders>
              <w:top w:val="single" w:sz="4" w:space="0" w:color="C2D9BA"/>
              <w:bottom w:val="single" w:sz="4" w:space="0" w:color="C2D9BA"/>
            </w:tcBorders>
            <w:shd w:val="clear" w:color="auto" w:fill="auto"/>
          </w:tcPr>
          <w:p w14:paraId="5F7DD08D" w14:textId="77777777" w:rsidR="009B6B07" w:rsidRPr="00E444B3" w:rsidRDefault="009B6B07" w:rsidP="009B6B07">
            <w:pPr>
              <w:pStyle w:val="TableText"/>
              <w:ind w:right="113"/>
            </w:pPr>
            <w:r w:rsidRPr="00E444B3">
              <w:t>Neuroendocrine cancer</w:t>
            </w:r>
            <w:r>
              <w:t xml:space="preserve"> (metastatic or unresectable, symptomatic or progressive disease)</w:t>
            </w:r>
          </w:p>
        </w:tc>
        <w:tc>
          <w:tcPr>
            <w:tcW w:w="3685" w:type="dxa"/>
            <w:tcBorders>
              <w:top w:val="single" w:sz="4" w:space="0" w:color="C2D9BA"/>
              <w:bottom w:val="single" w:sz="4" w:space="0" w:color="C2D9BA"/>
            </w:tcBorders>
            <w:shd w:val="clear" w:color="auto" w:fill="auto"/>
          </w:tcPr>
          <w:p w14:paraId="78B6A97B" w14:textId="77777777" w:rsidR="009B6B07" w:rsidRDefault="009B6B07" w:rsidP="009B6B07">
            <w:pPr>
              <w:pStyle w:val="TableText"/>
            </w:pPr>
            <w:r w:rsidRPr="00945D13">
              <w:t>Gap – not substantial clinical benefit</w:t>
            </w:r>
          </w:p>
          <w:p w14:paraId="1290C1FB" w14:textId="77777777" w:rsidR="009B6B07" w:rsidRPr="0088228C" w:rsidRDefault="009B6B07" w:rsidP="009B6B07">
            <w:pPr>
              <w:pStyle w:val="TableText"/>
            </w:pPr>
            <w:r>
              <w:t xml:space="preserve">The </w:t>
            </w:r>
            <w:r w:rsidRPr="0088228C">
              <w:t>ESMO-MCBS comparator is placebo. No clinical advice sought.</w:t>
            </w:r>
          </w:p>
        </w:tc>
      </w:tr>
      <w:tr w:rsidR="009B6B07" w:rsidRPr="00A605FF" w14:paraId="38AFC480" w14:textId="77777777" w:rsidTr="00B521E2">
        <w:trPr>
          <w:cantSplit/>
        </w:trPr>
        <w:tc>
          <w:tcPr>
            <w:tcW w:w="1560" w:type="dxa"/>
            <w:tcBorders>
              <w:top w:val="single" w:sz="4" w:space="0" w:color="C2D9BA"/>
              <w:bottom w:val="single" w:sz="4" w:space="0" w:color="C2D9BA"/>
            </w:tcBorders>
            <w:shd w:val="clear" w:color="auto" w:fill="auto"/>
          </w:tcPr>
          <w:p w14:paraId="6799A53C" w14:textId="77777777" w:rsidR="009B6B07" w:rsidRPr="00E444B3" w:rsidRDefault="009B6B07" w:rsidP="009B6B07">
            <w:pPr>
              <w:pStyle w:val="TableText"/>
            </w:pPr>
            <w:r w:rsidRPr="00E444B3">
              <w:t>Everolimus</w:t>
            </w:r>
          </w:p>
        </w:tc>
        <w:tc>
          <w:tcPr>
            <w:tcW w:w="2835" w:type="dxa"/>
            <w:tcBorders>
              <w:top w:val="single" w:sz="4" w:space="0" w:color="C2D9BA"/>
              <w:bottom w:val="single" w:sz="4" w:space="0" w:color="C2D9BA"/>
            </w:tcBorders>
            <w:shd w:val="clear" w:color="auto" w:fill="auto"/>
          </w:tcPr>
          <w:p w14:paraId="0C64D693" w14:textId="77777777" w:rsidR="009B6B07" w:rsidRPr="00E444B3" w:rsidRDefault="009B6B07" w:rsidP="009B6B07">
            <w:pPr>
              <w:pStyle w:val="TableText"/>
              <w:ind w:right="113"/>
            </w:pPr>
            <w:r>
              <w:t>Kidney cancer (r</w:t>
            </w:r>
            <w:r w:rsidRPr="00E444B3">
              <w:t>enal cell carcinoma (</w:t>
            </w:r>
            <w:r>
              <w:t>RCC), clear cell variant, stage IV</w:t>
            </w:r>
            <w:r w:rsidRPr="00E444B3">
              <w:t>)</w:t>
            </w:r>
          </w:p>
        </w:tc>
        <w:tc>
          <w:tcPr>
            <w:tcW w:w="3685" w:type="dxa"/>
            <w:tcBorders>
              <w:top w:val="single" w:sz="4" w:space="0" w:color="C2D9BA"/>
              <w:bottom w:val="single" w:sz="4" w:space="0" w:color="C2D9BA"/>
            </w:tcBorders>
            <w:shd w:val="clear" w:color="auto" w:fill="auto"/>
          </w:tcPr>
          <w:p w14:paraId="13888ED6" w14:textId="77777777" w:rsidR="009B6B07" w:rsidRDefault="009B6B07" w:rsidP="009B6B07">
            <w:pPr>
              <w:pStyle w:val="TableText"/>
            </w:pPr>
            <w:r w:rsidRPr="00945D13">
              <w:t>Gap – not substantial clinical benefit</w:t>
            </w:r>
          </w:p>
          <w:p w14:paraId="78DC5B84" w14:textId="77777777" w:rsidR="009B6B07" w:rsidRPr="00945D13" w:rsidRDefault="009B6B07" w:rsidP="009B6B07">
            <w:pPr>
              <w:pStyle w:val="TableText"/>
            </w:pPr>
            <w:r>
              <w:t xml:space="preserve">The </w:t>
            </w:r>
            <w:r w:rsidRPr="0088228C">
              <w:t>ESMO-MCBS comparator is placebo. No clinical advice sought.</w:t>
            </w:r>
          </w:p>
        </w:tc>
      </w:tr>
      <w:tr w:rsidR="009B6B07" w:rsidRPr="00A605FF" w14:paraId="15352A95" w14:textId="77777777" w:rsidTr="00B521E2">
        <w:trPr>
          <w:cantSplit/>
        </w:trPr>
        <w:tc>
          <w:tcPr>
            <w:tcW w:w="1560" w:type="dxa"/>
            <w:tcBorders>
              <w:top w:val="single" w:sz="4" w:space="0" w:color="C2D9BA"/>
              <w:bottom w:val="single" w:sz="4" w:space="0" w:color="C2D9BA"/>
            </w:tcBorders>
            <w:shd w:val="clear" w:color="auto" w:fill="auto"/>
          </w:tcPr>
          <w:p w14:paraId="4A122B8E" w14:textId="77777777" w:rsidR="009B6B07" w:rsidRPr="00E444B3" w:rsidRDefault="009B6B07" w:rsidP="009B6B07">
            <w:pPr>
              <w:pStyle w:val="TableText"/>
            </w:pPr>
            <w:r w:rsidRPr="00E444B3">
              <w:t>Ipilimumab</w:t>
            </w:r>
          </w:p>
        </w:tc>
        <w:tc>
          <w:tcPr>
            <w:tcW w:w="2835" w:type="dxa"/>
            <w:tcBorders>
              <w:top w:val="single" w:sz="4" w:space="0" w:color="C2D9BA"/>
              <w:bottom w:val="single" w:sz="4" w:space="0" w:color="C2D9BA"/>
            </w:tcBorders>
            <w:shd w:val="clear" w:color="auto" w:fill="auto"/>
          </w:tcPr>
          <w:p w14:paraId="361DC43F" w14:textId="77777777" w:rsidR="009B6B07" w:rsidRDefault="009B6B07" w:rsidP="009B6B07">
            <w:pPr>
              <w:pStyle w:val="TableText"/>
              <w:ind w:right="113"/>
            </w:pPr>
            <w:r>
              <w:t>Lung cancer (m</w:t>
            </w:r>
            <w:r w:rsidRPr="00E444B3">
              <w:t>esothelioma</w:t>
            </w:r>
            <w:r>
              <w:t>, unresectable)</w:t>
            </w:r>
          </w:p>
          <w:p w14:paraId="2EFE80AD" w14:textId="77777777" w:rsidR="009B6B07" w:rsidRPr="00E444B3" w:rsidRDefault="009B6B07" w:rsidP="009B6B07">
            <w:pPr>
              <w:pStyle w:val="TableText"/>
              <w:ind w:right="113"/>
            </w:pPr>
            <w:r>
              <w:t>Used in combination with nivolumab</w:t>
            </w:r>
          </w:p>
        </w:tc>
        <w:tc>
          <w:tcPr>
            <w:tcW w:w="3685" w:type="dxa"/>
            <w:tcBorders>
              <w:top w:val="single" w:sz="4" w:space="0" w:color="C2D9BA"/>
              <w:bottom w:val="single" w:sz="4" w:space="0" w:color="C2D9BA"/>
            </w:tcBorders>
            <w:shd w:val="clear" w:color="auto" w:fill="auto"/>
          </w:tcPr>
          <w:p w14:paraId="749B33E0" w14:textId="77777777" w:rsidR="009B6B07" w:rsidRDefault="009B6B07" w:rsidP="009B6B07">
            <w:pPr>
              <w:pStyle w:val="TableText"/>
            </w:pPr>
            <w:r w:rsidRPr="00945D13">
              <w:t>Gap – not substantial clinical benefit</w:t>
            </w:r>
          </w:p>
          <w:p w14:paraId="01222013" w14:textId="77777777" w:rsidR="009B6B07" w:rsidRPr="00945D13" w:rsidRDefault="009B6B07" w:rsidP="009B6B07">
            <w:pPr>
              <w:pStyle w:val="TableText"/>
            </w:pPr>
            <w:r>
              <w:t xml:space="preserve">The </w:t>
            </w:r>
            <w:r w:rsidRPr="0088228C">
              <w:t>ESMO-MCBS comparator is chemotherapy</w:t>
            </w:r>
            <w:r>
              <w:t>,</w:t>
            </w:r>
            <w:r w:rsidRPr="0088228C">
              <w:t xml:space="preserve"> including pemetrexed – funded in Aotearoa for this indication. No clinical advice sought.</w:t>
            </w:r>
          </w:p>
        </w:tc>
      </w:tr>
      <w:tr w:rsidR="009B6B07" w:rsidRPr="00A605FF" w14:paraId="47C5A83D" w14:textId="77777777" w:rsidTr="00B521E2">
        <w:trPr>
          <w:cantSplit/>
        </w:trPr>
        <w:tc>
          <w:tcPr>
            <w:tcW w:w="1560" w:type="dxa"/>
            <w:tcBorders>
              <w:top w:val="single" w:sz="4" w:space="0" w:color="C2D9BA"/>
              <w:bottom w:val="single" w:sz="4" w:space="0" w:color="C2D9BA"/>
            </w:tcBorders>
            <w:shd w:val="clear" w:color="auto" w:fill="auto"/>
          </w:tcPr>
          <w:p w14:paraId="33AF5A04" w14:textId="77777777" w:rsidR="009B6B07" w:rsidRPr="00E444B3" w:rsidRDefault="009B6B07" w:rsidP="009B6B07">
            <w:pPr>
              <w:pStyle w:val="TableText"/>
              <w:keepNext/>
              <w:keepLines/>
            </w:pPr>
            <w:r w:rsidRPr="00E444B3">
              <w:t>Lanreotide</w:t>
            </w:r>
          </w:p>
        </w:tc>
        <w:tc>
          <w:tcPr>
            <w:tcW w:w="2835" w:type="dxa"/>
            <w:tcBorders>
              <w:top w:val="single" w:sz="4" w:space="0" w:color="C2D9BA"/>
              <w:bottom w:val="single" w:sz="4" w:space="0" w:color="C2D9BA"/>
            </w:tcBorders>
            <w:shd w:val="clear" w:color="auto" w:fill="auto"/>
          </w:tcPr>
          <w:p w14:paraId="691D2028" w14:textId="77777777" w:rsidR="009B6B07" w:rsidRPr="00E444B3" w:rsidRDefault="009B6B07" w:rsidP="009B6B07">
            <w:pPr>
              <w:pStyle w:val="TableText"/>
              <w:keepNext/>
              <w:keepLines/>
              <w:ind w:right="113"/>
            </w:pPr>
            <w:r w:rsidRPr="00E444B3">
              <w:t>Neuroendocrine cancer (</w:t>
            </w:r>
            <w:r>
              <w:t>gastroenteropancreatic neuroendocrine tumour (GEP-NET), non-functional, unresectable locally advanced or metastatic</w:t>
            </w:r>
            <w:r w:rsidRPr="00E444B3">
              <w:t>)</w:t>
            </w:r>
          </w:p>
        </w:tc>
        <w:tc>
          <w:tcPr>
            <w:tcW w:w="3685" w:type="dxa"/>
            <w:tcBorders>
              <w:top w:val="single" w:sz="4" w:space="0" w:color="C2D9BA"/>
              <w:bottom w:val="single" w:sz="4" w:space="0" w:color="C2D9BA"/>
            </w:tcBorders>
            <w:shd w:val="clear" w:color="auto" w:fill="auto"/>
          </w:tcPr>
          <w:p w14:paraId="1D6798C7" w14:textId="77777777" w:rsidR="009B6B07" w:rsidRDefault="009B6B07" w:rsidP="009B6B07">
            <w:pPr>
              <w:pStyle w:val="TableText"/>
              <w:keepNext/>
              <w:keepLines/>
            </w:pPr>
            <w:r w:rsidRPr="00945D13">
              <w:t>Gap – not substantial clinical benefit</w:t>
            </w:r>
          </w:p>
          <w:p w14:paraId="2A5CDE37" w14:textId="77777777" w:rsidR="009B6B07" w:rsidRPr="00945D13" w:rsidRDefault="009B6B07" w:rsidP="009B6B07">
            <w:pPr>
              <w:pStyle w:val="TableText"/>
              <w:keepNext/>
              <w:keepLines/>
            </w:pPr>
            <w:r>
              <w:t xml:space="preserve">The </w:t>
            </w:r>
            <w:r w:rsidRPr="0088228C">
              <w:t>ESMO-MCBS comparator is placebo. No clinical advice sought.</w:t>
            </w:r>
          </w:p>
        </w:tc>
      </w:tr>
      <w:tr w:rsidR="009B6B07" w:rsidRPr="00A605FF" w14:paraId="6A83A35D" w14:textId="77777777" w:rsidTr="00B521E2">
        <w:trPr>
          <w:cantSplit/>
        </w:trPr>
        <w:tc>
          <w:tcPr>
            <w:tcW w:w="1560" w:type="dxa"/>
            <w:tcBorders>
              <w:top w:val="single" w:sz="4" w:space="0" w:color="C2D9BA"/>
              <w:bottom w:val="single" w:sz="4" w:space="0" w:color="C2D9BA"/>
            </w:tcBorders>
            <w:shd w:val="clear" w:color="auto" w:fill="auto"/>
          </w:tcPr>
          <w:p w14:paraId="04D41836" w14:textId="77777777" w:rsidR="009B6B07" w:rsidRPr="00E444B3" w:rsidRDefault="009B6B07" w:rsidP="009B6B07">
            <w:pPr>
              <w:pStyle w:val="TableText"/>
            </w:pPr>
            <w:r w:rsidRPr="00E444B3">
              <w:t>Lenvatinib</w:t>
            </w:r>
          </w:p>
        </w:tc>
        <w:tc>
          <w:tcPr>
            <w:tcW w:w="2835" w:type="dxa"/>
            <w:tcBorders>
              <w:top w:val="single" w:sz="4" w:space="0" w:color="C2D9BA"/>
              <w:bottom w:val="single" w:sz="4" w:space="0" w:color="C2D9BA"/>
            </w:tcBorders>
            <w:shd w:val="clear" w:color="auto" w:fill="auto"/>
          </w:tcPr>
          <w:p w14:paraId="57B1803F" w14:textId="77777777" w:rsidR="009B6B07" w:rsidRPr="00E444B3" w:rsidRDefault="009B6B07" w:rsidP="009B6B07">
            <w:pPr>
              <w:pStyle w:val="TableText"/>
              <w:ind w:right="113"/>
            </w:pPr>
            <w:r w:rsidRPr="00E444B3">
              <w:t>Thyroid cancer</w:t>
            </w:r>
            <w:r>
              <w:t xml:space="preserve"> (locally advanced or metastatic, unresectable, refractory to radioactive iodine)</w:t>
            </w:r>
          </w:p>
        </w:tc>
        <w:tc>
          <w:tcPr>
            <w:tcW w:w="3685" w:type="dxa"/>
            <w:tcBorders>
              <w:top w:val="single" w:sz="4" w:space="0" w:color="C2D9BA"/>
              <w:bottom w:val="single" w:sz="4" w:space="0" w:color="C2D9BA"/>
            </w:tcBorders>
            <w:shd w:val="clear" w:color="auto" w:fill="auto"/>
          </w:tcPr>
          <w:p w14:paraId="4F91C64E" w14:textId="77777777" w:rsidR="009B6B07" w:rsidRDefault="009B6B07" w:rsidP="009B6B07">
            <w:pPr>
              <w:pStyle w:val="TableText"/>
            </w:pPr>
            <w:r w:rsidRPr="00945D13">
              <w:t>Gap – not substantial clinical benefit</w:t>
            </w:r>
          </w:p>
          <w:p w14:paraId="26717AE0" w14:textId="77777777" w:rsidR="009B6B07" w:rsidRPr="00945D13" w:rsidRDefault="009B6B07" w:rsidP="009B6B07">
            <w:pPr>
              <w:pStyle w:val="TableText"/>
            </w:pPr>
            <w:r>
              <w:t xml:space="preserve">The </w:t>
            </w:r>
            <w:r w:rsidRPr="0088228C">
              <w:t>ESMO-MCBS comparator is placebo. No clinical advice sought.</w:t>
            </w:r>
          </w:p>
        </w:tc>
      </w:tr>
      <w:tr w:rsidR="009B6B07" w:rsidRPr="00A605FF" w14:paraId="38D85A5A" w14:textId="77777777" w:rsidTr="00B521E2">
        <w:trPr>
          <w:cantSplit/>
        </w:trPr>
        <w:tc>
          <w:tcPr>
            <w:tcW w:w="1560" w:type="dxa"/>
            <w:tcBorders>
              <w:top w:val="single" w:sz="4" w:space="0" w:color="C2D9BA"/>
              <w:bottom w:val="single" w:sz="4" w:space="0" w:color="C2D9BA"/>
            </w:tcBorders>
            <w:shd w:val="clear" w:color="auto" w:fill="auto"/>
          </w:tcPr>
          <w:p w14:paraId="571F0545" w14:textId="77777777" w:rsidR="009B6B07" w:rsidRPr="00E444B3" w:rsidRDefault="009B6B07" w:rsidP="009B6B07">
            <w:pPr>
              <w:pStyle w:val="TableText"/>
            </w:pPr>
            <w:r w:rsidRPr="00E444B3">
              <w:t>Lorlatinib</w:t>
            </w:r>
          </w:p>
        </w:tc>
        <w:tc>
          <w:tcPr>
            <w:tcW w:w="2835" w:type="dxa"/>
            <w:tcBorders>
              <w:top w:val="single" w:sz="4" w:space="0" w:color="C2D9BA"/>
              <w:bottom w:val="single" w:sz="4" w:space="0" w:color="C2D9BA"/>
            </w:tcBorders>
            <w:shd w:val="clear" w:color="auto" w:fill="auto"/>
          </w:tcPr>
          <w:p w14:paraId="5C1A03C7" w14:textId="77777777" w:rsidR="009B6B07" w:rsidRPr="00E444B3" w:rsidRDefault="009B6B07" w:rsidP="009B6B07">
            <w:pPr>
              <w:pStyle w:val="TableText"/>
              <w:ind w:right="113"/>
            </w:pPr>
            <w:r w:rsidRPr="00E444B3">
              <w:t>Lung cancer (</w:t>
            </w:r>
            <w:r>
              <w:t>non-small cell lung cancer (NSCLC)</w:t>
            </w:r>
            <w:r w:rsidRPr="00E444B3">
              <w:t>,</w:t>
            </w:r>
            <w:r>
              <w:t xml:space="preserve"> stage IV,</w:t>
            </w:r>
            <w:r w:rsidRPr="00E444B3">
              <w:t xml:space="preserve"> ALK +ve</w:t>
            </w:r>
            <w:r>
              <w:t>, second-line</w:t>
            </w:r>
            <w:r w:rsidRPr="00E444B3">
              <w:t>)</w:t>
            </w:r>
          </w:p>
        </w:tc>
        <w:tc>
          <w:tcPr>
            <w:tcW w:w="3685" w:type="dxa"/>
            <w:tcBorders>
              <w:top w:val="single" w:sz="4" w:space="0" w:color="C2D9BA"/>
              <w:bottom w:val="single" w:sz="4" w:space="0" w:color="C2D9BA"/>
            </w:tcBorders>
            <w:shd w:val="clear" w:color="auto" w:fill="auto"/>
          </w:tcPr>
          <w:p w14:paraId="6D0FCFB8" w14:textId="77777777" w:rsidR="009B6B07" w:rsidRDefault="009B6B07" w:rsidP="009B6B07">
            <w:pPr>
              <w:pStyle w:val="TableText"/>
            </w:pPr>
            <w:r w:rsidRPr="00945D13">
              <w:t>Gap – not substantial clinical benefit</w:t>
            </w:r>
          </w:p>
          <w:p w14:paraId="12A0AB4D" w14:textId="77777777" w:rsidR="009B6B07" w:rsidRPr="00945D13" w:rsidRDefault="009B6B07" w:rsidP="009B6B07">
            <w:pPr>
              <w:pStyle w:val="TableText"/>
            </w:pPr>
            <w:r>
              <w:t xml:space="preserve">The </w:t>
            </w:r>
            <w:r w:rsidRPr="0088228C">
              <w:t>ESMO-MCBS score is based on a single-arm study – no comparator. No clinical advice sought.</w:t>
            </w:r>
          </w:p>
        </w:tc>
      </w:tr>
      <w:tr w:rsidR="009B6B07" w:rsidRPr="00A605FF" w14:paraId="398B7B4D" w14:textId="77777777" w:rsidTr="00B521E2">
        <w:trPr>
          <w:cantSplit/>
        </w:trPr>
        <w:tc>
          <w:tcPr>
            <w:tcW w:w="1560" w:type="dxa"/>
            <w:tcBorders>
              <w:top w:val="single" w:sz="4" w:space="0" w:color="C2D9BA"/>
              <w:bottom w:val="single" w:sz="4" w:space="0" w:color="C2D9BA"/>
            </w:tcBorders>
            <w:shd w:val="clear" w:color="auto" w:fill="auto"/>
          </w:tcPr>
          <w:p w14:paraId="5F0EFD12" w14:textId="77777777" w:rsidR="009B6B07" w:rsidRPr="00E444B3" w:rsidRDefault="009B6B07" w:rsidP="009B6B07">
            <w:pPr>
              <w:pStyle w:val="TableText"/>
            </w:pPr>
            <w:r w:rsidRPr="00E444B3">
              <w:t xml:space="preserve">Nivolumab </w:t>
            </w:r>
          </w:p>
        </w:tc>
        <w:tc>
          <w:tcPr>
            <w:tcW w:w="2835" w:type="dxa"/>
            <w:tcBorders>
              <w:top w:val="single" w:sz="4" w:space="0" w:color="C2D9BA"/>
              <w:bottom w:val="single" w:sz="4" w:space="0" w:color="C2D9BA"/>
            </w:tcBorders>
            <w:shd w:val="clear" w:color="auto" w:fill="auto"/>
          </w:tcPr>
          <w:p w14:paraId="5D0F753A" w14:textId="77777777" w:rsidR="009B6B07" w:rsidRDefault="009B6B07" w:rsidP="009B6B07">
            <w:pPr>
              <w:pStyle w:val="TableText"/>
              <w:ind w:right="113"/>
            </w:pPr>
            <w:r>
              <w:t>Lung cancer (m</w:t>
            </w:r>
            <w:r w:rsidRPr="00E444B3">
              <w:t>esothelioma</w:t>
            </w:r>
            <w:r>
              <w:t>, unresectable)</w:t>
            </w:r>
          </w:p>
          <w:p w14:paraId="35111C2B" w14:textId="77777777" w:rsidR="009B6B07" w:rsidRPr="00E444B3" w:rsidRDefault="009B6B07" w:rsidP="009B6B07">
            <w:pPr>
              <w:pStyle w:val="TableText"/>
              <w:ind w:right="113"/>
            </w:pPr>
            <w:r>
              <w:t>Used in combination with ipilimumab</w:t>
            </w:r>
          </w:p>
        </w:tc>
        <w:tc>
          <w:tcPr>
            <w:tcW w:w="3685" w:type="dxa"/>
            <w:tcBorders>
              <w:top w:val="single" w:sz="4" w:space="0" w:color="C2D9BA"/>
              <w:bottom w:val="single" w:sz="4" w:space="0" w:color="C2D9BA"/>
            </w:tcBorders>
            <w:shd w:val="clear" w:color="auto" w:fill="auto"/>
          </w:tcPr>
          <w:p w14:paraId="6C727F40" w14:textId="77777777" w:rsidR="009B6B07" w:rsidRDefault="009B6B07" w:rsidP="009B6B07">
            <w:pPr>
              <w:pStyle w:val="TableText"/>
            </w:pPr>
            <w:r w:rsidRPr="00945D13">
              <w:t>Gap – not substantial clinical benefit</w:t>
            </w:r>
          </w:p>
          <w:p w14:paraId="7F88AE16" w14:textId="77777777" w:rsidR="009B6B07" w:rsidRPr="00945D13" w:rsidRDefault="009B6B07" w:rsidP="009B6B07">
            <w:pPr>
              <w:pStyle w:val="TableText"/>
            </w:pPr>
            <w:r>
              <w:t xml:space="preserve">The </w:t>
            </w:r>
            <w:r w:rsidRPr="0088228C">
              <w:t>ESMO-MCBS comparator is chemotherapy</w:t>
            </w:r>
            <w:r>
              <w:t>,</w:t>
            </w:r>
            <w:r w:rsidRPr="0088228C">
              <w:t xml:space="preserve"> including pemetrexed – funded in Aotearoa for this indication. No clinical advice sought.</w:t>
            </w:r>
          </w:p>
        </w:tc>
      </w:tr>
      <w:tr w:rsidR="009B6B07" w:rsidRPr="00A605FF" w14:paraId="1B6CFDB8" w14:textId="77777777" w:rsidTr="00B521E2">
        <w:trPr>
          <w:cantSplit/>
        </w:trPr>
        <w:tc>
          <w:tcPr>
            <w:tcW w:w="1560" w:type="dxa"/>
            <w:tcBorders>
              <w:top w:val="single" w:sz="4" w:space="0" w:color="C2D9BA"/>
              <w:bottom w:val="single" w:sz="4" w:space="0" w:color="C2D9BA"/>
            </w:tcBorders>
            <w:shd w:val="clear" w:color="auto" w:fill="auto"/>
          </w:tcPr>
          <w:p w14:paraId="370615CF" w14:textId="77777777" w:rsidR="009B6B07" w:rsidRPr="00E444B3" w:rsidRDefault="009B6B07" w:rsidP="009B6B07">
            <w:pPr>
              <w:pStyle w:val="TableText"/>
            </w:pPr>
            <w:r w:rsidRPr="00E444B3">
              <w:t>Panitumumab</w:t>
            </w:r>
          </w:p>
        </w:tc>
        <w:tc>
          <w:tcPr>
            <w:tcW w:w="2835" w:type="dxa"/>
            <w:tcBorders>
              <w:top w:val="single" w:sz="4" w:space="0" w:color="C2D9BA"/>
              <w:bottom w:val="single" w:sz="4" w:space="0" w:color="C2D9BA"/>
            </w:tcBorders>
            <w:shd w:val="clear" w:color="auto" w:fill="auto"/>
          </w:tcPr>
          <w:p w14:paraId="7F7F820F" w14:textId="77777777" w:rsidR="009B6B07" w:rsidRDefault="009B6B07" w:rsidP="009B6B07">
            <w:pPr>
              <w:pStyle w:val="TableText"/>
              <w:ind w:right="113"/>
            </w:pPr>
            <w:r>
              <w:t>Bowel cancer (c</w:t>
            </w:r>
            <w:r w:rsidRPr="00E444B3">
              <w:t>olorectal cancer</w:t>
            </w:r>
            <w:r>
              <w:t xml:space="preserve"> (CRC), metastatic, RAS-wild type, second-line</w:t>
            </w:r>
            <w:r w:rsidRPr="00E444B3">
              <w:t>)</w:t>
            </w:r>
          </w:p>
          <w:p w14:paraId="59AD6DD0" w14:textId="77777777" w:rsidR="009B6B07" w:rsidRPr="00E444B3" w:rsidRDefault="009B6B07" w:rsidP="009B6B07">
            <w:pPr>
              <w:pStyle w:val="TableText"/>
              <w:ind w:right="113"/>
            </w:pPr>
            <w:r>
              <w:t>Used with or without chemotherapy</w:t>
            </w:r>
          </w:p>
        </w:tc>
        <w:tc>
          <w:tcPr>
            <w:tcW w:w="3685" w:type="dxa"/>
            <w:tcBorders>
              <w:top w:val="single" w:sz="4" w:space="0" w:color="C2D9BA"/>
              <w:bottom w:val="single" w:sz="4" w:space="0" w:color="C2D9BA"/>
            </w:tcBorders>
            <w:shd w:val="clear" w:color="auto" w:fill="auto"/>
          </w:tcPr>
          <w:p w14:paraId="6D5AA1D9" w14:textId="77777777" w:rsidR="009B6B07" w:rsidRDefault="009B6B07" w:rsidP="009B6B07">
            <w:pPr>
              <w:pStyle w:val="TableText"/>
            </w:pPr>
            <w:r w:rsidRPr="00945D13">
              <w:t>Gap – not substantial clinical benefit</w:t>
            </w:r>
          </w:p>
          <w:p w14:paraId="48FFE124" w14:textId="77777777" w:rsidR="009B6B07" w:rsidRPr="00945D13" w:rsidRDefault="009B6B07" w:rsidP="009B6B07">
            <w:pPr>
              <w:pStyle w:val="TableText"/>
            </w:pPr>
            <w:r>
              <w:t xml:space="preserve">The </w:t>
            </w:r>
            <w:r w:rsidRPr="0088228C">
              <w:t>ESMO-MCBS comparator is chemotherapy. Funded in Aotearoa without restriction. No clinical advice sought.</w:t>
            </w:r>
          </w:p>
        </w:tc>
      </w:tr>
      <w:tr w:rsidR="009B6B07" w:rsidRPr="00A605FF" w14:paraId="78920764" w14:textId="77777777" w:rsidTr="00B521E2">
        <w:trPr>
          <w:cantSplit/>
        </w:trPr>
        <w:tc>
          <w:tcPr>
            <w:tcW w:w="1560" w:type="dxa"/>
            <w:tcBorders>
              <w:top w:val="single" w:sz="4" w:space="0" w:color="C2D9BA"/>
              <w:bottom w:val="single" w:sz="4" w:space="0" w:color="C2D9BA"/>
            </w:tcBorders>
            <w:shd w:val="clear" w:color="auto" w:fill="auto"/>
          </w:tcPr>
          <w:p w14:paraId="3F4E34F1" w14:textId="77777777" w:rsidR="009B6B07" w:rsidRPr="00E444B3" w:rsidRDefault="009B6B07" w:rsidP="009B6B07">
            <w:pPr>
              <w:pStyle w:val="TableText"/>
            </w:pPr>
            <w:r w:rsidRPr="00E444B3">
              <w:t>Pazopanib</w:t>
            </w:r>
          </w:p>
        </w:tc>
        <w:tc>
          <w:tcPr>
            <w:tcW w:w="2835" w:type="dxa"/>
            <w:tcBorders>
              <w:top w:val="single" w:sz="4" w:space="0" w:color="C2D9BA"/>
              <w:bottom w:val="single" w:sz="4" w:space="0" w:color="C2D9BA"/>
            </w:tcBorders>
            <w:shd w:val="clear" w:color="auto" w:fill="auto"/>
          </w:tcPr>
          <w:p w14:paraId="3651C4C3" w14:textId="77777777" w:rsidR="009B6B07" w:rsidRPr="00E444B3" w:rsidRDefault="009B6B07" w:rsidP="009B6B07">
            <w:pPr>
              <w:pStyle w:val="TableText"/>
              <w:ind w:right="113"/>
            </w:pPr>
            <w:r w:rsidRPr="00E444B3">
              <w:t>Soft tissue sarcoma</w:t>
            </w:r>
            <w:r>
              <w:t xml:space="preserve"> (locally advanced or metastatic, unresectable, second-line)</w:t>
            </w:r>
          </w:p>
        </w:tc>
        <w:tc>
          <w:tcPr>
            <w:tcW w:w="3685" w:type="dxa"/>
            <w:tcBorders>
              <w:top w:val="single" w:sz="4" w:space="0" w:color="C2D9BA"/>
              <w:bottom w:val="single" w:sz="4" w:space="0" w:color="C2D9BA"/>
            </w:tcBorders>
            <w:shd w:val="clear" w:color="auto" w:fill="auto"/>
          </w:tcPr>
          <w:p w14:paraId="79F6440E" w14:textId="77777777" w:rsidR="009B6B07" w:rsidRDefault="009B6B07" w:rsidP="009B6B07">
            <w:pPr>
              <w:pStyle w:val="TableText"/>
            </w:pPr>
            <w:r w:rsidRPr="00945D13">
              <w:t>Gap – not substantial clinical benefit</w:t>
            </w:r>
          </w:p>
          <w:p w14:paraId="779DB768" w14:textId="77777777" w:rsidR="009B6B07" w:rsidRPr="00945D13" w:rsidRDefault="009B6B07" w:rsidP="009B6B07">
            <w:pPr>
              <w:pStyle w:val="TableText"/>
            </w:pPr>
            <w:r>
              <w:t xml:space="preserve">The </w:t>
            </w:r>
            <w:r w:rsidRPr="0088228C">
              <w:t>ESMO-MCBS comparator is placebo. No clinical advice sought.</w:t>
            </w:r>
          </w:p>
        </w:tc>
      </w:tr>
      <w:tr w:rsidR="009B6B07" w:rsidRPr="00A605FF" w14:paraId="1F2271DA" w14:textId="77777777" w:rsidTr="00B521E2">
        <w:trPr>
          <w:cantSplit/>
        </w:trPr>
        <w:tc>
          <w:tcPr>
            <w:tcW w:w="1560" w:type="dxa"/>
            <w:tcBorders>
              <w:top w:val="single" w:sz="4" w:space="0" w:color="C2D9BA"/>
              <w:bottom w:val="single" w:sz="4" w:space="0" w:color="C2D9BA"/>
            </w:tcBorders>
            <w:shd w:val="clear" w:color="auto" w:fill="auto"/>
          </w:tcPr>
          <w:p w14:paraId="153275DA" w14:textId="77777777" w:rsidR="009B6B07" w:rsidRPr="00E444B3" w:rsidRDefault="009B6B07" w:rsidP="009B6B07">
            <w:pPr>
              <w:pStyle w:val="TableText"/>
            </w:pPr>
            <w:r w:rsidRPr="00E444B3">
              <w:t>Sorafenib</w:t>
            </w:r>
          </w:p>
        </w:tc>
        <w:tc>
          <w:tcPr>
            <w:tcW w:w="2835" w:type="dxa"/>
            <w:tcBorders>
              <w:top w:val="single" w:sz="4" w:space="0" w:color="C2D9BA"/>
              <w:bottom w:val="single" w:sz="4" w:space="0" w:color="C2D9BA"/>
            </w:tcBorders>
            <w:shd w:val="clear" w:color="auto" w:fill="auto"/>
          </w:tcPr>
          <w:p w14:paraId="4BDFDCAC" w14:textId="77777777" w:rsidR="009B6B07" w:rsidRPr="00E444B3" w:rsidRDefault="009B6B07" w:rsidP="009B6B07">
            <w:pPr>
              <w:pStyle w:val="TableText"/>
              <w:ind w:right="113"/>
            </w:pPr>
            <w:r>
              <w:t>Kidney cancer (renal</w:t>
            </w:r>
            <w:r w:rsidRPr="00E444B3">
              <w:t xml:space="preserve"> cell carcinoma (</w:t>
            </w:r>
            <w:r>
              <w:t>RCC)</w:t>
            </w:r>
            <w:r w:rsidRPr="00E444B3">
              <w:t>,</w:t>
            </w:r>
            <w:r>
              <w:t xml:space="preserve"> clear cell variant, stage IV, second-line</w:t>
            </w:r>
            <w:r w:rsidRPr="00E444B3">
              <w:t>)</w:t>
            </w:r>
          </w:p>
        </w:tc>
        <w:tc>
          <w:tcPr>
            <w:tcW w:w="3685" w:type="dxa"/>
            <w:tcBorders>
              <w:top w:val="single" w:sz="4" w:space="0" w:color="C2D9BA"/>
              <w:bottom w:val="single" w:sz="4" w:space="0" w:color="C2D9BA"/>
            </w:tcBorders>
            <w:shd w:val="clear" w:color="auto" w:fill="auto"/>
          </w:tcPr>
          <w:p w14:paraId="6621A054" w14:textId="77777777" w:rsidR="009B6B07" w:rsidRDefault="009B6B07" w:rsidP="009B6B07">
            <w:pPr>
              <w:pStyle w:val="TableText"/>
            </w:pPr>
            <w:r w:rsidRPr="00945D13">
              <w:t>Gap – not substantial clinical benefit</w:t>
            </w:r>
          </w:p>
          <w:p w14:paraId="33109B4C" w14:textId="77777777" w:rsidR="009B6B07" w:rsidRPr="00945D13" w:rsidRDefault="009B6B07" w:rsidP="009B6B07">
            <w:pPr>
              <w:pStyle w:val="TableText"/>
            </w:pPr>
            <w:r>
              <w:t xml:space="preserve">The </w:t>
            </w:r>
            <w:r w:rsidRPr="0088228C">
              <w:t>ESMO-MCBS comparator is placebo. No clinical advice sought.</w:t>
            </w:r>
          </w:p>
        </w:tc>
      </w:tr>
      <w:tr w:rsidR="009B6B07" w:rsidRPr="00A605FF" w14:paraId="52D7A7AF" w14:textId="77777777" w:rsidTr="00B521E2">
        <w:trPr>
          <w:cantSplit/>
        </w:trPr>
        <w:tc>
          <w:tcPr>
            <w:tcW w:w="1560" w:type="dxa"/>
            <w:tcBorders>
              <w:top w:val="single" w:sz="4" w:space="0" w:color="C2D9BA"/>
              <w:bottom w:val="single" w:sz="4" w:space="0" w:color="C2D9BA"/>
            </w:tcBorders>
            <w:shd w:val="clear" w:color="auto" w:fill="auto"/>
          </w:tcPr>
          <w:p w14:paraId="0776775D" w14:textId="77777777" w:rsidR="009B6B07" w:rsidRPr="00E444B3" w:rsidRDefault="009B6B07" w:rsidP="009B6B07">
            <w:pPr>
              <w:pStyle w:val="TableText"/>
            </w:pPr>
            <w:r w:rsidRPr="00E444B3">
              <w:t>Sunitinib</w:t>
            </w:r>
          </w:p>
        </w:tc>
        <w:tc>
          <w:tcPr>
            <w:tcW w:w="2835" w:type="dxa"/>
            <w:tcBorders>
              <w:top w:val="single" w:sz="4" w:space="0" w:color="C2D9BA"/>
              <w:bottom w:val="single" w:sz="4" w:space="0" w:color="C2D9BA"/>
            </w:tcBorders>
            <w:shd w:val="clear" w:color="auto" w:fill="auto"/>
          </w:tcPr>
          <w:p w14:paraId="66CDE2FB" w14:textId="77777777" w:rsidR="009B6B07" w:rsidRPr="00E444B3" w:rsidRDefault="009B6B07" w:rsidP="009B6B07">
            <w:pPr>
              <w:pStyle w:val="TableText"/>
              <w:ind w:right="113"/>
            </w:pPr>
            <w:r w:rsidRPr="00E444B3">
              <w:t>Neuroendocrine cancer</w:t>
            </w:r>
            <w:r>
              <w:t xml:space="preserve"> (pancreatic neuroendocrine tumour (PNET), metastatic or unresectable, symptomatic or disease progression)</w:t>
            </w:r>
          </w:p>
        </w:tc>
        <w:tc>
          <w:tcPr>
            <w:tcW w:w="3685" w:type="dxa"/>
            <w:tcBorders>
              <w:top w:val="single" w:sz="4" w:space="0" w:color="C2D9BA"/>
              <w:bottom w:val="single" w:sz="4" w:space="0" w:color="C2D9BA"/>
            </w:tcBorders>
            <w:shd w:val="clear" w:color="auto" w:fill="auto"/>
          </w:tcPr>
          <w:p w14:paraId="038999DE" w14:textId="77777777" w:rsidR="009B6B07" w:rsidRDefault="009B6B07" w:rsidP="009B6B07">
            <w:pPr>
              <w:pStyle w:val="TableText"/>
            </w:pPr>
            <w:r w:rsidRPr="00945D13">
              <w:t>Gap – not substantial clinical benefit</w:t>
            </w:r>
          </w:p>
          <w:p w14:paraId="50E09597" w14:textId="77777777" w:rsidR="009B6B07" w:rsidRPr="00945D13" w:rsidRDefault="009B6B07" w:rsidP="009B6B07">
            <w:pPr>
              <w:pStyle w:val="TableText"/>
            </w:pPr>
            <w:r>
              <w:t xml:space="preserve">The </w:t>
            </w:r>
            <w:r w:rsidRPr="0088228C">
              <w:t>ESMO-MCBS comparator is placebo. No clinical advice sought</w:t>
            </w:r>
            <w:r>
              <w:t>.</w:t>
            </w:r>
          </w:p>
        </w:tc>
      </w:tr>
      <w:tr w:rsidR="009B6B07" w:rsidRPr="00A605FF" w14:paraId="19D3F558" w14:textId="77777777" w:rsidTr="00B521E2">
        <w:trPr>
          <w:cantSplit/>
        </w:trPr>
        <w:tc>
          <w:tcPr>
            <w:tcW w:w="1560" w:type="dxa"/>
            <w:tcBorders>
              <w:top w:val="single" w:sz="4" w:space="0" w:color="C2D9BA"/>
              <w:bottom w:val="single" w:sz="4" w:space="0" w:color="C2D9BA"/>
            </w:tcBorders>
            <w:shd w:val="clear" w:color="auto" w:fill="auto"/>
          </w:tcPr>
          <w:p w14:paraId="3648B8A5" w14:textId="77777777" w:rsidR="009B6B07" w:rsidRPr="00E444B3" w:rsidRDefault="009B6B07" w:rsidP="009B6B07">
            <w:pPr>
              <w:pStyle w:val="TableText"/>
            </w:pPr>
            <w:r>
              <w:lastRenderedPageBreak/>
              <w:t>Trastuzumab</w:t>
            </w:r>
          </w:p>
        </w:tc>
        <w:tc>
          <w:tcPr>
            <w:tcW w:w="2835" w:type="dxa"/>
            <w:tcBorders>
              <w:top w:val="single" w:sz="4" w:space="0" w:color="C2D9BA"/>
              <w:bottom w:val="single" w:sz="4" w:space="0" w:color="C2D9BA"/>
            </w:tcBorders>
            <w:shd w:val="clear" w:color="auto" w:fill="auto"/>
          </w:tcPr>
          <w:p w14:paraId="1EE06424" w14:textId="77777777" w:rsidR="009B6B07" w:rsidRDefault="009B6B07" w:rsidP="009B6B07">
            <w:pPr>
              <w:pStyle w:val="TableText"/>
              <w:ind w:right="113"/>
              <w:rPr>
                <w:color w:val="000000"/>
              </w:rPr>
            </w:pPr>
            <w:r w:rsidRPr="14AA43B1">
              <w:t>Stomach cancer (gastric or gastro-oesophageal junction cancer, stage IV,</w:t>
            </w:r>
            <w:r>
              <w:t xml:space="preserve"> </w:t>
            </w:r>
            <w:r w:rsidRPr="14AA43B1" w:rsidDel="00B50DE8">
              <w:t>(</w:t>
            </w:r>
            <w:r w:rsidRPr="14AA43B1">
              <w:t xml:space="preserve">HER 2 +ve IHC 2+, </w:t>
            </w:r>
            <w:r w:rsidRPr="14AA43B1" w:rsidDel="00B50DE8">
              <w:t>stage IV,</w:t>
            </w:r>
            <w:r>
              <w:t xml:space="preserve"> </w:t>
            </w:r>
            <w:r w:rsidRPr="14AA43B1">
              <w:t>first-line)</w:t>
            </w:r>
          </w:p>
          <w:p w14:paraId="216E7686" w14:textId="77777777" w:rsidR="009B6B07" w:rsidRPr="00E444B3" w:rsidRDefault="009B6B07" w:rsidP="009B6B07">
            <w:pPr>
              <w:pStyle w:val="TableText"/>
              <w:ind w:right="113"/>
            </w:pPr>
            <w:r>
              <w:rPr>
                <w:color w:val="000000"/>
              </w:rPr>
              <w:t>Used in combination with chemotherapy.</w:t>
            </w:r>
          </w:p>
        </w:tc>
        <w:tc>
          <w:tcPr>
            <w:tcW w:w="3685" w:type="dxa"/>
            <w:tcBorders>
              <w:top w:val="single" w:sz="4" w:space="0" w:color="C2D9BA"/>
              <w:bottom w:val="single" w:sz="4" w:space="0" w:color="C2D9BA"/>
            </w:tcBorders>
            <w:shd w:val="clear" w:color="auto" w:fill="auto"/>
          </w:tcPr>
          <w:p w14:paraId="25C5A40F" w14:textId="77777777" w:rsidR="009B6B07" w:rsidRDefault="009B6B07" w:rsidP="009B6B07">
            <w:pPr>
              <w:pStyle w:val="TableText"/>
            </w:pPr>
            <w:r w:rsidRPr="00945D13">
              <w:t>Gap – uncategorised (unable to determine relevant ESMO-MCBS score)</w:t>
            </w:r>
          </w:p>
          <w:p w14:paraId="2A33A1D3" w14:textId="77777777" w:rsidR="009B6B07" w:rsidRPr="00945D13" w:rsidRDefault="009B6B07" w:rsidP="009B6B07">
            <w:pPr>
              <w:pStyle w:val="TableText"/>
            </w:pPr>
            <w:r>
              <w:t xml:space="preserve">The </w:t>
            </w:r>
            <w:r w:rsidRPr="0088228C">
              <w:t>ESMO-MCBS comparator is chemotherapy</w:t>
            </w:r>
            <w:r>
              <w:t>, which is</w:t>
            </w:r>
            <w:r w:rsidRPr="0088228C">
              <w:t xml:space="preserve"> funded in Aotearoa without restriction. However, </w:t>
            </w:r>
            <w:r>
              <w:t xml:space="preserve">the </w:t>
            </w:r>
            <w:r w:rsidRPr="0088228C">
              <w:t>patient group included in the trial was not limited to IHC 2+. Unable to score this sub-group according to ESMO-MCBS methodology.</w:t>
            </w:r>
          </w:p>
        </w:tc>
      </w:tr>
      <w:tr w:rsidR="009B6B07" w:rsidRPr="00A605FF" w14:paraId="25FCA6BC" w14:textId="77777777" w:rsidTr="00B521E2">
        <w:trPr>
          <w:cantSplit/>
        </w:trPr>
        <w:tc>
          <w:tcPr>
            <w:tcW w:w="1560" w:type="dxa"/>
            <w:tcBorders>
              <w:top w:val="single" w:sz="4" w:space="0" w:color="C2D9BA"/>
              <w:bottom w:val="single" w:sz="4" w:space="0" w:color="C2D9BA"/>
            </w:tcBorders>
            <w:shd w:val="clear" w:color="auto" w:fill="auto"/>
          </w:tcPr>
          <w:p w14:paraId="7377F4B3" w14:textId="77777777" w:rsidR="009B6B07" w:rsidRPr="00E444B3" w:rsidRDefault="009B6B07" w:rsidP="009B6B07">
            <w:pPr>
              <w:pStyle w:val="TableText"/>
            </w:pPr>
            <w:r w:rsidRPr="00E444B3">
              <w:t>Trifluridine + tipiracil</w:t>
            </w:r>
          </w:p>
        </w:tc>
        <w:tc>
          <w:tcPr>
            <w:tcW w:w="2835" w:type="dxa"/>
            <w:tcBorders>
              <w:top w:val="single" w:sz="4" w:space="0" w:color="C2D9BA"/>
              <w:bottom w:val="single" w:sz="4" w:space="0" w:color="C2D9BA"/>
            </w:tcBorders>
            <w:shd w:val="clear" w:color="auto" w:fill="auto"/>
          </w:tcPr>
          <w:p w14:paraId="5BF37F05" w14:textId="77777777" w:rsidR="009B6B07" w:rsidRPr="00E444B3" w:rsidRDefault="009B6B07" w:rsidP="009B6B07">
            <w:pPr>
              <w:pStyle w:val="TableText"/>
              <w:ind w:right="113"/>
            </w:pPr>
            <w:r w:rsidRPr="00E444B3">
              <w:t>Gastro-oesophageal cancer</w:t>
            </w:r>
          </w:p>
        </w:tc>
        <w:tc>
          <w:tcPr>
            <w:tcW w:w="3685" w:type="dxa"/>
            <w:tcBorders>
              <w:top w:val="single" w:sz="4" w:space="0" w:color="C2D9BA"/>
              <w:bottom w:val="single" w:sz="4" w:space="0" w:color="C2D9BA"/>
            </w:tcBorders>
            <w:shd w:val="clear" w:color="auto" w:fill="auto"/>
          </w:tcPr>
          <w:p w14:paraId="275CD6BB" w14:textId="77777777" w:rsidR="009B6B07" w:rsidRDefault="009B6B07" w:rsidP="009B6B07">
            <w:pPr>
              <w:pStyle w:val="TableText"/>
            </w:pPr>
            <w:r w:rsidRPr="00945D13">
              <w:t>Gap – not substantial clinical benefit</w:t>
            </w:r>
          </w:p>
          <w:p w14:paraId="2FA69DB3" w14:textId="77777777" w:rsidR="009B6B07" w:rsidRPr="00945D13" w:rsidRDefault="009B6B07" w:rsidP="009B6B07">
            <w:pPr>
              <w:pStyle w:val="TableText"/>
            </w:pPr>
            <w:r>
              <w:t xml:space="preserve">The </w:t>
            </w:r>
            <w:r w:rsidRPr="0088228C">
              <w:t>ESMO-MCBS comparator is placebo. No clinical advice sought</w:t>
            </w:r>
            <w:r>
              <w:t>.</w:t>
            </w:r>
          </w:p>
        </w:tc>
      </w:tr>
    </w:tbl>
    <w:bookmarkEnd w:id="371"/>
    <w:p w14:paraId="68953171" w14:textId="77777777" w:rsidR="00C338E8" w:rsidRDefault="00B12E4F" w:rsidP="00B521E2">
      <w:pPr>
        <w:pStyle w:val="Note"/>
      </w:pPr>
      <w:r w:rsidRPr="00E444B3">
        <w:t>*</w:t>
      </w:r>
      <w:r>
        <w:tab/>
      </w:r>
      <w:r w:rsidRPr="00E444B3">
        <w:t>Funded without restriction in Australia. Indications from TGA</w:t>
      </w:r>
      <w:r>
        <w:t>-</w:t>
      </w:r>
      <w:r w:rsidRPr="00E444B3">
        <w:t xml:space="preserve">approved </w:t>
      </w:r>
      <w:r>
        <w:t>p</w:t>
      </w:r>
      <w:r w:rsidRPr="00E444B3">
        <w:t xml:space="preserve">roduct </w:t>
      </w:r>
      <w:r>
        <w:t>i</w:t>
      </w:r>
      <w:r w:rsidRPr="00E444B3">
        <w:t>nformation and eviQ</w:t>
      </w:r>
      <w:r>
        <w:t>.</w:t>
      </w:r>
    </w:p>
    <w:p w14:paraId="3E96B044" w14:textId="77777777" w:rsidR="009B6B07" w:rsidRDefault="009B6B07" w:rsidP="009B6B07"/>
    <w:p w14:paraId="35F4EFFA" w14:textId="77777777" w:rsidR="00B12E4F" w:rsidRDefault="00B12E4F" w:rsidP="00B12E4F">
      <w:pPr>
        <w:pStyle w:val="Table"/>
      </w:pPr>
      <w:bookmarkStart w:id="372" w:name="_Toc101365613"/>
      <w:bookmarkStart w:id="373" w:name="Appendix_5_Table_5point5"/>
      <w:r w:rsidRPr="00E444B3">
        <w:t>Table</w:t>
      </w:r>
      <w:r w:rsidR="009B6B07">
        <w:t> </w:t>
      </w:r>
      <w:r>
        <w:t>5.5</w:t>
      </w:r>
      <w:r w:rsidRPr="00E444B3">
        <w:t>: Medicines funded in Australia and not in Aotearoa – ESMO-MCBS score of 2</w:t>
      </w:r>
      <w:bookmarkEnd w:id="37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2835"/>
        <w:gridCol w:w="3685"/>
      </w:tblGrid>
      <w:tr w:rsidR="00B521E2" w:rsidRPr="000C1356" w14:paraId="366C283A" w14:textId="77777777" w:rsidTr="00B521E2">
        <w:trPr>
          <w:cantSplit/>
          <w:tblHeader/>
        </w:trPr>
        <w:tc>
          <w:tcPr>
            <w:tcW w:w="1560" w:type="dxa"/>
            <w:tcBorders>
              <w:top w:val="nil"/>
              <w:bottom w:val="nil"/>
            </w:tcBorders>
            <w:shd w:val="clear" w:color="auto" w:fill="C2D9BA"/>
          </w:tcPr>
          <w:p w14:paraId="10A72A68" w14:textId="77777777" w:rsidR="00B521E2" w:rsidRPr="000C1356" w:rsidRDefault="00B521E2" w:rsidP="00B521E2">
            <w:pPr>
              <w:pStyle w:val="TableText"/>
              <w:rPr>
                <w:b/>
              </w:rPr>
            </w:pPr>
            <w:r w:rsidRPr="000C1356">
              <w:rPr>
                <w:b/>
              </w:rPr>
              <w:t>Medicine</w:t>
            </w:r>
          </w:p>
        </w:tc>
        <w:tc>
          <w:tcPr>
            <w:tcW w:w="2835" w:type="dxa"/>
            <w:tcBorders>
              <w:top w:val="nil"/>
              <w:bottom w:val="nil"/>
            </w:tcBorders>
            <w:shd w:val="clear" w:color="auto" w:fill="C2D9BA"/>
          </w:tcPr>
          <w:p w14:paraId="7812906D" w14:textId="77777777" w:rsidR="00B521E2" w:rsidRPr="000C1356" w:rsidRDefault="00B521E2" w:rsidP="00B521E2">
            <w:pPr>
              <w:pStyle w:val="TableText"/>
              <w:ind w:right="113"/>
              <w:rPr>
                <w:b/>
              </w:rPr>
            </w:pPr>
            <w:r w:rsidRPr="000C1356">
              <w:rPr>
                <w:b/>
              </w:rPr>
              <w:t xml:space="preserve">Indication </w:t>
            </w:r>
            <w:r>
              <w:rPr>
                <w:b/>
              </w:rPr>
              <w:t xml:space="preserve">as </w:t>
            </w:r>
            <w:r w:rsidRPr="000C1356">
              <w:rPr>
                <w:b/>
              </w:rPr>
              <w:t>per PBS</w:t>
            </w:r>
          </w:p>
        </w:tc>
        <w:tc>
          <w:tcPr>
            <w:tcW w:w="3685" w:type="dxa"/>
            <w:tcBorders>
              <w:top w:val="nil"/>
              <w:bottom w:val="nil"/>
            </w:tcBorders>
            <w:shd w:val="clear" w:color="auto" w:fill="C2D9BA"/>
          </w:tcPr>
          <w:p w14:paraId="7B3B8BB9" w14:textId="77777777" w:rsidR="00B521E2" w:rsidRPr="000C1356" w:rsidRDefault="00B521E2" w:rsidP="00B521E2">
            <w:pPr>
              <w:pStyle w:val="TableText"/>
              <w:rPr>
                <w:b/>
              </w:rPr>
            </w:pPr>
            <w:r w:rsidRPr="000C1356">
              <w:rPr>
                <w:b/>
              </w:rPr>
              <w:t>Final gap categorisation</w:t>
            </w:r>
          </w:p>
        </w:tc>
      </w:tr>
      <w:tr w:rsidR="009B6B07" w:rsidRPr="00860E6D" w14:paraId="5A43B373" w14:textId="77777777" w:rsidTr="00B521E2">
        <w:trPr>
          <w:cantSplit/>
        </w:trPr>
        <w:tc>
          <w:tcPr>
            <w:tcW w:w="1560" w:type="dxa"/>
            <w:tcBorders>
              <w:top w:val="nil"/>
              <w:bottom w:val="single" w:sz="4" w:space="0" w:color="C2D9BA"/>
            </w:tcBorders>
            <w:shd w:val="clear" w:color="auto" w:fill="auto"/>
          </w:tcPr>
          <w:p w14:paraId="6E5001D3" w14:textId="77777777" w:rsidR="009B6B07" w:rsidRPr="00E444B3" w:rsidRDefault="009B6B07" w:rsidP="009B6B07">
            <w:pPr>
              <w:pStyle w:val="TableText"/>
            </w:pPr>
            <w:r w:rsidRPr="00E444B3">
              <w:t>Bevacizumab</w:t>
            </w:r>
            <w:r>
              <w:t>*</w:t>
            </w:r>
          </w:p>
        </w:tc>
        <w:tc>
          <w:tcPr>
            <w:tcW w:w="2835" w:type="dxa"/>
            <w:tcBorders>
              <w:top w:val="nil"/>
              <w:bottom w:val="single" w:sz="4" w:space="0" w:color="C2D9BA"/>
            </w:tcBorders>
            <w:shd w:val="clear" w:color="auto" w:fill="auto"/>
          </w:tcPr>
          <w:p w14:paraId="0E62E3CE" w14:textId="77777777" w:rsidR="009B6B07" w:rsidRDefault="009B6B07" w:rsidP="009B6B07">
            <w:pPr>
              <w:pStyle w:val="TableText"/>
              <w:ind w:right="113"/>
            </w:pPr>
            <w:r w:rsidRPr="00E444B3">
              <w:t>Breast cancer</w:t>
            </w:r>
            <w:r>
              <w:t xml:space="preserve"> (locally recurrent or metastatic, first-line)</w:t>
            </w:r>
          </w:p>
          <w:p w14:paraId="02CA1BE6" w14:textId="77777777" w:rsidR="009B6B07" w:rsidRPr="00E444B3" w:rsidRDefault="009B6B07" w:rsidP="009B6B07">
            <w:pPr>
              <w:pStyle w:val="TableText"/>
              <w:ind w:right="113"/>
            </w:pPr>
            <w:r>
              <w:t>Used with chemotherapy</w:t>
            </w:r>
          </w:p>
        </w:tc>
        <w:tc>
          <w:tcPr>
            <w:tcW w:w="3685" w:type="dxa"/>
            <w:tcBorders>
              <w:top w:val="nil"/>
              <w:bottom w:val="single" w:sz="4" w:space="0" w:color="C2D9BA"/>
            </w:tcBorders>
            <w:shd w:val="clear" w:color="auto" w:fill="auto"/>
          </w:tcPr>
          <w:p w14:paraId="1E9CF3AA" w14:textId="77777777" w:rsidR="009B6B07" w:rsidRDefault="009B6B07" w:rsidP="009B6B07">
            <w:pPr>
              <w:pStyle w:val="TableText"/>
            </w:pPr>
            <w:r w:rsidRPr="00BC67BB">
              <w:t>Gap – not substantial clinical benefit</w:t>
            </w:r>
          </w:p>
          <w:p w14:paraId="063C8194" w14:textId="77777777" w:rsidR="009B6B07" w:rsidRPr="00BC67BB" w:rsidRDefault="009B6B07" w:rsidP="009B6B07">
            <w:pPr>
              <w:pStyle w:val="TableText"/>
            </w:pPr>
            <w:r>
              <w:t xml:space="preserve">The </w:t>
            </w:r>
            <w:r w:rsidRPr="0088228C">
              <w:t>ESMO-MCBS comparator is chemotherapy, no clinical advice sought</w:t>
            </w:r>
            <w:r>
              <w:t>.</w:t>
            </w:r>
          </w:p>
        </w:tc>
      </w:tr>
      <w:tr w:rsidR="009B6B07" w:rsidRPr="00066623" w14:paraId="0CD93644" w14:textId="77777777" w:rsidTr="00B521E2">
        <w:trPr>
          <w:cantSplit/>
        </w:trPr>
        <w:tc>
          <w:tcPr>
            <w:tcW w:w="1560" w:type="dxa"/>
            <w:tcBorders>
              <w:top w:val="single" w:sz="4" w:space="0" w:color="C2D9BA"/>
              <w:bottom w:val="single" w:sz="4" w:space="0" w:color="C2D9BA"/>
            </w:tcBorders>
            <w:shd w:val="clear" w:color="auto" w:fill="auto"/>
          </w:tcPr>
          <w:p w14:paraId="724834D1" w14:textId="77777777" w:rsidR="009B6B07" w:rsidRPr="00E444B3" w:rsidRDefault="009B6B07" w:rsidP="009B6B07">
            <w:pPr>
              <w:pStyle w:val="TableText"/>
            </w:pPr>
            <w:r w:rsidRPr="00E444B3">
              <w:t>Bevacizumab</w:t>
            </w:r>
            <w:r>
              <w:t>*</w:t>
            </w:r>
          </w:p>
        </w:tc>
        <w:tc>
          <w:tcPr>
            <w:tcW w:w="2835" w:type="dxa"/>
            <w:tcBorders>
              <w:top w:val="single" w:sz="4" w:space="0" w:color="C2D9BA"/>
              <w:bottom w:val="single" w:sz="4" w:space="0" w:color="C2D9BA"/>
            </w:tcBorders>
            <w:shd w:val="clear" w:color="auto" w:fill="auto"/>
          </w:tcPr>
          <w:p w14:paraId="571F214C" w14:textId="77777777" w:rsidR="009B6B07" w:rsidRDefault="009B6B07" w:rsidP="009B6B07">
            <w:pPr>
              <w:pStyle w:val="TableText"/>
              <w:ind w:right="113"/>
            </w:pPr>
            <w:r w:rsidRPr="00E444B3">
              <w:t>Lung cancer (</w:t>
            </w:r>
            <w:r>
              <w:t>non-small cell lung cancer (</w:t>
            </w:r>
            <w:r w:rsidRPr="00E444B3">
              <w:t>NSCLC</w:t>
            </w:r>
            <w:r>
              <w:t>)</w:t>
            </w:r>
            <w:r w:rsidRPr="00E444B3">
              <w:t xml:space="preserve">, locally advanced or metastatic, </w:t>
            </w:r>
            <w:r>
              <w:t>first-line</w:t>
            </w:r>
            <w:r w:rsidRPr="00E444B3">
              <w:t>)</w:t>
            </w:r>
          </w:p>
          <w:p w14:paraId="604D45B0" w14:textId="77777777" w:rsidR="009B6B07" w:rsidRPr="00E444B3" w:rsidRDefault="009B6B07" w:rsidP="009B6B07">
            <w:pPr>
              <w:pStyle w:val="TableText"/>
              <w:ind w:right="113"/>
            </w:pPr>
            <w:r>
              <w:t>Used with chemotherapy</w:t>
            </w:r>
          </w:p>
        </w:tc>
        <w:tc>
          <w:tcPr>
            <w:tcW w:w="3685" w:type="dxa"/>
            <w:tcBorders>
              <w:top w:val="single" w:sz="4" w:space="0" w:color="C2D9BA"/>
              <w:bottom w:val="single" w:sz="4" w:space="0" w:color="C2D9BA"/>
            </w:tcBorders>
            <w:shd w:val="clear" w:color="auto" w:fill="auto"/>
          </w:tcPr>
          <w:p w14:paraId="0F774C0E" w14:textId="77777777" w:rsidR="009B6B07" w:rsidRDefault="009B6B07" w:rsidP="009B6B07">
            <w:pPr>
              <w:pStyle w:val="TableText"/>
            </w:pPr>
            <w:r w:rsidRPr="00BC67BB">
              <w:t>Gap – not substantial clinical benefit</w:t>
            </w:r>
          </w:p>
          <w:p w14:paraId="6EAD63C4" w14:textId="77777777" w:rsidR="009B6B07" w:rsidRPr="00BC67BB" w:rsidRDefault="009B6B07" w:rsidP="009B6B07">
            <w:pPr>
              <w:pStyle w:val="TableText"/>
            </w:pPr>
            <w:r>
              <w:t xml:space="preserve">The </w:t>
            </w:r>
            <w:r w:rsidRPr="0088228C">
              <w:t>ESMO-MCBS comparator is chemotherapy, no clinical advice sought</w:t>
            </w:r>
            <w:r>
              <w:t>.</w:t>
            </w:r>
          </w:p>
        </w:tc>
      </w:tr>
      <w:tr w:rsidR="009B6B07" w:rsidRPr="00066623" w14:paraId="3A98E329" w14:textId="77777777" w:rsidTr="00B521E2">
        <w:trPr>
          <w:cantSplit/>
        </w:trPr>
        <w:tc>
          <w:tcPr>
            <w:tcW w:w="1560" w:type="dxa"/>
            <w:tcBorders>
              <w:top w:val="single" w:sz="4" w:space="0" w:color="C2D9BA"/>
              <w:bottom w:val="single" w:sz="4" w:space="0" w:color="C2D9BA"/>
            </w:tcBorders>
            <w:shd w:val="clear" w:color="auto" w:fill="auto"/>
          </w:tcPr>
          <w:p w14:paraId="04037D16" w14:textId="77777777" w:rsidR="009B6B07" w:rsidRPr="00E444B3" w:rsidRDefault="009B6B07" w:rsidP="009B6B07">
            <w:pPr>
              <w:pStyle w:val="TableText"/>
            </w:pPr>
            <w:r w:rsidRPr="00E444B3">
              <w:t>Eribulin</w:t>
            </w:r>
          </w:p>
        </w:tc>
        <w:tc>
          <w:tcPr>
            <w:tcW w:w="2835" w:type="dxa"/>
            <w:tcBorders>
              <w:top w:val="single" w:sz="4" w:space="0" w:color="C2D9BA"/>
              <w:bottom w:val="single" w:sz="4" w:space="0" w:color="C2D9BA"/>
            </w:tcBorders>
            <w:shd w:val="clear" w:color="auto" w:fill="auto"/>
          </w:tcPr>
          <w:p w14:paraId="14E2792E" w14:textId="77777777" w:rsidR="009B6B07" w:rsidRPr="00E444B3" w:rsidRDefault="009B6B07" w:rsidP="009B6B07">
            <w:pPr>
              <w:pStyle w:val="TableText"/>
              <w:ind w:right="113"/>
            </w:pPr>
            <w:r w:rsidRPr="00E444B3">
              <w:t>Breast cancer</w:t>
            </w:r>
            <w:r>
              <w:t xml:space="preserve"> (locally advanced or metastatic, third-line)</w:t>
            </w:r>
          </w:p>
        </w:tc>
        <w:tc>
          <w:tcPr>
            <w:tcW w:w="3685" w:type="dxa"/>
            <w:tcBorders>
              <w:top w:val="single" w:sz="4" w:space="0" w:color="C2D9BA"/>
              <w:bottom w:val="single" w:sz="4" w:space="0" w:color="C2D9BA"/>
            </w:tcBorders>
            <w:shd w:val="clear" w:color="auto" w:fill="auto"/>
          </w:tcPr>
          <w:p w14:paraId="4F4F986D" w14:textId="77777777" w:rsidR="009B6B07" w:rsidRDefault="009B6B07" w:rsidP="009B6B07">
            <w:pPr>
              <w:pStyle w:val="TableText"/>
            </w:pPr>
            <w:r w:rsidRPr="00BC67BB">
              <w:t>Gap – not substantial clinical benefit</w:t>
            </w:r>
          </w:p>
          <w:p w14:paraId="3B9768B6" w14:textId="77777777" w:rsidR="009B6B07" w:rsidRPr="00BC67BB" w:rsidRDefault="009B6B07" w:rsidP="009B6B07">
            <w:pPr>
              <w:pStyle w:val="TableText"/>
            </w:pPr>
            <w:r>
              <w:t xml:space="preserve">The </w:t>
            </w:r>
            <w:r w:rsidRPr="0088228C">
              <w:t xml:space="preserve">ESMO-MCBS comparator is </w:t>
            </w:r>
            <w:r>
              <w:t>‘</w:t>
            </w:r>
            <w:r w:rsidRPr="0088228C">
              <w:t>treatment of physician</w:t>
            </w:r>
            <w:r>
              <w:t>’</w:t>
            </w:r>
            <w:r w:rsidRPr="0088228C">
              <w:t>s choice</w:t>
            </w:r>
            <w:r>
              <w:t>’</w:t>
            </w:r>
            <w:r w:rsidRPr="0088228C">
              <w:t>, no clinical advice sought</w:t>
            </w:r>
            <w:r>
              <w:t>.</w:t>
            </w:r>
          </w:p>
        </w:tc>
      </w:tr>
      <w:tr w:rsidR="009B6B07" w:rsidRPr="00066623" w14:paraId="1DC42D96" w14:textId="77777777" w:rsidTr="00B521E2">
        <w:trPr>
          <w:cantSplit/>
        </w:trPr>
        <w:tc>
          <w:tcPr>
            <w:tcW w:w="1560" w:type="dxa"/>
            <w:tcBorders>
              <w:top w:val="single" w:sz="4" w:space="0" w:color="C2D9BA"/>
              <w:bottom w:val="single" w:sz="4" w:space="0" w:color="C2D9BA"/>
            </w:tcBorders>
            <w:shd w:val="clear" w:color="auto" w:fill="auto"/>
          </w:tcPr>
          <w:p w14:paraId="164F7BF5" w14:textId="77777777" w:rsidR="009B6B07" w:rsidRDefault="009B6B07" w:rsidP="009B6B07">
            <w:pPr>
              <w:pStyle w:val="TableText"/>
            </w:pPr>
            <w:r>
              <w:t>Everolimus</w:t>
            </w:r>
          </w:p>
        </w:tc>
        <w:tc>
          <w:tcPr>
            <w:tcW w:w="2835" w:type="dxa"/>
            <w:tcBorders>
              <w:top w:val="single" w:sz="4" w:space="0" w:color="C2D9BA"/>
              <w:bottom w:val="single" w:sz="4" w:space="0" w:color="C2D9BA"/>
            </w:tcBorders>
            <w:shd w:val="clear" w:color="auto" w:fill="auto"/>
          </w:tcPr>
          <w:p w14:paraId="0253143D" w14:textId="77777777" w:rsidR="009B6B07" w:rsidRDefault="009B6B07" w:rsidP="009B6B07">
            <w:pPr>
              <w:pStyle w:val="TableText"/>
              <w:ind w:right="113"/>
            </w:pPr>
            <w:r>
              <w:t>Breast cancer (stage IV, HR+, HER-2 -ve, endocrine resistant)</w:t>
            </w:r>
          </w:p>
          <w:p w14:paraId="483C1E68" w14:textId="77777777" w:rsidR="009B6B07" w:rsidRDefault="009B6B07" w:rsidP="009B6B07">
            <w:pPr>
              <w:pStyle w:val="TableText"/>
              <w:ind w:right="113"/>
            </w:pPr>
            <w:r>
              <w:t>Used with exemestane</w:t>
            </w:r>
          </w:p>
        </w:tc>
        <w:tc>
          <w:tcPr>
            <w:tcW w:w="3685" w:type="dxa"/>
            <w:tcBorders>
              <w:top w:val="single" w:sz="4" w:space="0" w:color="C2D9BA"/>
              <w:bottom w:val="single" w:sz="4" w:space="0" w:color="C2D9BA"/>
            </w:tcBorders>
            <w:shd w:val="clear" w:color="auto" w:fill="auto"/>
          </w:tcPr>
          <w:p w14:paraId="4567691B" w14:textId="77777777" w:rsidR="009B6B07" w:rsidRDefault="009B6B07" w:rsidP="009B6B07">
            <w:pPr>
              <w:pStyle w:val="TableText"/>
            </w:pPr>
            <w:r>
              <w:t>Gap – not substantial clinical benefit</w:t>
            </w:r>
          </w:p>
          <w:p w14:paraId="2B37FBD0" w14:textId="77777777" w:rsidR="009B6B07" w:rsidRDefault="009B6B07" w:rsidP="009B6B07">
            <w:pPr>
              <w:pStyle w:val="TableText"/>
            </w:pPr>
            <w:r>
              <w:t>The ESMO-MCBS comparator is placebo. No clinical advice sought.</w:t>
            </w:r>
          </w:p>
        </w:tc>
      </w:tr>
      <w:tr w:rsidR="009B6B07" w:rsidRPr="00066623" w14:paraId="0B2733C0" w14:textId="77777777" w:rsidTr="00B521E2">
        <w:trPr>
          <w:cantSplit/>
        </w:trPr>
        <w:tc>
          <w:tcPr>
            <w:tcW w:w="1560" w:type="dxa"/>
            <w:tcBorders>
              <w:top w:val="single" w:sz="4" w:space="0" w:color="C2D9BA"/>
              <w:bottom w:val="single" w:sz="4" w:space="0" w:color="C2D9BA"/>
            </w:tcBorders>
            <w:shd w:val="clear" w:color="auto" w:fill="auto"/>
          </w:tcPr>
          <w:p w14:paraId="0A1590DD" w14:textId="77777777" w:rsidR="009B6B07" w:rsidRPr="00E444B3" w:rsidRDefault="009B6B07" w:rsidP="009B6B07">
            <w:pPr>
              <w:pStyle w:val="TableText"/>
            </w:pPr>
            <w:r>
              <w:t>Fulvestrant</w:t>
            </w:r>
          </w:p>
        </w:tc>
        <w:tc>
          <w:tcPr>
            <w:tcW w:w="2835" w:type="dxa"/>
            <w:tcBorders>
              <w:top w:val="single" w:sz="4" w:space="0" w:color="C2D9BA"/>
              <w:bottom w:val="single" w:sz="4" w:space="0" w:color="C2D9BA"/>
            </w:tcBorders>
            <w:shd w:val="clear" w:color="auto" w:fill="auto"/>
          </w:tcPr>
          <w:p w14:paraId="786318B1" w14:textId="77777777" w:rsidR="009B6B07" w:rsidRPr="00E444B3" w:rsidRDefault="009B6B07" w:rsidP="009B6B07">
            <w:pPr>
              <w:pStyle w:val="TableText"/>
              <w:ind w:right="113"/>
            </w:pPr>
            <w:r>
              <w:t>Breast cancer (locally advanced or metastatic, HR+, HER-2-, unresectable, first-line)</w:t>
            </w:r>
          </w:p>
        </w:tc>
        <w:tc>
          <w:tcPr>
            <w:tcW w:w="3685" w:type="dxa"/>
            <w:tcBorders>
              <w:top w:val="single" w:sz="4" w:space="0" w:color="C2D9BA"/>
              <w:bottom w:val="single" w:sz="4" w:space="0" w:color="C2D9BA"/>
            </w:tcBorders>
            <w:shd w:val="clear" w:color="auto" w:fill="auto"/>
          </w:tcPr>
          <w:p w14:paraId="0CB7372A" w14:textId="77777777" w:rsidR="009B6B07" w:rsidRDefault="009B6B07" w:rsidP="009B6B07">
            <w:pPr>
              <w:pStyle w:val="TableText"/>
            </w:pPr>
            <w:r w:rsidRPr="00BC67BB">
              <w:t>Gap – not substantial clinical benefit</w:t>
            </w:r>
          </w:p>
          <w:p w14:paraId="6BCBF948" w14:textId="77777777" w:rsidR="009B6B07" w:rsidRPr="00BC67BB" w:rsidRDefault="009B6B07" w:rsidP="009B6B07">
            <w:pPr>
              <w:pStyle w:val="TableText"/>
            </w:pPr>
            <w:r>
              <w:t xml:space="preserve">The </w:t>
            </w:r>
            <w:r w:rsidRPr="0088228C">
              <w:t>ESMO-MCBS comparator is anastrozole (funded in Aotearoa without restriction), no clinical advice sought</w:t>
            </w:r>
            <w:r>
              <w:t>.</w:t>
            </w:r>
          </w:p>
        </w:tc>
      </w:tr>
      <w:tr w:rsidR="009B6B07" w:rsidRPr="00066623" w14:paraId="61F740B1" w14:textId="77777777" w:rsidTr="00B521E2">
        <w:trPr>
          <w:cantSplit/>
        </w:trPr>
        <w:tc>
          <w:tcPr>
            <w:tcW w:w="1560" w:type="dxa"/>
            <w:tcBorders>
              <w:top w:val="single" w:sz="4" w:space="0" w:color="C2D9BA"/>
              <w:bottom w:val="single" w:sz="4" w:space="0" w:color="C2D9BA"/>
            </w:tcBorders>
            <w:shd w:val="clear" w:color="auto" w:fill="auto"/>
          </w:tcPr>
          <w:p w14:paraId="79F8F223" w14:textId="77777777" w:rsidR="009B6B07" w:rsidRPr="00E444B3" w:rsidRDefault="009B6B07" w:rsidP="009B6B07">
            <w:pPr>
              <w:pStyle w:val="TableText"/>
            </w:pPr>
            <w:r w:rsidRPr="00E444B3">
              <w:t>Nab-paclitaxel</w:t>
            </w:r>
          </w:p>
        </w:tc>
        <w:tc>
          <w:tcPr>
            <w:tcW w:w="2835" w:type="dxa"/>
            <w:tcBorders>
              <w:top w:val="single" w:sz="4" w:space="0" w:color="C2D9BA"/>
              <w:bottom w:val="single" w:sz="4" w:space="0" w:color="C2D9BA"/>
            </w:tcBorders>
            <w:shd w:val="clear" w:color="auto" w:fill="auto"/>
          </w:tcPr>
          <w:p w14:paraId="5E6E1B0E" w14:textId="77777777" w:rsidR="009B6B07" w:rsidRDefault="009B6B07" w:rsidP="009B6B07">
            <w:pPr>
              <w:pStyle w:val="TableText"/>
              <w:ind w:right="113"/>
            </w:pPr>
            <w:r w:rsidRPr="00E444B3">
              <w:t>Pancreatic cancer</w:t>
            </w:r>
            <w:r>
              <w:t xml:space="preserve"> (stage IV, first</w:t>
            </w:r>
            <w:r>
              <w:noBreakHyphen/>
              <w:t>line)</w:t>
            </w:r>
          </w:p>
          <w:p w14:paraId="4110C91E" w14:textId="77777777" w:rsidR="009B6B07" w:rsidRPr="00E444B3" w:rsidRDefault="009B6B07" w:rsidP="009B6B07">
            <w:pPr>
              <w:pStyle w:val="TableText"/>
              <w:ind w:right="113"/>
            </w:pPr>
            <w:r>
              <w:t>Used with gemcitabine</w:t>
            </w:r>
          </w:p>
        </w:tc>
        <w:tc>
          <w:tcPr>
            <w:tcW w:w="3685" w:type="dxa"/>
            <w:tcBorders>
              <w:top w:val="single" w:sz="4" w:space="0" w:color="C2D9BA"/>
              <w:bottom w:val="single" w:sz="4" w:space="0" w:color="C2D9BA"/>
            </w:tcBorders>
            <w:shd w:val="clear" w:color="auto" w:fill="auto"/>
          </w:tcPr>
          <w:p w14:paraId="3C00665B" w14:textId="77777777" w:rsidR="009B6B07" w:rsidRDefault="009B6B07" w:rsidP="009B6B07">
            <w:pPr>
              <w:pStyle w:val="TableText"/>
            </w:pPr>
            <w:r w:rsidRPr="00BC67BB">
              <w:t>Gap – not substantial clinical benefit</w:t>
            </w:r>
          </w:p>
          <w:p w14:paraId="76637E75" w14:textId="77777777" w:rsidR="009B6B07" w:rsidRPr="00BC67BB" w:rsidRDefault="009B6B07" w:rsidP="009B6B07">
            <w:pPr>
              <w:pStyle w:val="TableText"/>
            </w:pPr>
            <w:r>
              <w:t xml:space="preserve">The </w:t>
            </w:r>
            <w:r w:rsidRPr="0088228C">
              <w:t>ESMO-MCBS comparator is gemcitabine (funded in Aotearoa without restriction), no clinical advice sought</w:t>
            </w:r>
            <w:r>
              <w:t>.</w:t>
            </w:r>
          </w:p>
        </w:tc>
      </w:tr>
      <w:tr w:rsidR="009B6B07" w:rsidRPr="00066623" w14:paraId="3E6FDF11" w14:textId="77777777" w:rsidTr="00B521E2">
        <w:trPr>
          <w:cantSplit/>
        </w:trPr>
        <w:tc>
          <w:tcPr>
            <w:tcW w:w="1560" w:type="dxa"/>
            <w:tcBorders>
              <w:top w:val="single" w:sz="4" w:space="0" w:color="C2D9BA"/>
              <w:bottom w:val="single" w:sz="4" w:space="0" w:color="C2D9BA"/>
            </w:tcBorders>
            <w:shd w:val="clear" w:color="auto" w:fill="auto"/>
          </w:tcPr>
          <w:p w14:paraId="6579BF9C" w14:textId="77777777" w:rsidR="009B6B07" w:rsidRPr="00E444B3" w:rsidRDefault="009B6B07" w:rsidP="009B6B07">
            <w:pPr>
              <w:pStyle w:val="TableText"/>
            </w:pPr>
            <w:r w:rsidRPr="00E444B3">
              <w:t>Trifluridine + tipiracil</w:t>
            </w:r>
          </w:p>
        </w:tc>
        <w:tc>
          <w:tcPr>
            <w:tcW w:w="2835" w:type="dxa"/>
            <w:tcBorders>
              <w:top w:val="single" w:sz="4" w:space="0" w:color="C2D9BA"/>
              <w:bottom w:val="single" w:sz="4" w:space="0" w:color="C2D9BA"/>
            </w:tcBorders>
            <w:shd w:val="clear" w:color="auto" w:fill="auto"/>
          </w:tcPr>
          <w:p w14:paraId="0AB8A070" w14:textId="77777777" w:rsidR="009B6B07" w:rsidRPr="00E444B3" w:rsidRDefault="009B6B07" w:rsidP="009B6B07">
            <w:pPr>
              <w:pStyle w:val="TableText"/>
              <w:ind w:right="113"/>
            </w:pPr>
            <w:r w:rsidRPr="00E444B3">
              <w:t>Colorectal cancer</w:t>
            </w:r>
            <w:r>
              <w:t xml:space="preserve"> (metastatic, later-line)</w:t>
            </w:r>
          </w:p>
        </w:tc>
        <w:tc>
          <w:tcPr>
            <w:tcW w:w="3685" w:type="dxa"/>
            <w:tcBorders>
              <w:top w:val="single" w:sz="4" w:space="0" w:color="C2D9BA"/>
              <w:bottom w:val="single" w:sz="4" w:space="0" w:color="C2D9BA"/>
            </w:tcBorders>
            <w:shd w:val="clear" w:color="auto" w:fill="auto"/>
          </w:tcPr>
          <w:p w14:paraId="67EF9737" w14:textId="77777777" w:rsidR="009B6B07" w:rsidRDefault="009B6B07" w:rsidP="009B6B07">
            <w:pPr>
              <w:pStyle w:val="TableText"/>
            </w:pPr>
            <w:r w:rsidRPr="00BC67BB">
              <w:t>Gap – not substantial clinical benefit</w:t>
            </w:r>
          </w:p>
          <w:p w14:paraId="6D891176" w14:textId="77777777" w:rsidR="009B6B07" w:rsidRPr="0088228C" w:rsidRDefault="009B6B07" w:rsidP="009B6B07">
            <w:pPr>
              <w:pStyle w:val="TableText"/>
            </w:pPr>
            <w:r>
              <w:t xml:space="preserve">The </w:t>
            </w:r>
            <w:r w:rsidRPr="0088228C">
              <w:t>ESMO-MCBS comparator is placebo, no clinical advice sought.</w:t>
            </w:r>
          </w:p>
        </w:tc>
      </w:tr>
    </w:tbl>
    <w:bookmarkEnd w:id="373"/>
    <w:p w14:paraId="64CD6B1C" w14:textId="77777777" w:rsidR="00C338E8" w:rsidRDefault="00B12E4F" w:rsidP="009B6B07">
      <w:pPr>
        <w:pStyle w:val="Note"/>
      </w:pPr>
      <w:r w:rsidRPr="00E444B3">
        <w:t>*</w:t>
      </w:r>
      <w:r>
        <w:tab/>
      </w:r>
      <w:r w:rsidRPr="00E444B3">
        <w:t>Funded without restriction in Australia. Indications from TGA</w:t>
      </w:r>
      <w:r>
        <w:t>-</w:t>
      </w:r>
      <w:r w:rsidRPr="00E444B3">
        <w:t>approved product information and eviQ</w:t>
      </w:r>
      <w:r>
        <w:t>.</w:t>
      </w:r>
    </w:p>
    <w:p w14:paraId="37930C81" w14:textId="77777777" w:rsidR="00C338E8" w:rsidRDefault="00C338E8" w:rsidP="009B6B07"/>
    <w:p w14:paraId="1F5389F5" w14:textId="77777777" w:rsidR="00C338E8" w:rsidRDefault="0056499C" w:rsidP="00607890">
      <w:pPr>
        <w:keepNext/>
        <w:keepLines/>
      </w:pPr>
      <w:hyperlink w:anchor="Appendix_5_Table_5point6" w:history="1">
        <w:r w:rsidR="00607890" w:rsidRPr="00607890">
          <w:rPr>
            <w:rStyle w:val="Hyperlink"/>
          </w:rPr>
          <w:t>Table 5.6</w:t>
        </w:r>
      </w:hyperlink>
      <w:r w:rsidR="00B12E4F" w:rsidRPr="00607890">
        <w:t xml:space="preserve"> shows</w:t>
      </w:r>
      <w:r w:rsidR="00B12E4F">
        <w:t xml:space="preserve"> medicines funded in Australia but not in Aotearoa where there was no ESMO-MCBS score available. This table provides information on how gaps were handled after checking/confirmation with clinical advisors, including input on a likely score for the Aotearoa context.</w:t>
      </w:r>
    </w:p>
    <w:p w14:paraId="62E02E5B" w14:textId="77777777" w:rsidR="00C338E8" w:rsidRDefault="00C338E8" w:rsidP="00B12E4F"/>
    <w:p w14:paraId="4D5F354B" w14:textId="77777777" w:rsidR="00B12E4F" w:rsidRDefault="00B12E4F" w:rsidP="009B6B07">
      <w:pPr>
        <w:pStyle w:val="Table"/>
      </w:pPr>
      <w:bookmarkStart w:id="374" w:name="_Toc101365614"/>
      <w:bookmarkStart w:id="375" w:name="Appendix_5_Table_5point6"/>
      <w:r w:rsidRPr="00E444B3">
        <w:t>Table</w:t>
      </w:r>
      <w:r w:rsidR="009B6B07">
        <w:t> </w:t>
      </w:r>
      <w:r>
        <w:t>5.6</w:t>
      </w:r>
      <w:r w:rsidRPr="00E444B3">
        <w:t>: Medicines funded in Australia and not in Aotearoa – ESMO-MCBS score not available for the funded indication</w:t>
      </w:r>
      <w:bookmarkEnd w:id="37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2835"/>
        <w:gridCol w:w="3685"/>
      </w:tblGrid>
      <w:tr w:rsidR="00B521E2" w:rsidRPr="000C1356" w14:paraId="4C625247" w14:textId="77777777" w:rsidTr="00B521E2">
        <w:trPr>
          <w:cantSplit/>
          <w:tblHeader/>
        </w:trPr>
        <w:tc>
          <w:tcPr>
            <w:tcW w:w="1560" w:type="dxa"/>
            <w:tcBorders>
              <w:top w:val="nil"/>
              <w:bottom w:val="nil"/>
            </w:tcBorders>
            <w:shd w:val="clear" w:color="auto" w:fill="C2D9BA"/>
          </w:tcPr>
          <w:p w14:paraId="588C6F16" w14:textId="77777777" w:rsidR="00B521E2" w:rsidRPr="000C1356" w:rsidRDefault="00B521E2" w:rsidP="00607890">
            <w:pPr>
              <w:pStyle w:val="TableText"/>
              <w:rPr>
                <w:b/>
              </w:rPr>
            </w:pPr>
            <w:r w:rsidRPr="000C1356">
              <w:rPr>
                <w:b/>
              </w:rPr>
              <w:t>Medicine</w:t>
            </w:r>
          </w:p>
        </w:tc>
        <w:tc>
          <w:tcPr>
            <w:tcW w:w="2835" w:type="dxa"/>
            <w:tcBorders>
              <w:top w:val="nil"/>
              <w:bottom w:val="nil"/>
            </w:tcBorders>
            <w:shd w:val="clear" w:color="auto" w:fill="C2D9BA"/>
          </w:tcPr>
          <w:p w14:paraId="1E8E8DF7" w14:textId="77777777" w:rsidR="00B521E2" w:rsidRPr="000C1356" w:rsidRDefault="00B521E2" w:rsidP="00607890">
            <w:pPr>
              <w:pStyle w:val="TableText"/>
              <w:ind w:right="113"/>
              <w:rPr>
                <w:b/>
              </w:rPr>
            </w:pPr>
            <w:r w:rsidRPr="000C1356">
              <w:rPr>
                <w:b/>
              </w:rPr>
              <w:t xml:space="preserve">Indication </w:t>
            </w:r>
            <w:r>
              <w:rPr>
                <w:b/>
              </w:rPr>
              <w:t xml:space="preserve">as </w:t>
            </w:r>
            <w:r w:rsidRPr="000C1356">
              <w:rPr>
                <w:b/>
              </w:rPr>
              <w:t>per PBS</w:t>
            </w:r>
          </w:p>
        </w:tc>
        <w:tc>
          <w:tcPr>
            <w:tcW w:w="3685" w:type="dxa"/>
            <w:tcBorders>
              <w:top w:val="nil"/>
              <w:bottom w:val="nil"/>
            </w:tcBorders>
            <w:shd w:val="clear" w:color="auto" w:fill="C2D9BA"/>
          </w:tcPr>
          <w:p w14:paraId="5DE8F094" w14:textId="77777777" w:rsidR="00B521E2" w:rsidRPr="000C1356" w:rsidRDefault="00B521E2" w:rsidP="00607890">
            <w:pPr>
              <w:pStyle w:val="TableText"/>
              <w:rPr>
                <w:b/>
              </w:rPr>
            </w:pPr>
            <w:r>
              <w:rPr>
                <w:b/>
              </w:rPr>
              <w:t>Final gap category</w:t>
            </w:r>
          </w:p>
        </w:tc>
      </w:tr>
      <w:tr w:rsidR="009B6B07" w:rsidRPr="00860E6D" w14:paraId="77F4B815" w14:textId="77777777" w:rsidTr="00B521E2">
        <w:trPr>
          <w:cantSplit/>
        </w:trPr>
        <w:tc>
          <w:tcPr>
            <w:tcW w:w="1560" w:type="dxa"/>
            <w:tcBorders>
              <w:top w:val="nil"/>
              <w:bottom w:val="single" w:sz="4" w:space="0" w:color="C2D9BA"/>
            </w:tcBorders>
            <w:shd w:val="clear" w:color="auto" w:fill="auto"/>
          </w:tcPr>
          <w:p w14:paraId="72FB58F0" w14:textId="77777777" w:rsidR="009B6B07" w:rsidRPr="00E444B3" w:rsidRDefault="009B6B07" w:rsidP="00607890">
            <w:pPr>
              <w:pStyle w:val="TableText"/>
            </w:pPr>
            <w:r w:rsidRPr="00E444B3">
              <w:t>Bevacizumab*</w:t>
            </w:r>
          </w:p>
        </w:tc>
        <w:tc>
          <w:tcPr>
            <w:tcW w:w="2835" w:type="dxa"/>
            <w:tcBorders>
              <w:top w:val="nil"/>
              <w:bottom w:val="single" w:sz="4" w:space="0" w:color="C2D9BA"/>
            </w:tcBorders>
            <w:shd w:val="clear" w:color="auto" w:fill="auto"/>
          </w:tcPr>
          <w:p w14:paraId="2F8FE5A7" w14:textId="77777777" w:rsidR="009B6B07" w:rsidRPr="00E444B3" w:rsidRDefault="009B6B07" w:rsidP="00607890">
            <w:pPr>
              <w:pStyle w:val="TableText"/>
              <w:ind w:right="113"/>
            </w:pPr>
            <w:r w:rsidRPr="00E444B3">
              <w:t>Glioma</w:t>
            </w:r>
            <w:r>
              <w:t xml:space="preserve"> (stage IV, relapsed or refractory, post standard care including chemotherapy)</w:t>
            </w:r>
          </w:p>
        </w:tc>
        <w:tc>
          <w:tcPr>
            <w:tcW w:w="3685" w:type="dxa"/>
            <w:tcBorders>
              <w:top w:val="nil"/>
              <w:bottom w:val="single" w:sz="4" w:space="0" w:color="C2D9BA"/>
            </w:tcBorders>
            <w:shd w:val="clear" w:color="auto" w:fill="auto"/>
          </w:tcPr>
          <w:p w14:paraId="3E69F1E3" w14:textId="77777777" w:rsidR="009B6B07" w:rsidRDefault="009B6B07" w:rsidP="00607890">
            <w:pPr>
              <w:pStyle w:val="TableText"/>
            </w:pPr>
            <w:r w:rsidRPr="00BC67BB">
              <w:t>Gap – not substantial clinical benefit</w:t>
            </w:r>
          </w:p>
          <w:p w14:paraId="0171707A" w14:textId="77777777" w:rsidR="009B6B07" w:rsidRPr="0088228C" w:rsidRDefault="009B6B07" w:rsidP="00607890">
            <w:pPr>
              <w:pStyle w:val="TableText"/>
            </w:pPr>
            <w:r w:rsidRPr="0088228C">
              <w:t xml:space="preserve">Clinical advice indicated </w:t>
            </w:r>
            <w:r>
              <w:t xml:space="preserve">the </w:t>
            </w:r>
            <w:r w:rsidRPr="0088228C">
              <w:t>relevant comparator would be best supportive care. Unlikely to score 4 or 5 against this comparator for this indication</w:t>
            </w:r>
            <w:r>
              <w:t>.</w:t>
            </w:r>
          </w:p>
        </w:tc>
      </w:tr>
      <w:tr w:rsidR="009B6B07" w:rsidRPr="00066623" w14:paraId="0A9144EB" w14:textId="77777777" w:rsidTr="00B521E2">
        <w:trPr>
          <w:cantSplit/>
        </w:trPr>
        <w:tc>
          <w:tcPr>
            <w:tcW w:w="1560" w:type="dxa"/>
            <w:tcBorders>
              <w:top w:val="single" w:sz="4" w:space="0" w:color="C2D9BA"/>
              <w:bottom w:val="single" w:sz="4" w:space="0" w:color="C2D9BA"/>
            </w:tcBorders>
            <w:shd w:val="clear" w:color="auto" w:fill="auto"/>
          </w:tcPr>
          <w:p w14:paraId="0246ED94" w14:textId="77777777" w:rsidR="009B6B07" w:rsidRPr="00E444B3" w:rsidRDefault="009B6B07" w:rsidP="009B6B07">
            <w:pPr>
              <w:pStyle w:val="TableText"/>
            </w:pPr>
            <w:r w:rsidRPr="00E444B3">
              <w:t>Carmustine</w:t>
            </w:r>
            <w:r>
              <w:t xml:space="preserve"> – </w:t>
            </w:r>
            <w:r w:rsidRPr="00E444B3">
              <w:t>implant</w:t>
            </w:r>
          </w:p>
        </w:tc>
        <w:tc>
          <w:tcPr>
            <w:tcW w:w="2835" w:type="dxa"/>
            <w:tcBorders>
              <w:top w:val="single" w:sz="4" w:space="0" w:color="C2D9BA"/>
              <w:bottom w:val="single" w:sz="4" w:space="0" w:color="C2D9BA"/>
            </w:tcBorders>
            <w:shd w:val="clear" w:color="auto" w:fill="auto"/>
          </w:tcPr>
          <w:p w14:paraId="7614EDA7" w14:textId="77777777" w:rsidR="009B6B07" w:rsidRPr="00E444B3" w:rsidRDefault="009B6B07" w:rsidP="009B6B07">
            <w:pPr>
              <w:pStyle w:val="TableText"/>
              <w:ind w:right="113"/>
            </w:pPr>
            <w:r w:rsidRPr="00E444B3">
              <w:t>Glioblastoma multiforme</w:t>
            </w:r>
            <w:r>
              <w:t xml:space="preserve"> (suspected or confirmed at time of initial surgery)</w:t>
            </w:r>
          </w:p>
        </w:tc>
        <w:tc>
          <w:tcPr>
            <w:tcW w:w="3685" w:type="dxa"/>
            <w:tcBorders>
              <w:top w:val="single" w:sz="4" w:space="0" w:color="C2D9BA"/>
              <w:bottom w:val="single" w:sz="4" w:space="0" w:color="C2D9BA"/>
            </w:tcBorders>
            <w:shd w:val="clear" w:color="auto" w:fill="auto"/>
          </w:tcPr>
          <w:p w14:paraId="1BEE03ED" w14:textId="77777777" w:rsidR="009B6B07" w:rsidRDefault="009B6B07" w:rsidP="009B6B07">
            <w:pPr>
              <w:pStyle w:val="TableText"/>
            </w:pPr>
            <w:r w:rsidRPr="00BC67BB">
              <w:t>Gap – not substantial clinical benefit</w:t>
            </w:r>
          </w:p>
          <w:p w14:paraId="15196701" w14:textId="77777777" w:rsidR="009B6B07" w:rsidRPr="00BC67BB" w:rsidRDefault="009B6B07" w:rsidP="009B6B07">
            <w:pPr>
              <w:pStyle w:val="TableText"/>
            </w:pPr>
            <w:r w:rsidRPr="0088228C">
              <w:t xml:space="preserve">Clinical advice indicated </w:t>
            </w:r>
            <w:r>
              <w:t xml:space="preserve">the </w:t>
            </w:r>
            <w:r w:rsidRPr="0088228C">
              <w:t>relevant comparator would be carmustine injection. Unlikely to score 4 or 5 against this comparator for this indication</w:t>
            </w:r>
            <w:r>
              <w:t>.</w:t>
            </w:r>
          </w:p>
        </w:tc>
      </w:tr>
      <w:tr w:rsidR="009B6B07" w:rsidRPr="00066623" w14:paraId="01614F41" w14:textId="77777777" w:rsidTr="00B521E2">
        <w:trPr>
          <w:cantSplit/>
        </w:trPr>
        <w:tc>
          <w:tcPr>
            <w:tcW w:w="1560" w:type="dxa"/>
            <w:tcBorders>
              <w:top w:val="single" w:sz="4" w:space="0" w:color="C2D9BA"/>
              <w:bottom w:val="single" w:sz="4" w:space="0" w:color="C2D9BA"/>
            </w:tcBorders>
            <w:shd w:val="clear" w:color="auto" w:fill="auto"/>
          </w:tcPr>
          <w:p w14:paraId="020D9DA7" w14:textId="77777777" w:rsidR="009B6B07" w:rsidRPr="00E444B3" w:rsidRDefault="009B6B07" w:rsidP="009B6B07">
            <w:pPr>
              <w:pStyle w:val="TableText"/>
            </w:pPr>
            <w:r w:rsidRPr="00E444B3">
              <w:t>Degarelix</w:t>
            </w:r>
          </w:p>
        </w:tc>
        <w:tc>
          <w:tcPr>
            <w:tcW w:w="2835" w:type="dxa"/>
            <w:tcBorders>
              <w:top w:val="single" w:sz="4" w:space="0" w:color="C2D9BA"/>
              <w:bottom w:val="single" w:sz="4" w:space="0" w:color="C2D9BA"/>
            </w:tcBorders>
            <w:shd w:val="clear" w:color="auto" w:fill="auto"/>
          </w:tcPr>
          <w:p w14:paraId="5F65BE92" w14:textId="77777777" w:rsidR="009B6B07" w:rsidRPr="00E444B3" w:rsidRDefault="009B6B07" w:rsidP="009B6B07">
            <w:pPr>
              <w:pStyle w:val="TableText"/>
              <w:ind w:right="113"/>
            </w:pPr>
            <w:r w:rsidRPr="00E444B3">
              <w:t>Prostate cancer</w:t>
            </w:r>
            <w:r>
              <w:t xml:space="preserve"> (locally advanced or metastatic)</w:t>
            </w:r>
          </w:p>
        </w:tc>
        <w:tc>
          <w:tcPr>
            <w:tcW w:w="3685" w:type="dxa"/>
            <w:tcBorders>
              <w:top w:val="single" w:sz="4" w:space="0" w:color="C2D9BA"/>
              <w:bottom w:val="single" w:sz="4" w:space="0" w:color="C2D9BA"/>
            </w:tcBorders>
            <w:shd w:val="clear" w:color="auto" w:fill="auto"/>
          </w:tcPr>
          <w:p w14:paraId="5D4CDC01" w14:textId="77777777" w:rsidR="009B6B07" w:rsidRDefault="009B6B07" w:rsidP="009B6B07">
            <w:pPr>
              <w:pStyle w:val="TableText"/>
            </w:pPr>
            <w:r w:rsidRPr="00BC67BB">
              <w:t>Gap – not substantial clinical benefit</w:t>
            </w:r>
          </w:p>
          <w:p w14:paraId="68A0F198" w14:textId="77777777" w:rsidR="009B6B07" w:rsidRPr="00BC67BB" w:rsidRDefault="009B6B07" w:rsidP="009B6B07">
            <w:pPr>
              <w:pStyle w:val="TableText"/>
            </w:pPr>
            <w:r w:rsidRPr="0088228C">
              <w:t xml:space="preserve">Clinical advice indicated </w:t>
            </w:r>
            <w:r>
              <w:t xml:space="preserve">the </w:t>
            </w:r>
            <w:r w:rsidRPr="0088228C">
              <w:t>relevant comparator would be goserelin. Unlikely to score 4 or 5 against this comparator for this indication</w:t>
            </w:r>
            <w:r>
              <w:t>.</w:t>
            </w:r>
          </w:p>
        </w:tc>
      </w:tr>
      <w:tr w:rsidR="009B6B07" w:rsidRPr="00066623" w14:paraId="0786E2AA" w14:textId="77777777" w:rsidTr="00B521E2">
        <w:trPr>
          <w:cantSplit/>
        </w:trPr>
        <w:tc>
          <w:tcPr>
            <w:tcW w:w="1560" w:type="dxa"/>
            <w:tcBorders>
              <w:top w:val="single" w:sz="4" w:space="0" w:color="C2D9BA"/>
              <w:bottom w:val="single" w:sz="4" w:space="0" w:color="C2D9BA"/>
            </w:tcBorders>
            <w:shd w:val="clear" w:color="auto" w:fill="auto"/>
          </w:tcPr>
          <w:p w14:paraId="0D2A2DD5" w14:textId="77777777" w:rsidR="009B6B07" w:rsidRPr="00E444B3" w:rsidRDefault="009B6B07" w:rsidP="009B6B07">
            <w:pPr>
              <w:pStyle w:val="TableText"/>
            </w:pPr>
            <w:r w:rsidRPr="00E444B3">
              <w:t>Doxorubicin – pegylated liposomal</w:t>
            </w:r>
          </w:p>
        </w:tc>
        <w:tc>
          <w:tcPr>
            <w:tcW w:w="2835" w:type="dxa"/>
            <w:tcBorders>
              <w:top w:val="single" w:sz="4" w:space="0" w:color="C2D9BA"/>
              <w:bottom w:val="single" w:sz="4" w:space="0" w:color="C2D9BA"/>
            </w:tcBorders>
            <w:shd w:val="clear" w:color="auto" w:fill="auto"/>
          </w:tcPr>
          <w:p w14:paraId="262D0738" w14:textId="77777777" w:rsidR="009B6B07" w:rsidRPr="00E444B3" w:rsidRDefault="009B6B07" w:rsidP="009B6B07">
            <w:pPr>
              <w:pStyle w:val="TableText"/>
              <w:ind w:right="113"/>
            </w:pPr>
            <w:r w:rsidRPr="00E444B3">
              <w:t>Breast cancer</w:t>
            </w:r>
            <w:r>
              <w:t xml:space="preserve"> (metastatic, second-line)</w:t>
            </w:r>
          </w:p>
        </w:tc>
        <w:tc>
          <w:tcPr>
            <w:tcW w:w="3685" w:type="dxa"/>
            <w:tcBorders>
              <w:top w:val="single" w:sz="4" w:space="0" w:color="C2D9BA"/>
              <w:bottom w:val="single" w:sz="4" w:space="0" w:color="C2D9BA"/>
            </w:tcBorders>
            <w:shd w:val="clear" w:color="auto" w:fill="auto"/>
          </w:tcPr>
          <w:p w14:paraId="287AAF39" w14:textId="77777777" w:rsidR="009B6B07" w:rsidRDefault="009B6B07" w:rsidP="009B6B07">
            <w:pPr>
              <w:pStyle w:val="TableText"/>
            </w:pPr>
            <w:r w:rsidRPr="00BC67BB">
              <w:t>Gap – not substantial clinical benefit</w:t>
            </w:r>
          </w:p>
          <w:p w14:paraId="05A0DE90" w14:textId="77777777" w:rsidR="009B6B07" w:rsidRPr="00BC67BB" w:rsidRDefault="009B6B07" w:rsidP="009B6B07">
            <w:pPr>
              <w:pStyle w:val="TableText"/>
            </w:pPr>
            <w:r w:rsidRPr="0088228C">
              <w:t xml:space="preserve">Clinical advice indicated </w:t>
            </w:r>
            <w:r>
              <w:t xml:space="preserve">the </w:t>
            </w:r>
            <w:r w:rsidRPr="0088228C">
              <w:t>relevant comparator would be standard doxorubicin. Unlikely to score 4 or 5 against this comparator for this indication</w:t>
            </w:r>
            <w:r>
              <w:t>.</w:t>
            </w:r>
            <w:r w:rsidRPr="0088228C">
              <w:t xml:space="preserve"> </w:t>
            </w:r>
          </w:p>
        </w:tc>
      </w:tr>
      <w:tr w:rsidR="009B6B07" w:rsidRPr="00066623" w14:paraId="0D03D65B" w14:textId="77777777" w:rsidTr="00B521E2">
        <w:trPr>
          <w:cantSplit/>
        </w:trPr>
        <w:tc>
          <w:tcPr>
            <w:tcW w:w="1560" w:type="dxa"/>
            <w:tcBorders>
              <w:top w:val="single" w:sz="4" w:space="0" w:color="C2D9BA"/>
              <w:bottom w:val="single" w:sz="4" w:space="0" w:color="C2D9BA"/>
            </w:tcBorders>
            <w:shd w:val="clear" w:color="auto" w:fill="auto"/>
          </w:tcPr>
          <w:p w14:paraId="5CB25342" w14:textId="77777777" w:rsidR="009B6B07" w:rsidRPr="00E444B3" w:rsidRDefault="009B6B07" w:rsidP="009B6B07">
            <w:pPr>
              <w:pStyle w:val="TableText"/>
            </w:pPr>
            <w:r w:rsidRPr="00E444B3">
              <w:t>Doxorubicin – pegylated liposomal</w:t>
            </w:r>
          </w:p>
        </w:tc>
        <w:tc>
          <w:tcPr>
            <w:tcW w:w="2835" w:type="dxa"/>
            <w:tcBorders>
              <w:top w:val="single" w:sz="4" w:space="0" w:color="C2D9BA"/>
              <w:bottom w:val="single" w:sz="4" w:space="0" w:color="C2D9BA"/>
            </w:tcBorders>
            <w:shd w:val="clear" w:color="auto" w:fill="auto"/>
          </w:tcPr>
          <w:p w14:paraId="4030F5B6" w14:textId="77777777" w:rsidR="009B6B07" w:rsidRPr="00E444B3" w:rsidRDefault="009B6B07" w:rsidP="009B6B07">
            <w:pPr>
              <w:pStyle w:val="TableText"/>
              <w:ind w:right="113"/>
            </w:pPr>
            <w:r w:rsidRPr="00E444B3">
              <w:t>Kaposi sarcoma</w:t>
            </w:r>
            <w:r>
              <w:t xml:space="preserve"> (AIDS-related, extensive mucocutaneous involvement)</w:t>
            </w:r>
          </w:p>
        </w:tc>
        <w:tc>
          <w:tcPr>
            <w:tcW w:w="3685" w:type="dxa"/>
            <w:tcBorders>
              <w:top w:val="single" w:sz="4" w:space="0" w:color="C2D9BA"/>
              <w:bottom w:val="single" w:sz="4" w:space="0" w:color="C2D9BA"/>
            </w:tcBorders>
            <w:shd w:val="clear" w:color="auto" w:fill="auto"/>
          </w:tcPr>
          <w:p w14:paraId="314F2A79" w14:textId="77777777" w:rsidR="009B6B07" w:rsidRDefault="009B6B07" w:rsidP="009B6B07">
            <w:pPr>
              <w:pStyle w:val="TableText"/>
            </w:pPr>
            <w:r w:rsidRPr="00BC67BB">
              <w:t>Gap –uncategorised (unable to determine relevant ESMO-MCBS score)</w:t>
            </w:r>
          </w:p>
          <w:p w14:paraId="451D3840" w14:textId="77777777" w:rsidR="009B6B07" w:rsidRPr="00BC67BB" w:rsidRDefault="009B6B07" w:rsidP="009B6B07">
            <w:pPr>
              <w:pStyle w:val="TableText"/>
            </w:pPr>
            <w:r w:rsidRPr="0088228C">
              <w:t xml:space="preserve">Clinical advice indicated </w:t>
            </w:r>
            <w:r>
              <w:t xml:space="preserve">the </w:t>
            </w:r>
            <w:r w:rsidRPr="0088228C">
              <w:t>relevant comparator would be standard doxorubicin. Unclear whether doxorubicin – pegylated liposomal would score 4 or 5 against this comparator for this indication</w:t>
            </w:r>
            <w:r>
              <w:t>.</w:t>
            </w:r>
          </w:p>
        </w:tc>
      </w:tr>
      <w:tr w:rsidR="009B6B07" w:rsidRPr="00066623" w14:paraId="44E045BD" w14:textId="77777777" w:rsidTr="00B521E2">
        <w:trPr>
          <w:cantSplit/>
        </w:trPr>
        <w:tc>
          <w:tcPr>
            <w:tcW w:w="1560" w:type="dxa"/>
            <w:tcBorders>
              <w:top w:val="single" w:sz="4" w:space="0" w:color="C2D9BA"/>
              <w:bottom w:val="single" w:sz="4" w:space="0" w:color="C2D9BA"/>
            </w:tcBorders>
            <w:shd w:val="clear" w:color="auto" w:fill="auto"/>
          </w:tcPr>
          <w:p w14:paraId="67431222" w14:textId="77777777" w:rsidR="009B6B07" w:rsidRPr="00E444B3" w:rsidRDefault="009B6B07" w:rsidP="009B6B07">
            <w:pPr>
              <w:pStyle w:val="TableText"/>
            </w:pPr>
            <w:r w:rsidRPr="00E444B3">
              <w:t>Doxorubicin – pegylated liposomal</w:t>
            </w:r>
          </w:p>
        </w:tc>
        <w:tc>
          <w:tcPr>
            <w:tcW w:w="2835" w:type="dxa"/>
            <w:tcBorders>
              <w:top w:val="single" w:sz="4" w:space="0" w:color="C2D9BA"/>
              <w:bottom w:val="single" w:sz="4" w:space="0" w:color="C2D9BA"/>
            </w:tcBorders>
            <w:shd w:val="clear" w:color="auto" w:fill="auto"/>
          </w:tcPr>
          <w:p w14:paraId="131BA195" w14:textId="77777777" w:rsidR="009B6B07" w:rsidRPr="00E444B3" w:rsidRDefault="009B6B07" w:rsidP="009B6B07">
            <w:pPr>
              <w:pStyle w:val="TableText"/>
              <w:ind w:right="113"/>
            </w:pPr>
            <w:r w:rsidRPr="00E444B3">
              <w:t>Ovarian cancer</w:t>
            </w:r>
            <w:r>
              <w:t xml:space="preserve"> (epithelial, advanced, second-line)</w:t>
            </w:r>
          </w:p>
        </w:tc>
        <w:tc>
          <w:tcPr>
            <w:tcW w:w="3685" w:type="dxa"/>
            <w:tcBorders>
              <w:top w:val="single" w:sz="4" w:space="0" w:color="C2D9BA"/>
              <w:bottom w:val="single" w:sz="4" w:space="0" w:color="C2D9BA"/>
            </w:tcBorders>
            <w:shd w:val="clear" w:color="auto" w:fill="auto"/>
          </w:tcPr>
          <w:p w14:paraId="261294F1" w14:textId="77777777" w:rsidR="009B6B07" w:rsidRDefault="009B6B07" w:rsidP="009B6B07">
            <w:pPr>
              <w:pStyle w:val="TableText"/>
            </w:pPr>
            <w:r w:rsidRPr="00BC67BB">
              <w:t>Gap – not substantial clinical benefit</w:t>
            </w:r>
          </w:p>
          <w:p w14:paraId="31E8A3CA" w14:textId="77777777" w:rsidR="009B6B07" w:rsidRPr="00BC67BB" w:rsidRDefault="009B6B07" w:rsidP="009B6B07">
            <w:pPr>
              <w:pStyle w:val="TableText"/>
            </w:pPr>
            <w:r w:rsidRPr="0088228C">
              <w:t xml:space="preserve">Clinical advice indicated </w:t>
            </w:r>
            <w:r>
              <w:t xml:space="preserve">the </w:t>
            </w:r>
            <w:r w:rsidRPr="0088228C">
              <w:t>relevant comparator would be standard doxorubicin. Unlikely to score 4 or 5 against this comparator for this indication</w:t>
            </w:r>
            <w:r>
              <w:t>.</w:t>
            </w:r>
          </w:p>
        </w:tc>
      </w:tr>
      <w:tr w:rsidR="009B6B07" w:rsidRPr="00066623" w14:paraId="2A808E40" w14:textId="77777777" w:rsidTr="00B521E2">
        <w:trPr>
          <w:cantSplit/>
        </w:trPr>
        <w:tc>
          <w:tcPr>
            <w:tcW w:w="1560" w:type="dxa"/>
            <w:tcBorders>
              <w:top w:val="single" w:sz="4" w:space="0" w:color="C2D9BA"/>
              <w:bottom w:val="single" w:sz="4" w:space="0" w:color="C2D9BA"/>
            </w:tcBorders>
            <w:shd w:val="clear" w:color="auto" w:fill="auto"/>
          </w:tcPr>
          <w:p w14:paraId="6AE036D4" w14:textId="77777777" w:rsidR="009B6B07" w:rsidRPr="00E444B3" w:rsidRDefault="009B6B07" w:rsidP="009B6B07">
            <w:pPr>
              <w:pStyle w:val="TableText"/>
            </w:pPr>
            <w:r w:rsidRPr="00E444B3">
              <w:t>Fotemustine</w:t>
            </w:r>
          </w:p>
        </w:tc>
        <w:tc>
          <w:tcPr>
            <w:tcW w:w="2835" w:type="dxa"/>
            <w:tcBorders>
              <w:top w:val="single" w:sz="4" w:space="0" w:color="C2D9BA"/>
              <w:bottom w:val="single" w:sz="4" w:space="0" w:color="C2D9BA"/>
            </w:tcBorders>
            <w:shd w:val="clear" w:color="auto" w:fill="auto"/>
          </w:tcPr>
          <w:p w14:paraId="36A454AF" w14:textId="77777777" w:rsidR="009B6B07" w:rsidRPr="00E444B3" w:rsidRDefault="009B6B07" w:rsidP="009B6B07">
            <w:pPr>
              <w:pStyle w:val="TableText"/>
              <w:ind w:right="113"/>
            </w:pPr>
            <w:r w:rsidRPr="00E444B3">
              <w:t>Melanoma</w:t>
            </w:r>
            <w:r>
              <w:t xml:space="preserve"> (metastatic)</w:t>
            </w:r>
          </w:p>
        </w:tc>
        <w:tc>
          <w:tcPr>
            <w:tcW w:w="3685" w:type="dxa"/>
            <w:tcBorders>
              <w:top w:val="single" w:sz="4" w:space="0" w:color="C2D9BA"/>
              <w:bottom w:val="single" w:sz="4" w:space="0" w:color="C2D9BA"/>
            </w:tcBorders>
            <w:shd w:val="clear" w:color="auto" w:fill="auto"/>
          </w:tcPr>
          <w:p w14:paraId="5951862E" w14:textId="77777777" w:rsidR="009B6B07" w:rsidRDefault="009B6B07" w:rsidP="009B6B07">
            <w:pPr>
              <w:pStyle w:val="TableText"/>
            </w:pPr>
            <w:r w:rsidRPr="00BC67BB">
              <w:t>Gap – not substantial clinical benefit</w:t>
            </w:r>
          </w:p>
          <w:p w14:paraId="27956CED" w14:textId="77777777" w:rsidR="009B6B07" w:rsidRPr="00BC67BB" w:rsidRDefault="009B6B07" w:rsidP="009B6B07">
            <w:pPr>
              <w:pStyle w:val="TableText"/>
            </w:pPr>
            <w:r w:rsidRPr="0088228C">
              <w:t xml:space="preserve">Clinical advice indicated </w:t>
            </w:r>
            <w:r>
              <w:t xml:space="preserve">the </w:t>
            </w:r>
            <w:r w:rsidRPr="0088228C">
              <w:t>relevant comparator would be pembrolizumab or nivolumab. Unlikely to score 4 or 5 against either of these comparators for this indication</w:t>
            </w:r>
            <w:r>
              <w:t>.</w:t>
            </w:r>
          </w:p>
        </w:tc>
      </w:tr>
      <w:tr w:rsidR="009B6B07" w:rsidRPr="00066623" w14:paraId="1A45F2CA" w14:textId="77777777" w:rsidTr="00B521E2">
        <w:trPr>
          <w:cantSplit/>
        </w:trPr>
        <w:tc>
          <w:tcPr>
            <w:tcW w:w="1560" w:type="dxa"/>
            <w:tcBorders>
              <w:top w:val="single" w:sz="4" w:space="0" w:color="C2D9BA"/>
              <w:bottom w:val="single" w:sz="4" w:space="0" w:color="C2D9BA"/>
            </w:tcBorders>
            <w:shd w:val="clear" w:color="auto" w:fill="auto"/>
          </w:tcPr>
          <w:p w14:paraId="20DDF209" w14:textId="77777777" w:rsidR="009B6B07" w:rsidRPr="00E444B3" w:rsidRDefault="009B6B07" w:rsidP="009B6B07">
            <w:pPr>
              <w:pStyle w:val="TableText"/>
            </w:pPr>
            <w:r w:rsidRPr="00E444B3">
              <w:lastRenderedPageBreak/>
              <w:t>Lanreotide</w:t>
            </w:r>
          </w:p>
        </w:tc>
        <w:tc>
          <w:tcPr>
            <w:tcW w:w="2835" w:type="dxa"/>
            <w:tcBorders>
              <w:top w:val="single" w:sz="4" w:space="0" w:color="C2D9BA"/>
              <w:bottom w:val="single" w:sz="4" w:space="0" w:color="C2D9BA"/>
            </w:tcBorders>
            <w:shd w:val="clear" w:color="auto" w:fill="auto"/>
          </w:tcPr>
          <w:p w14:paraId="7D9B135D" w14:textId="77777777" w:rsidR="009B6B07" w:rsidRPr="00E444B3" w:rsidRDefault="009B6B07" w:rsidP="009B6B07">
            <w:pPr>
              <w:pStyle w:val="TableText"/>
              <w:ind w:right="113"/>
            </w:pPr>
            <w:r w:rsidRPr="00E444B3">
              <w:t>Neuroendocrine cancer (functional</w:t>
            </w:r>
            <w:r>
              <w:t xml:space="preserve"> carcinoid</w:t>
            </w:r>
            <w:r w:rsidRPr="00E444B3">
              <w:t>)</w:t>
            </w:r>
          </w:p>
        </w:tc>
        <w:tc>
          <w:tcPr>
            <w:tcW w:w="3685" w:type="dxa"/>
            <w:tcBorders>
              <w:top w:val="single" w:sz="4" w:space="0" w:color="C2D9BA"/>
              <w:bottom w:val="single" w:sz="4" w:space="0" w:color="C2D9BA"/>
            </w:tcBorders>
            <w:shd w:val="clear" w:color="auto" w:fill="auto"/>
          </w:tcPr>
          <w:p w14:paraId="4142DDA8" w14:textId="77777777" w:rsidR="009B6B07" w:rsidRDefault="009B6B07" w:rsidP="009B6B07">
            <w:pPr>
              <w:pStyle w:val="TableText"/>
            </w:pPr>
            <w:r w:rsidRPr="00BC67BB">
              <w:t>Gap – not substantial clinical benefit</w:t>
            </w:r>
          </w:p>
          <w:p w14:paraId="3D3E4E13" w14:textId="77777777" w:rsidR="009B6B07" w:rsidRPr="00BC67BB" w:rsidRDefault="009B6B07" w:rsidP="009B6B07">
            <w:pPr>
              <w:pStyle w:val="TableText"/>
            </w:pPr>
            <w:r w:rsidRPr="0088228C">
              <w:t xml:space="preserve">Clinical advice indicated </w:t>
            </w:r>
            <w:r>
              <w:t xml:space="preserve">the </w:t>
            </w:r>
            <w:r w:rsidRPr="0088228C">
              <w:t>relevant comparator would be octreotide. Unlikely to score 4 or 5 against this comparator for this indication</w:t>
            </w:r>
            <w:r>
              <w:t>.</w:t>
            </w:r>
          </w:p>
        </w:tc>
      </w:tr>
      <w:tr w:rsidR="009B6B07" w:rsidRPr="00066623" w14:paraId="37BA559F" w14:textId="77777777" w:rsidTr="00B521E2">
        <w:trPr>
          <w:cantSplit/>
        </w:trPr>
        <w:tc>
          <w:tcPr>
            <w:tcW w:w="1560" w:type="dxa"/>
            <w:tcBorders>
              <w:top w:val="single" w:sz="4" w:space="0" w:color="C2D9BA"/>
              <w:bottom w:val="single" w:sz="4" w:space="0" w:color="C2D9BA"/>
            </w:tcBorders>
            <w:shd w:val="clear" w:color="auto" w:fill="auto"/>
          </w:tcPr>
          <w:p w14:paraId="087FF897" w14:textId="77777777" w:rsidR="009B6B07" w:rsidRPr="00E444B3" w:rsidRDefault="009B6B07" w:rsidP="009B6B07">
            <w:pPr>
              <w:pStyle w:val="TableText"/>
            </w:pPr>
            <w:r w:rsidRPr="00E444B3">
              <w:t>Lenvatinib</w:t>
            </w:r>
          </w:p>
        </w:tc>
        <w:tc>
          <w:tcPr>
            <w:tcW w:w="2835" w:type="dxa"/>
            <w:tcBorders>
              <w:top w:val="single" w:sz="4" w:space="0" w:color="C2D9BA"/>
              <w:bottom w:val="single" w:sz="4" w:space="0" w:color="C2D9BA"/>
            </w:tcBorders>
            <w:shd w:val="clear" w:color="auto" w:fill="auto"/>
          </w:tcPr>
          <w:p w14:paraId="30707E17" w14:textId="77777777" w:rsidR="009B6B07" w:rsidRPr="00E444B3" w:rsidRDefault="009B6B07" w:rsidP="009B6B07">
            <w:pPr>
              <w:pStyle w:val="TableText"/>
              <w:ind w:right="113"/>
            </w:pPr>
            <w:r>
              <w:t>Liver cancer (h</w:t>
            </w:r>
            <w:r w:rsidRPr="00E444B3">
              <w:t>epatocellular carcinoma</w:t>
            </w:r>
            <w:r>
              <w:t xml:space="preserve">, advanced Barcelona Clinic Liver Cancer </w:t>
            </w:r>
            <w:proofErr w:type="gramStart"/>
            <w:r>
              <w:t>stage</w:t>
            </w:r>
            <w:proofErr w:type="gramEnd"/>
            <w:r>
              <w:t xml:space="preserve"> B or C, unresectable, not-suitable for TACE,</w:t>
            </w:r>
            <w:r w:rsidDel="00591B2E">
              <w:t xml:space="preserve"> </w:t>
            </w:r>
            <w:r>
              <w:t>first-line</w:t>
            </w:r>
            <w:r w:rsidRPr="00E444B3">
              <w:t>)</w:t>
            </w:r>
          </w:p>
        </w:tc>
        <w:tc>
          <w:tcPr>
            <w:tcW w:w="3685" w:type="dxa"/>
            <w:tcBorders>
              <w:top w:val="single" w:sz="4" w:space="0" w:color="C2D9BA"/>
              <w:bottom w:val="single" w:sz="4" w:space="0" w:color="C2D9BA"/>
            </w:tcBorders>
            <w:shd w:val="clear" w:color="auto" w:fill="auto"/>
          </w:tcPr>
          <w:p w14:paraId="66A20BE6" w14:textId="77777777" w:rsidR="009B6B07" w:rsidRDefault="009B6B07" w:rsidP="009B6B07">
            <w:pPr>
              <w:pStyle w:val="TableText"/>
            </w:pPr>
            <w:r w:rsidRPr="00BC67BB">
              <w:t>Gap – not substantial clinical benefit</w:t>
            </w:r>
          </w:p>
          <w:p w14:paraId="71AF64B2" w14:textId="77777777" w:rsidR="009B6B07" w:rsidRDefault="009B6B07" w:rsidP="009B6B07">
            <w:pPr>
              <w:pStyle w:val="TableText"/>
            </w:pPr>
            <w:r w:rsidRPr="0088228C">
              <w:t xml:space="preserve">Clinical advice indicated </w:t>
            </w:r>
            <w:r>
              <w:t xml:space="preserve">the </w:t>
            </w:r>
            <w:r w:rsidRPr="0088228C">
              <w:t>relevant comparator would be best supportive care.</w:t>
            </w:r>
          </w:p>
          <w:p w14:paraId="70B70150" w14:textId="77777777" w:rsidR="009B6B07" w:rsidRPr="00BC67BB" w:rsidRDefault="009B6B07" w:rsidP="009B6B07">
            <w:pPr>
              <w:pStyle w:val="TableText"/>
            </w:pPr>
            <w:r w:rsidRPr="0088228C">
              <w:t xml:space="preserve">Based on </w:t>
            </w:r>
            <w:r>
              <w:t xml:space="preserve">a </w:t>
            </w:r>
            <w:r w:rsidRPr="0088228C">
              <w:t xml:space="preserve">review of clinical evidence </w:t>
            </w:r>
            <w:r>
              <w:t>compared with</w:t>
            </w:r>
            <w:r w:rsidRPr="0088228C">
              <w:t xml:space="preserve"> sorafenib then extrapolated to sorafenib </w:t>
            </w:r>
            <w:r>
              <w:t>compared with</w:t>
            </w:r>
            <w:r w:rsidRPr="0088228C">
              <w:t xml:space="preserve"> best supportive care, </w:t>
            </w:r>
            <w:r>
              <w:t>l</w:t>
            </w:r>
            <w:r w:rsidRPr="0088228C">
              <w:t>envatinib is considered unlikely to score 4 or 5 against best supportive care for this indication</w:t>
            </w:r>
            <w:r>
              <w:t>.</w:t>
            </w:r>
          </w:p>
        </w:tc>
      </w:tr>
      <w:tr w:rsidR="009B6B07" w:rsidRPr="00066623" w14:paraId="6EB2916C" w14:textId="77777777" w:rsidTr="00B521E2">
        <w:trPr>
          <w:cantSplit/>
        </w:trPr>
        <w:tc>
          <w:tcPr>
            <w:tcW w:w="1560" w:type="dxa"/>
            <w:tcBorders>
              <w:top w:val="single" w:sz="4" w:space="0" w:color="C2D9BA"/>
              <w:bottom w:val="single" w:sz="4" w:space="0" w:color="C2D9BA"/>
            </w:tcBorders>
            <w:shd w:val="clear" w:color="auto" w:fill="auto"/>
          </w:tcPr>
          <w:p w14:paraId="02737C79" w14:textId="77777777" w:rsidR="009B6B07" w:rsidRPr="00E444B3" w:rsidRDefault="009B6B07" w:rsidP="009B6B07">
            <w:pPr>
              <w:pStyle w:val="TableText"/>
            </w:pPr>
            <w:r w:rsidRPr="00E444B3">
              <w:t>Leuprorelin</w:t>
            </w:r>
          </w:p>
        </w:tc>
        <w:tc>
          <w:tcPr>
            <w:tcW w:w="2835" w:type="dxa"/>
            <w:tcBorders>
              <w:top w:val="single" w:sz="4" w:space="0" w:color="C2D9BA"/>
              <w:bottom w:val="single" w:sz="4" w:space="0" w:color="C2D9BA"/>
            </w:tcBorders>
            <w:shd w:val="clear" w:color="auto" w:fill="auto"/>
          </w:tcPr>
          <w:p w14:paraId="237ADAEB" w14:textId="77777777" w:rsidR="009B6B07" w:rsidRPr="00E444B3" w:rsidRDefault="009B6B07" w:rsidP="009B6B07">
            <w:pPr>
              <w:pStyle w:val="TableText"/>
              <w:ind w:right="113"/>
            </w:pPr>
            <w:r w:rsidRPr="00E444B3">
              <w:t>Prostate cancer</w:t>
            </w:r>
            <w:r>
              <w:t xml:space="preserve"> (locally advanced or metastatic)</w:t>
            </w:r>
          </w:p>
        </w:tc>
        <w:tc>
          <w:tcPr>
            <w:tcW w:w="3685" w:type="dxa"/>
            <w:tcBorders>
              <w:top w:val="single" w:sz="4" w:space="0" w:color="C2D9BA"/>
              <w:bottom w:val="single" w:sz="4" w:space="0" w:color="C2D9BA"/>
            </w:tcBorders>
            <w:shd w:val="clear" w:color="auto" w:fill="auto"/>
          </w:tcPr>
          <w:p w14:paraId="3B2D1C40" w14:textId="77777777" w:rsidR="009B6B07" w:rsidRDefault="009B6B07" w:rsidP="009B6B07">
            <w:pPr>
              <w:pStyle w:val="TableText"/>
            </w:pPr>
            <w:r w:rsidRPr="00BC67BB">
              <w:t>Gap – not substantial clinical benefit</w:t>
            </w:r>
          </w:p>
          <w:p w14:paraId="4CA19A8A" w14:textId="77777777" w:rsidR="009B6B07" w:rsidRPr="00BC67BB" w:rsidRDefault="009B6B07" w:rsidP="009B6B07">
            <w:pPr>
              <w:pStyle w:val="TableText"/>
            </w:pPr>
            <w:r w:rsidRPr="0088228C">
              <w:t xml:space="preserve">Clinical advice indicated </w:t>
            </w:r>
            <w:r>
              <w:t xml:space="preserve">the </w:t>
            </w:r>
            <w:r w:rsidRPr="0088228C">
              <w:t>relevant comparator would be goserelin. Unlikely to score 4 or 5 against this comparator for this indication</w:t>
            </w:r>
            <w:r>
              <w:t>.</w:t>
            </w:r>
          </w:p>
        </w:tc>
      </w:tr>
      <w:tr w:rsidR="009B6B07" w:rsidRPr="00066623" w14:paraId="12BBDA72" w14:textId="77777777" w:rsidTr="00B521E2">
        <w:trPr>
          <w:cantSplit/>
        </w:trPr>
        <w:tc>
          <w:tcPr>
            <w:tcW w:w="1560" w:type="dxa"/>
            <w:tcBorders>
              <w:top w:val="single" w:sz="4" w:space="0" w:color="C2D9BA"/>
              <w:bottom w:val="single" w:sz="4" w:space="0" w:color="C2D9BA"/>
            </w:tcBorders>
            <w:shd w:val="clear" w:color="auto" w:fill="auto"/>
          </w:tcPr>
          <w:p w14:paraId="5381CEA6" w14:textId="77777777" w:rsidR="009B6B07" w:rsidRPr="00E444B3" w:rsidRDefault="009B6B07" w:rsidP="009B6B07">
            <w:pPr>
              <w:pStyle w:val="TableText"/>
            </w:pPr>
            <w:r w:rsidRPr="00E444B3">
              <w:t>Nab-paclitaxel</w:t>
            </w:r>
          </w:p>
        </w:tc>
        <w:tc>
          <w:tcPr>
            <w:tcW w:w="2835" w:type="dxa"/>
            <w:tcBorders>
              <w:top w:val="single" w:sz="4" w:space="0" w:color="C2D9BA"/>
              <w:bottom w:val="single" w:sz="4" w:space="0" w:color="C2D9BA"/>
            </w:tcBorders>
            <w:shd w:val="clear" w:color="auto" w:fill="auto"/>
          </w:tcPr>
          <w:p w14:paraId="35E19E3B" w14:textId="77777777" w:rsidR="009B6B07" w:rsidRPr="00E444B3" w:rsidRDefault="009B6B07" w:rsidP="009B6B07">
            <w:pPr>
              <w:pStyle w:val="TableText"/>
              <w:ind w:right="113"/>
            </w:pPr>
            <w:r w:rsidRPr="00E444B3">
              <w:t>Breast cancer (metastatic)</w:t>
            </w:r>
          </w:p>
        </w:tc>
        <w:tc>
          <w:tcPr>
            <w:tcW w:w="3685" w:type="dxa"/>
            <w:tcBorders>
              <w:top w:val="single" w:sz="4" w:space="0" w:color="C2D9BA"/>
              <w:bottom w:val="single" w:sz="4" w:space="0" w:color="C2D9BA"/>
            </w:tcBorders>
            <w:shd w:val="clear" w:color="auto" w:fill="auto"/>
          </w:tcPr>
          <w:p w14:paraId="2B8014CD" w14:textId="77777777" w:rsidR="009B6B07" w:rsidRDefault="009B6B07" w:rsidP="009B6B07">
            <w:pPr>
              <w:pStyle w:val="TableText"/>
            </w:pPr>
            <w:r w:rsidRPr="00BC67BB">
              <w:t>Gap – not substantial clinical benefit</w:t>
            </w:r>
          </w:p>
          <w:p w14:paraId="6BAACE5E" w14:textId="77777777" w:rsidR="009B6B07" w:rsidRPr="00BC67BB" w:rsidRDefault="009B6B07" w:rsidP="009B6B07">
            <w:pPr>
              <w:pStyle w:val="TableText"/>
            </w:pPr>
            <w:r w:rsidRPr="0088228C">
              <w:t xml:space="preserve">Clinical advice indicated </w:t>
            </w:r>
            <w:r>
              <w:t xml:space="preserve">the </w:t>
            </w:r>
            <w:r w:rsidRPr="0088228C">
              <w:t>relevant comparator would be standard paclitaxel. Unlikely to score 4 or 5 against this comparator for this indication</w:t>
            </w:r>
            <w:r>
              <w:t>.</w:t>
            </w:r>
          </w:p>
        </w:tc>
      </w:tr>
      <w:tr w:rsidR="009B6B07" w:rsidRPr="00066623" w14:paraId="1E9E45A2" w14:textId="77777777" w:rsidTr="00B521E2">
        <w:trPr>
          <w:cantSplit/>
        </w:trPr>
        <w:tc>
          <w:tcPr>
            <w:tcW w:w="1560" w:type="dxa"/>
            <w:tcBorders>
              <w:top w:val="single" w:sz="4" w:space="0" w:color="C2D9BA"/>
              <w:bottom w:val="single" w:sz="4" w:space="0" w:color="C2D9BA"/>
            </w:tcBorders>
            <w:shd w:val="clear" w:color="auto" w:fill="auto"/>
          </w:tcPr>
          <w:p w14:paraId="4BB80947" w14:textId="77777777" w:rsidR="009B6B07" w:rsidRPr="00E444B3" w:rsidRDefault="009B6B07" w:rsidP="009B6B07">
            <w:pPr>
              <w:pStyle w:val="TableText"/>
            </w:pPr>
            <w:r w:rsidRPr="00E444B3">
              <w:t>Nab-paclitaxel</w:t>
            </w:r>
          </w:p>
        </w:tc>
        <w:tc>
          <w:tcPr>
            <w:tcW w:w="2835" w:type="dxa"/>
            <w:tcBorders>
              <w:top w:val="single" w:sz="4" w:space="0" w:color="C2D9BA"/>
              <w:bottom w:val="single" w:sz="4" w:space="0" w:color="C2D9BA"/>
            </w:tcBorders>
            <w:shd w:val="clear" w:color="auto" w:fill="auto"/>
          </w:tcPr>
          <w:p w14:paraId="6E48B5AB" w14:textId="77777777" w:rsidR="009B6B07" w:rsidRPr="00E444B3" w:rsidRDefault="009B6B07" w:rsidP="009B6B07">
            <w:pPr>
              <w:pStyle w:val="TableText"/>
              <w:ind w:right="113"/>
            </w:pPr>
            <w:r w:rsidRPr="00E444B3">
              <w:t>Breast cancer (HER-2 +ve)</w:t>
            </w:r>
          </w:p>
        </w:tc>
        <w:tc>
          <w:tcPr>
            <w:tcW w:w="3685" w:type="dxa"/>
            <w:tcBorders>
              <w:top w:val="single" w:sz="4" w:space="0" w:color="C2D9BA"/>
              <w:bottom w:val="single" w:sz="4" w:space="0" w:color="C2D9BA"/>
            </w:tcBorders>
            <w:shd w:val="clear" w:color="auto" w:fill="auto"/>
          </w:tcPr>
          <w:p w14:paraId="766E48E5" w14:textId="77777777" w:rsidR="009B6B07" w:rsidRDefault="009B6B07" w:rsidP="009B6B07">
            <w:pPr>
              <w:pStyle w:val="TableText"/>
            </w:pPr>
            <w:r w:rsidRPr="00BC67BB">
              <w:t>Gap – not substantial clinical benefit</w:t>
            </w:r>
          </w:p>
          <w:p w14:paraId="7FEF690E" w14:textId="77777777" w:rsidR="009B6B07" w:rsidRPr="00BC67BB" w:rsidRDefault="009B6B07" w:rsidP="009B6B07">
            <w:pPr>
              <w:pStyle w:val="TableText"/>
            </w:pPr>
            <w:r w:rsidRPr="0088228C">
              <w:t xml:space="preserve">Clinical advice indicated </w:t>
            </w:r>
            <w:r>
              <w:t xml:space="preserve">the </w:t>
            </w:r>
            <w:r w:rsidRPr="0088228C">
              <w:t>relevant comparator would be standard paclitaxel. Unlikely to score 4 or 5 against this comparator for this indication</w:t>
            </w:r>
            <w:r>
              <w:t>.</w:t>
            </w:r>
          </w:p>
        </w:tc>
      </w:tr>
      <w:tr w:rsidR="009B6B07" w:rsidRPr="00066623" w14:paraId="76AD0F83" w14:textId="77777777" w:rsidTr="00B521E2">
        <w:trPr>
          <w:cantSplit/>
        </w:trPr>
        <w:tc>
          <w:tcPr>
            <w:tcW w:w="1560" w:type="dxa"/>
            <w:tcBorders>
              <w:top w:val="single" w:sz="4" w:space="0" w:color="C2D9BA"/>
              <w:bottom w:val="single" w:sz="4" w:space="0" w:color="C2D9BA"/>
            </w:tcBorders>
            <w:shd w:val="clear" w:color="auto" w:fill="auto"/>
          </w:tcPr>
          <w:p w14:paraId="38E221F5" w14:textId="77777777" w:rsidR="009B6B07" w:rsidRPr="00E444B3" w:rsidRDefault="009B6B07" w:rsidP="009B6B07">
            <w:pPr>
              <w:pStyle w:val="TableText"/>
            </w:pPr>
            <w:r w:rsidRPr="00E444B3">
              <w:t>Nilutamide</w:t>
            </w:r>
          </w:p>
        </w:tc>
        <w:tc>
          <w:tcPr>
            <w:tcW w:w="2835" w:type="dxa"/>
            <w:tcBorders>
              <w:top w:val="single" w:sz="4" w:space="0" w:color="C2D9BA"/>
              <w:bottom w:val="single" w:sz="4" w:space="0" w:color="C2D9BA"/>
            </w:tcBorders>
            <w:shd w:val="clear" w:color="auto" w:fill="auto"/>
          </w:tcPr>
          <w:p w14:paraId="563D8021" w14:textId="77777777" w:rsidR="009B6B07" w:rsidRDefault="009B6B07" w:rsidP="009B6B07">
            <w:pPr>
              <w:pStyle w:val="TableText"/>
              <w:ind w:right="113"/>
            </w:pPr>
            <w:r w:rsidRPr="00E444B3">
              <w:t>Prostate cancer</w:t>
            </w:r>
            <w:r>
              <w:t xml:space="preserve"> (locally advanced or metastatic)</w:t>
            </w:r>
          </w:p>
          <w:p w14:paraId="106960CF" w14:textId="77777777" w:rsidR="009B6B07" w:rsidRPr="00E444B3" w:rsidRDefault="009B6B07" w:rsidP="009B6B07">
            <w:pPr>
              <w:pStyle w:val="TableText"/>
              <w:ind w:right="113"/>
            </w:pPr>
            <w:r>
              <w:t>Used with GnRH analogue or surgical orchidectomy</w:t>
            </w:r>
          </w:p>
        </w:tc>
        <w:tc>
          <w:tcPr>
            <w:tcW w:w="3685" w:type="dxa"/>
            <w:tcBorders>
              <w:top w:val="single" w:sz="4" w:space="0" w:color="C2D9BA"/>
              <w:bottom w:val="single" w:sz="4" w:space="0" w:color="C2D9BA"/>
            </w:tcBorders>
            <w:shd w:val="clear" w:color="auto" w:fill="auto"/>
          </w:tcPr>
          <w:p w14:paraId="35B3B17A" w14:textId="77777777" w:rsidR="009B6B07" w:rsidRDefault="009B6B07" w:rsidP="009B6B07">
            <w:pPr>
              <w:pStyle w:val="TableText"/>
            </w:pPr>
            <w:r w:rsidRPr="00BC67BB">
              <w:t>Gap – not substantial clinical benefit</w:t>
            </w:r>
          </w:p>
          <w:p w14:paraId="49AC6BB6" w14:textId="77777777" w:rsidR="009B6B07" w:rsidRPr="00BC67BB" w:rsidRDefault="009B6B07" w:rsidP="009B6B07">
            <w:pPr>
              <w:pStyle w:val="TableText"/>
            </w:pPr>
            <w:r w:rsidRPr="0088228C">
              <w:t xml:space="preserve">Clinical advice indicated </w:t>
            </w:r>
            <w:r>
              <w:t xml:space="preserve">the </w:t>
            </w:r>
            <w:r w:rsidRPr="0088228C">
              <w:t>relevant comparator would be abiraterone. Unlikely to score 4 or 5 against this comparator for this indication</w:t>
            </w:r>
            <w:r>
              <w:t>.</w:t>
            </w:r>
          </w:p>
        </w:tc>
      </w:tr>
      <w:tr w:rsidR="009B6B07" w:rsidRPr="00066623" w14:paraId="273F8B75" w14:textId="77777777" w:rsidTr="00B521E2">
        <w:trPr>
          <w:cantSplit/>
        </w:trPr>
        <w:tc>
          <w:tcPr>
            <w:tcW w:w="1560" w:type="dxa"/>
            <w:tcBorders>
              <w:top w:val="single" w:sz="4" w:space="0" w:color="C2D9BA"/>
              <w:bottom w:val="single" w:sz="4" w:space="0" w:color="C2D9BA"/>
            </w:tcBorders>
            <w:shd w:val="clear" w:color="auto" w:fill="auto"/>
          </w:tcPr>
          <w:p w14:paraId="68391218" w14:textId="77777777" w:rsidR="009B6B07" w:rsidRPr="00E444B3" w:rsidRDefault="009B6B07" w:rsidP="009B6B07">
            <w:pPr>
              <w:pStyle w:val="TableText"/>
            </w:pPr>
            <w:r w:rsidRPr="00E444B3">
              <w:t>Octreotide</w:t>
            </w:r>
            <w:r>
              <w:t xml:space="preserve"> long-acting</w:t>
            </w:r>
          </w:p>
        </w:tc>
        <w:tc>
          <w:tcPr>
            <w:tcW w:w="2835" w:type="dxa"/>
            <w:tcBorders>
              <w:top w:val="single" w:sz="4" w:space="0" w:color="C2D9BA"/>
              <w:bottom w:val="single" w:sz="4" w:space="0" w:color="C2D9BA"/>
            </w:tcBorders>
            <w:shd w:val="clear" w:color="auto" w:fill="auto"/>
          </w:tcPr>
          <w:p w14:paraId="70780625" w14:textId="77777777" w:rsidR="009B6B07" w:rsidRPr="00E444B3" w:rsidRDefault="009B6B07" w:rsidP="009B6B07">
            <w:pPr>
              <w:pStyle w:val="TableText"/>
              <w:ind w:right="113"/>
            </w:pPr>
            <w:r w:rsidRPr="00E444B3">
              <w:t>Neuroendocrine cancer (non-functional</w:t>
            </w:r>
            <w:r>
              <w:t xml:space="preserve"> ga</w:t>
            </w:r>
            <w:r w:rsidR="00EF5CEE">
              <w:t>s</w:t>
            </w:r>
            <w:r>
              <w:t>troenteropancreatic neuroendocrine tumour (GEP-NET), unresectable locally advanced or metastatic</w:t>
            </w:r>
            <w:r w:rsidRPr="00E444B3">
              <w:t>)</w:t>
            </w:r>
          </w:p>
        </w:tc>
        <w:tc>
          <w:tcPr>
            <w:tcW w:w="3685" w:type="dxa"/>
            <w:tcBorders>
              <w:top w:val="single" w:sz="4" w:space="0" w:color="C2D9BA"/>
              <w:bottom w:val="single" w:sz="4" w:space="0" w:color="C2D9BA"/>
            </w:tcBorders>
            <w:shd w:val="clear" w:color="auto" w:fill="auto"/>
          </w:tcPr>
          <w:p w14:paraId="4790BB11" w14:textId="77777777" w:rsidR="009B6B07" w:rsidRDefault="009B6B07" w:rsidP="009B6B07">
            <w:pPr>
              <w:pStyle w:val="TableText"/>
            </w:pPr>
            <w:r w:rsidRPr="00BC67BB">
              <w:t>Gap – not substantial clinical benefit</w:t>
            </w:r>
          </w:p>
          <w:p w14:paraId="16655E4F" w14:textId="77777777" w:rsidR="009B6B07" w:rsidRDefault="009B6B07" w:rsidP="009B6B07">
            <w:pPr>
              <w:pStyle w:val="TableText"/>
            </w:pPr>
            <w:r w:rsidRPr="0088228C">
              <w:t xml:space="preserve">Clinical advice indicated </w:t>
            </w:r>
            <w:r>
              <w:t xml:space="preserve">the </w:t>
            </w:r>
            <w:r w:rsidRPr="0088228C">
              <w:t>relevant comparator would be best supportive care.</w:t>
            </w:r>
          </w:p>
          <w:p w14:paraId="49DFBC17" w14:textId="77777777" w:rsidR="009B6B07" w:rsidRPr="00BC67BB" w:rsidRDefault="009B6B07" w:rsidP="009B6B07">
            <w:pPr>
              <w:pStyle w:val="TableText"/>
            </w:pPr>
            <w:r w:rsidRPr="0088228C">
              <w:t xml:space="preserve">Based on </w:t>
            </w:r>
            <w:r>
              <w:t xml:space="preserve">a </w:t>
            </w:r>
            <w:r w:rsidRPr="0088228C">
              <w:t xml:space="preserve">review of clinical evidence </w:t>
            </w:r>
            <w:r>
              <w:t>compared with</w:t>
            </w:r>
            <w:r w:rsidRPr="0088228C">
              <w:t xml:space="preserve"> placebo, octreotide is considered unlikely to score 4 or 5 against best supportive care for this indication</w:t>
            </w:r>
            <w:r>
              <w:t>.</w:t>
            </w:r>
          </w:p>
        </w:tc>
      </w:tr>
      <w:tr w:rsidR="009B6B07" w:rsidRPr="00066623" w14:paraId="77142532" w14:textId="77777777" w:rsidTr="00B521E2">
        <w:trPr>
          <w:cantSplit/>
        </w:trPr>
        <w:tc>
          <w:tcPr>
            <w:tcW w:w="1560" w:type="dxa"/>
            <w:tcBorders>
              <w:top w:val="single" w:sz="4" w:space="0" w:color="C2D9BA"/>
              <w:bottom w:val="single" w:sz="4" w:space="0" w:color="C2D9BA"/>
            </w:tcBorders>
            <w:shd w:val="clear" w:color="auto" w:fill="auto"/>
          </w:tcPr>
          <w:p w14:paraId="4BD5DDD2" w14:textId="77777777" w:rsidR="009B6B07" w:rsidRPr="00E444B3" w:rsidRDefault="009B6B07" w:rsidP="009B6B07">
            <w:pPr>
              <w:pStyle w:val="TableText"/>
            </w:pPr>
            <w:r w:rsidRPr="00E444B3">
              <w:t>Raltitrexed</w:t>
            </w:r>
          </w:p>
        </w:tc>
        <w:tc>
          <w:tcPr>
            <w:tcW w:w="2835" w:type="dxa"/>
            <w:tcBorders>
              <w:top w:val="single" w:sz="4" w:space="0" w:color="C2D9BA"/>
              <w:bottom w:val="single" w:sz="4" w:space="0" w:color="C2D9BA"/>
            </w:tcBorders>
            <w:shd w:val="clear" w:color="auto" w:fill="auto"/>
          </w:tcPr>
          <w:p w14:paraId="66ABA4B8" w14:textId="77777777" w:rsidR="009B6B07" w:rsidRPr="00E444B3" w:rsidRDefault="009B6B07" w:rsidP="009B6B07">
            <w:pPr>
              <w:pStyle w:val="TableText"/>
              <w:ind w:right="113"/>
            </w:pPr>
            <w:r w:rsidRPr="00E444B3">
              <w:t xml:space="preserve">Colorectal cancer </w:t>
            </w:r>
            <w:r>
              <w:t>(advanced)</w:t>
            </w:r>
          </w:p>
        </w:tc>
        <w:tc>
          <w:tcPr>
            <w:tcW w:w="3685" w:type="dxa"/>
            <w:tcBorders>
              <w:top w:val="single" w:sz="4" w:space="0" w:color="C2D9BA"/>
              <w:bottom w:val="single" w:sz="4" w:space="0" w:color="C2D9BA"/>
            </w:tcBorders>
            <w:shd w:val="clear" w:color="auto" w:fill="auto"/>
          </w:tcPr>
          <w:p w14:paraId="61DB021B" w14:textId="77777777" w:rsidR="009B6B07" w:rsidRDefault="009B6B07" w:rsidP="009B6B07">
            <w:pPr>
              <w:pStyle w:val="TableText"/>
            </w:pPr>
            <w:r w:rsidRPr="00BC67BB">
              <w:t>Gap – not substantial clinical benefit</w:t>
            </w:r>
          </w:p>
          <w:p w14:paraId="29ECA8CA" w14:textId="77777777" w:rsidR="009B6B07" w:rsidRPr="0088228C" w:rsidRDefault="009B6B07" w:rsidP="009B6B07">
            <w:pPr>
              <w:pStyle w:val="TableText"/>
            </w:pPr>
            <w:r w:rsidRPr="0088228C">
              <w:t xml:space="preserve">Clinical advice indicated </w:t>
            </w:r>
            <w:r>
              <w:t xml:space="preserve">the </w:t>
            </w:r>
            <w:r w:rsidRPr="0088228C">
              <w:t>relevant comparator would be 5-fluorouracil (5-FU) or best supportive care (for those who are 5-FU intolerant). Unlikely to score 4 or 5 against 5-FU and clinical evidence unlikely to support a score of 4 or 5 against best supportive care for this indication.</w:t>
            </w:r>
          </w:p>
        </w:tc>
      </w:tr>
      <w:tr w:rsidR="009B6B07" w:rsidRPr="00066623" w14:paraId="614393CA" w14:textId="77777777" w:rsidTr="00B521E2">
        <w:trPr>
          <w:cantSplit/>
        </w:trPr>
        <w:tc>
          <w:tcPr>
            <w:tcW w:w="1560" w:type="dxa"/>
            <w:tcBorders>
              <w:top w:val="single" w:sz="4" w:space="0" w:color="C2D9BA"/>
              <w:bottom w:val="single" w:sz="4" w:space="0" w:color="C2D9BA"/>
            </w:tcBorders>
            <w:shd w:val="clear" w:color="auto" w:fill="auto"/>
          </w:tcPr>
          <w:p w14:paraId="5AE3EADF" w14:textId="77777777" w:rsidR="009B6B07" w:rsidRPr="00E444B3" w:rsidRDefault="009B6B07" w:rsidP="009B6B07">
            <w:pPr>
              <w:pStyle w:val="TableText"/>
            </w:pPr>
            <w:r w:rsidRPr="00E444B3">
              <w:lastRenderedPageBreak/>
              <w:t>Son</w:t>
            </w:r>
            <w:r>
              <w:t>ide</w:t>
            </w:r>
            <w:r w:rsidRPr="00E444B3">
              <w:t>gib</w:t>
            </w:r>
          </w:p>
        </w:tc>
        <w:tc>
          <w:tcPr>
            <w:tcW w:w="2835" w:type="dxa"/>
            <w:tcBorders>
              <w:top w:val="single" w:sz="4" w:space="0" w:color="C2D9BA"/>
              <w:bottom w:val="single" w:sz="4" w:space="0" w:color="C2D9BA"/>
            </w:tcBorders>
            <w:shd w:val="clear" w:color="auto" w:fill="auto"/>
          </w:tcPr>
          <w:p w14:paraId="74B642A7" w14:textId="77777777" w:rsidR="009B6B07" w:rsidRPr="00E444B3" w:rsidRDefault="009B6B07" w:rsidP="009B6B07">
            <w:pPr>
              <w:pStyle w:val="TableText"/>
              <w:ind w:right="113"/>
            </w:pPr>
            <w:r>
              <w:t>Skin cancer (b</w:t>
            </w:r>
            <w:r w:rsidRPr="00E444B3">
              <w:t>asal cell carcinoma</w:t>
            </w:r>
            <w:r>
              <w:t xml:space="preserve"> (BCC), locally advanced or metastatic, unresectable, </w:t>
            </w:r>
            <w:r w:rsidDel="00EE3DFA">
              <w:t>1</w:t>
            </w:r>
            <w:r>
              <w:t>st</w:t>
            </w:r>
            <w:r w:rsidDel="00EE3DFA">
              <w:t xml:space="preserve"> </w:t>
            </w:r>
            <w:r>
              <w:t>first-line)</w:t>
            </w:r>
          </w:p>
        </w:tc>
        <w:tc>
          <w:tcPr>
            <w:tcW w:w="3685" w:type="dxa"/>
            <w:tcBorders>
              <w:top w:val="single" w:sz="4" w:space="0" w:color="C2D9BA"/>
              <w:bottom w:val="single" w:sz="4" w:space="0" w:color="C2D9BA"/>
            </w:tcBorders>
            <w:shd w:val="clear" w:color="auto" w:fill="auto"/>
          </w:tcPr>
          <w:p w14:paraId="0F27F21D" w14:textId="77777777" w:rsidR="009B6B07" w:rsidRDefault="009B6B07" w:rsidP="009B6B07">
            <w:pPr>
              <w:pStyle w:val="TableText"/>
            </w:pPr>
            <w:r w:rsidRPr="00BC67BB">
              <w:t>Gap – not substantial clinical benefit</w:t>
            </w:r>
          </w:p>
          <w:p w14:paraId="0A7FF650" w14:textId="77777777" w:rsidR="009B6B07" w:rsidRDefault="009B6B07" w:rsidP="009B6B07">
            <w:pPr>
              <w:pStyle w:val="TableText"/>
            </w:pPr>
            <w:r w:rsidRPr="0088228C">
              <w:t xml:space="preserve">Clinical advice indicated </w:t>
            </w:r>
            <w:r>
              <w:t xml:space="preserve">the </w:t>
            </w:r>
            <w:r w:rsidRPr="0088228C">
              <w:t>relevant comparator would be best supportive care.</w:t>
            </w:r>
          </w:p>
          <w:p w14:paraId="6A19223E" w14:textId="77777777" w:rsidR="009B6B07" w:rsidRPr="00BC67BB" w:rsidRDefault="009B6B07" w:rsidP="009B6B07">
            <w:pPr>
              <w:pStyle w:val="TableText"/>
            </w:pPr>
            <w:r w:rsidRPr="0088228C">
              <w:t xml:space="preserve">Based on clinical assessment by eviQ </w:t>
            </w:r>
            <w:r w:rsidRPr="0088228C">
              <w:rPr>
                <w:noProof/>
              </w:rPr>
              <w:t>(Cancer Institute NSW 2021</w:t>
            </w:r>
            <w:r>
              <w:rPr>
                <w:noProof/>
              </w:rPr>
              <w:t>a</w:t>
            </w:r>
            <w:r w:rsidRPr="0088228C">
              <w:rPr>
                <w:noProof/>
              </w:rPr>
              <w:t>)</w:t>
            </w:r>
            <w:r w:rsidRPr="0088228C">
              <w:t xml:space="preserve">; unlikely to score ESMO-MCBS 4 or 5 </w:t>
            </w:r>
            <w:r>
              <w:t>when compared with</w:t>
            </w:r>
            <w:r w:rsidRPr="0088228C">
              <w:t xml:space="preserve"> best supportive care</w:t>
            </w:r>
            <w:r>
              <w:t>.</w:t>
            </w:r>
          </w:p>
        </w:tc>
      </w:tr>
      <w:tr w:rsidR="009B6B07" w:rsidRPr="00066623" w14:paraId="4A5F663C" w14:textId="77777777" w:rsidTr="00B521E2">
        <w:trPr>
          <w:cantSplit/>
        </w:trPr>
        <w:tc>
          <w:tcPr>
            <w:tcW w:w="1560" w:type="dxa"/>
            <w:tcBorders>
              <w:top w:val="single" w:sz="4" w:space="0" w:color="C2D9BA"/>
              <w:bottom w:val="single" w:sz="4" w:space="0" w:color="C2D9BA"/>
            </w:tcBorders>
            <w:shd w:val="clear" w:color="auto" w:fill="auto"/>
          </w:tcPr>
          <w:p w14:paraId="7889A277" w14:textId="77777777" w:rsidR="009B6B07" w:rsidRPr="00E444B3" w:rsidRDefault="009B6B07" w:rsidP="009B6B07">
            <w:pPr>
              <w:pStyle w:val="TableText"/>
            </w:pPr>
            <w:r w:rsidRPr="00E444B3">
              <w:t>Sorafenib</w:t>
            </w:r>
          </w:p>
        </w:tc>
        <w:tc>
          <w:tcPr>
            <w:tcW w:w="2835" w:type="dxa"/>
            <w:tcBorders>
              <w:top w:val="single" w:sz="4" w:space="0" w:color="C2D9BA"/>
              <w:bottom w:val="single" w:sz="4" w:space="0" w:color="C2D9BA"/>
            </w:tcBorders>
            <w:shd w:val="clear" w:color="auto" w:fill="auto"/>
          </w:tcPr>
          <w:p w14:paraId="532AB99F" w14:textId="77777777" w:rsidR="009B6B07" w:rsidRPr="00E444B3" w:rsidRDefault="009B6B07" w:rsidP="009B6B07">
            <w:pPr>
              <w:pStyle w:val="TableText"/>
              <w:ind w:right="113"/>
            </w:pPr>
            <w:r>
              <w:t>Liver cancer (h</w:t>
            </w:r>
            <w:r w:rsidRPr="00E444B3">
              <w:t>epatocellular carcinoma</w:t>
            </w:r>
            <w:r>
              <w:t xml:space="preserve"> (HCC), advanced Barcelona Clinic Liver Cancer </w:t>
            </w:r>
            <w:proofErr w:type="gramStart"/>
            <w:r>
              <w:t>stage</w:t>
            </w:r>
            <w:proofErr w:type="gramEnd"/>
            <w:r>
              <w:t xml:space="preserve"> B or C, first-line)</w:t>
            </w:r>
          </w:p>
        </w:tc>
        <w:tc>
          <w:tcPr>
            <w:tcW w:w="3685" w:type="dxa"/>
            <w:tcBorders>
              <w:top w:val="single" w:sz="4" w:space="0" w:color="C2D9BA"/>
              <w:bottom w:val="single" w:sz="4" w:space="0" w:color="C2D9BA"/>
            </w:tcBorders>
            <w:shd w:val="clear" w:color="auto" w:fill="auto"/>
          </w:tcPr>
          <w:p w14:paraId="291FF57C" w14:textId="77777777" w:rsidR="009B6B07" w:rsidRDefault="009B6B07" w:rsidP="009B6B07">
            <w:pPr>
              <w:pStyle w:val="TableText"/>
            </w:pPr>
            <w:r w:rsidRPr="00BC67BB">
              <w:t>Gap – not substantial clinical benefit</w:t>
            </w:r>
          </w:p>
          <w:p w14:paraId="4A195F07" w14:textId="77777777" w:rsidR="009B6B07" w:rsidRPr="00BC67BB" w:rsidRDefault="009B6B07" w:rsidP="009B6B07">
            <w:pPr>
              <w:pStyle w:val="TableText"/>
            </w:pPr>
            <w:r w:rsidRPr="0088228C">
              <w:t xml:space="preserve">Clinical advice indicated </w:t>
            </w:r>
            <w:r>
              <w:t xml:space="preserve">the </w:t>
            </w:r>
            <w:r w:rsidRPr="0088228C">
              <w:t>relevant comparator would be best supportive care. Unlikely to score 4 or 5 against this comparator for this indication</w:t>
            </w:r>
            <w:r>
              <w:t>.</w:t>
            </w:r>
            <w:r w:rsidRPr="00BC67BB" w:rsidDel="00CC4C72">
              <w:t xml:space="preserve"> </w:t>
            </w:r>
          </w:p>
        </w:tc>
      </w:tr>
      <w:tr w:rsidR="009B6B07" w:rsidRPr="00066623" w14:paraId="6AE982A9" w14:textId="77777777" w:rsidTr="00B521E2">
        <w:trPr>
          <w:cantSplit/>
        </w:trPr>
        <w:tc>
          <w:tcPr>
            <w:tcW w:w="1560" w:type="dxa"/>
            <w:tcBorders>
              <w:top w:val="single" w:sz="4" w:space="0" w:color="C2D9BA"/>
              <w:bottom w:val="single" w:sz="4" w:space="0" w:color="C2D9BA"/>
            </w:tcBorders>
            <w:shd w:val="clear" w:color="auto" w:fill="auto"/>
          </w:tcPr>
          <w:p w14:paraId="48E1EBB4" w14:textId="77777777" w:rsidR="009B6B07" w:rsidRPr="00E444B3" w:rsidRDefault="009B6B07" w:rsidP="009B6B07">
            <w:pPr>
              <w:pStyle w:val="TableText"/>
            </w:pPr>
            <w:r w:rsidRPr="00E444B3">
              <w:t>Temozolomide</w:t>
            </w:r>
            <w:r>
              <w:t>*</w:t>
            </w:r>
          </w:p>
        </w:tc>
        <w:tc>
          <w:tcPr>
            <w:tcW w:w="2835" w:type="dxa"/>
            <w:tcBorders>
              <w:top w:val="single" w:sz="4" w:space="0" w:color="C2D9BA"/>
              <w:bottom w:val="single" w:sz="4" w:space="0" w:color="C2D9BA"/>
            </w:tcBorders>
            <w:shd w:val="clear" w:color="auto" w:fill="auto"/>
          </w:tcPr>
          <w:p w14:paraId="1E1C456A" w14:textId="77777777" w:rsidR="009B6B07" w:rsidRPr="00E444B3" w:rsidRDefault="009B6B07" w:rsidP="009B6B07">
            <w:pPr>
              <w:pStyle w:val="TableText"/>
              <w:ind w:right="113"/>
            </w:pPr>
            <w:r w:rsidRPr="00E444B3">
              <w:t>Melanoma</w:t>
            </w:r>
            <w:r>
              <w:t xml:space="preserve"> (metastatic)</w:t>
            </w:r>
          </w:p>
        </w:tc>
        <w:tc>
          <w:tcPr>
            <w:tcW w:w="3685" w:type="dxa"/>
            <w:tcBorders>
              <w:top w:val="single" w:sz="4" w:space="0" w:color="C2D9BA"/>
              <w:bottom w:val="single" w:sz="4" w:space="0" w:color="C2D9BA"/>
            </w:tcBorders>
            <w:shd w:val="clear" w:color="auto" w:fill="auto"/>
          </w:tcPr>
          <w:p w14:paraId="3D9FB200" w14:textId="77777777" w:rsidR="009B6B07" w:rsidRDefault="009B6B07" w:rsidP="009B6B07">
            <w:pPr>
              <w:pStyle w:val="TableText"/>
            </w:pPr>
            <w:r w:rsidRPr="00BC67BB">
              <w:t>Gap – not substantial clinical benefit</w:t>
            </w:r>
          </w:p>
          <w:p w14:paraId="327C7035" w14:textId="77777777" w:rsidR="009B6B07" w:rsidRPr="00BC67BB" w:rsidRDefault="009B6B07" w:rsidP="009B6B07">
            <w:pPr>
              <w:pStyle w:val="TableText"/>
            </w:pPr>
            <w:r w:rsidRPr="0088228C">
              <w:t xml:space="preserve">Clinical advice indicated </w:t>
            </w:r>
            <w:r>
              <w:t xml:space="preserve">the </w:t>
            </w:r>
            <w:r w:rsidRPr="0088228C">
              <w:t>comparator would be pembrolizumab or nivolumab. Unlikely to score 4 or 5 against either of these comparators for this indication</w:t>
            </w:r>
            <w:r>
              <w:t>.</w:t>
            </w:r>
          </w:p>
        </w:tc>
      </w:tr>
      <w:tr w:rsidR="009B6B07" w:rsidRPr="00066623" w14:paraId="23E2FFB8" w14:textId="77777777" w:rsidTr="00B521E2">
        <w:trPr>
          <w:cantSplit/>
        </w:trPr>
        <w:tc>
          <w:tcPr>
            <w:tcW w:w="1560" w:type="dxa"/>
            <w:tcBorders>
              <w:top w:val="single" w:sz="4" w:space="0" w:color="C2D9BA"/>
              <w:bottom w:val="single" w:sz="4" w:space="0" w:color="C2D9BA"/>
            </w:tcBorders>
            <w:shd w:val="clear" w:color="auto" w:fill="auto"/>
          </w:tcPr>
          <w:p w14:paraId="1B466C55" w14:textId="77777777" w:rsidR="009B6B07" w:rsidRPr="00E444B3" w:rsidRDefault="009B6B07" w:rsidP="009B6B07">
            <w:pPr>
              <w:pStyle w:val="TableText"/>
            </w:pPr>
            <w:r w:rsidRPr="00E444B3">
              <w:t>Topotecan</w:t>
            </w:r>
            <w:r>
              <w:t>*</w:t>
            </w:r>
          </w:p>
        </w:tc>
        <w:tc>
          <w:tcPr>
            <w:tcW w:w="2835" w:type="dxa"/>
            <w:tcBorders>
              <w:top w:val="single" w:sz="4" w:space="0" w:color="C2D9BA"/>
              <w:bottom w:val="single" w:sz="4" w:space="0" w:color="C2D9BA"/>
            </w:tcBorders>
            <w:shd w:val="clear" w:color="auto" w:fill="auto"/>
          </w:tcPr>
          <w:p w14:paraId="77B6B1BF" w14:textId="77777777" w:rsidR="009B6B07" w:rsidRPr="00E444B3" w:rsidRDefault="009B6B07" w:rsidP="009B6B07">
            <w:pPr>
              <w:pStyle w:val="TableText"/>
              <w:ind w:right="113"/>
            </w:pPr>
            <w:r w:rsidRPr="00E444B3">
              <w:t>No restriction on cancer type</w:t>
            </w:r>
            <w:r>
              <w:t xml:space="preserve"> – likely multiple indications</w:t>
            </w:r>
          </w:p>
        </w:tc>
        <w:tc>
          <w:tcPr>
            <w:tcW w:w="3685" w:type="dxa"/>
            <w:tcBorders>
              <w:top w:val="single" w:sz="4" w:space="0" w:color="C2D9BA"/>
              <w:bottom w:val="single" w:sz="4" w:space="0" w:color="C2D9BA"/>
            </w:tcBorders>
            <w:shd w:val="clear" w:color="auto" w:fill="auto"/>
          </w:tcPr>
          <w:p w14:paraId="36CDE76B" w14:textId="77777777" w:rsidR="009B6B07" w:rsidRDefault="009B6B07" w:rsidP="009B6B07">
            <w:pPr>
              <w:pStyle w:val="TableText"/>
            </w:pPr>
            <w:r w:rsidRPr="00BC67BB">
              <w:t>Gap – not substantial clinical benefit</w:t>
            </w:r>
          </w:p>
          <w:p w14:paraId="1433D79B" w14:textId="77777777" w:rsidR="009B6B07" w:rsidRPr="00BC67BB" w:rsidRDefault="009B6B07" w:rsidP="009B6B07">
            <w:pPr>
              <w:pStyle w:val="TableText"/>
            </w:pPr>
            <w:r w:rsidRPr="0088228C">
              <w:t>Based on clinical advice; unlikely to score ESMO-MCBS 4 or 5 against relevant comparators for indications of interest</w:t>
            </w:r>
            <w:r>
              <w:t>.</w:t>
            </w:r>
          </w:p>
        </w:tc>
      </w:tr>
      <w:tr w:rsidR="009B6B07" w:rsidRPr="00066623" w14:paraId="7D1ED991" w14:textId="77777777" w:rsidTr="00B521E2">
        <w:trPr>
          <w:cantSplit/>
        </w:trPr>
        <w:tc>
          <w:tcPr>
            <w:tcW w:w="1560" w:type="dxa"/>
            <w:tcBorders>
              <w:top w:val="single" w:sz="4" w:space="0" w:color="C2D9BA"/>
              <w:bottom w:val="single" w:sz="4" w:space="0" w:color="C2D9BA"/>
            </w:tcBorders>
            <w:shd w:val="clear" w:color="auto" w:fill="auto"/>
          </w:tcPr>
          <w:p w14:paraId="56790857" w14:textId="77777777" w:rsidR="009B6B07" w:rsidRPr="00E444B3" w:rsidRDefault="009B6B07" w:rsidP="009B6B07">
            <w:pPr>
              <w:pStyle w:val="TableText"/>
            </w:pPr>
            <w:r>
              <w:t>Trastuzumab emtansine</w:t>
            </w:r>
          </w:p>
        </w:tc>
        <w:tc>
          <w:tcPr>
            <w:tcW w:w="2835" w:type="dxa"/>
            <w:tcBorders>
              <w:top w:val="single" w:sz="4" w:space="0" w:color="C2D9BA"/>
              <w:bottom w:val="single" w:sz="4" w:space="0" w:color="C2D9BA"/>
            </w:tcBorders>
            <w:shd w:val="clear" w:color="auto" w:fill="auto"/>
          </w:tcPr>
          <w:p w14:paraId="7C41CAEB" w14:textId="77777777" w:rsidR="009B6B07" w:rsidRPr="00E444B3" w:rsidRDefault="009B6B07" w:rsidP="009B6B07">
            <w:pPr>
              <w:pStyle w:val="TableText"/>
              <w:ind w:right="113"/>
            </w:pPr>
            <w:r w:rsidRPr="00E444B3">
              <w:t>Breast cancer (early</w:t>
            </w:r>
            <w:r>
              <w:t>-stage, HER-2 +ve</w:t>
            </w:r>
            <w:r w:rsidRPr="00E444B3">
              <w:t xml:space="preserve">, adjuvant to </w:t>
            </w:r>
            <w:r>
              <w:t xml:space="preserve">neo-adjuvant trastuzumab with chemotherapy and </w:t>
            </w:r>
            <w:r w:rsidRPr="00E444B3">
              <w:t>surgery)</w:t>
            </w:r>
          </w:p>
        </w:tc>
        <w:tc>
          <w:tcPr>
            <w:tcW w:w="3685" w:type="dxa"/>
            <w:tcBorders>
              <w:top w:val="single" w:sz="4" w:space="0" w:color="C2D9BA"/>
              <w:bottom w:val="single" w:sz="4" w:space="0" w:color="C2D9BA"/>
            </w:tcBorders>
            <w:shd w:val="clear" w:color="auto" w:fill="auto"/>
          </w:tcPr>
          <w:p w14:paraId="031286FF" w14:textId="77777777" w:rsidR="009B6B07" w:rsidRDefault="009B6B07" w:rsidP="009B6B07">
            <w:pPr>
              <w:pStyle w:val="TableText"/>
            </w:pPr>
            <w:r w:rsidRPr="00BC67BB">
              <w:t xml:space="preserve">Gap – </w:t>
            </w:r>
            <w:r w:rsidRPr="00BC67BB">
              <w:rPr>
                <w:b/>
                <w:bCs/>
              </w:rPr>
              <w:t>substantial</w:t>
            </w:r>
            <w:r w:rsidRPr="00BC67BB">
              <w:t xml:space="preserve"> clinical benefit</w:t>
            </w:r>
          </w:p>
          <w:p w14:paraId="78D18E38" w14:textId="77777777" w:rsidR="009B6B07" w:rsidRDefault="009B6B07" w:rsidP="009B6B07">
            <w:pPr>
              <w:pStyle w:val="TableText"/>
            </w:pPr>
            <w:r w:rsidRPr="0088228C">
              <w:t xml:space="preserve">Clinical advice indicated </w:t>
            </w:r>
            <w:r>
              <w:t xml:space="preserve">the </w:t>
            </w:r>
            <w:r w:rsidRPr="0088228C">
              <w:t>comparator would be trastuzumab</w:t>
            </w:r>
            <w:r>
              <w:t>.</w:t>
            </w:r>
          </w:p>
          <w:p w14:paraId="1A49F348" w14:textId="77777777" w:rsidR="009B6B07" w:rsidRDefault="009B6B07" w:rsidP="009B6B07">
            <w:pPr>
              <w:pStyle w:val="TableText"/>
            </w:pPr>
            <w:r w:rsidRPr="0088228C">
              <w:t xml:space="preserve">Based on </w:t>
            </w:r>
            <w:r>
              <w:t xml:space="preserve">a </w:t>
            </w:r>
            <w:r w:rsidRPr="0088228C">
              <w:t>review of clinical evidence, trastuzumab emtansine is considered likely to score at least B</w:t>
            </w:r>
            <w:r>
              <w:t xml:space="preserve"> when compared with </w:t>
            </w:r>
            <w:r w:rsidRPr="0088228C">
              <w:t>trastuzumab for this indication</w:t>
            </w:r>
            <w:r>
              <w:t>.</w:t>
            </w:r>
          </w:p>
          <w:p w14:paraId="2206E228" w14:textId="77777777" w:rsidR="009B6B07" w:rsidRPr="00BC67BB" w:rsidRDefault="009B6B07" w:rsidP="00607890">
            <w:pPr>
              <w:pStyle w:val="TableText"/>
            </w:pPr>
            <w:r w:rsidRPr="0088228C">
              <w:t xml:space="preserve">See </w:t>
            </w:r>
            <w:hyperlink w:anchor="Appendix_7_Table_7point6" w:history="1">
              <w:r w:rsidR="00607890" w:rsidRPr="00607890">
                <w:rPr>
                  <w:rStyle w:val="Hyperlink"/>
                </w:rPr>
                <w:t>Appendix 7, Table 7.6</w:t>
              </w:r>
            </w:hyperlink>
            <w:r w:rsidRPr="0088228C">
              <w:t xml:space="preserve"> for further detail</w:t>
            </w:r>
            <w:r>
              <w:t>.</w:t>
            </w:r>
          </w:p>
        </w:tc>
      </w:tr>
      <w:tr w:rsidR="009B6B07" w:rsidRPr="00066623" w14:paraId="2FA5E920" w14:textId="77777777" w:rsidTr="00B521E2">
        <w:trPr>
          <w:cantSplit/>
        </w:trPr>
        <w:tc>
          <w:tcPr>
            <w:tcW w:w="1560" w:type="dxa"/>
            <w:tcBorders>
              <w:top w:val="single" w:sz="4" w:space="0" w:color="C2D9BA"/>
              <w:bottom w:val="single" w:sz="4" w:space="0" w:color="C2D9BA"/>
            </w:tcBorders>
            <w:shd w:val="clear" w:color="auto" w:fill="auto"/>
          </w:tcPr>
          <w:p w14:paraId="238D82FE" w14:textId="77777777" w:rsidR="009B6B07" w:rsidRPr="00E444B3" w:rsidRDefault="009B6B07" w:rsidP="009B6B07">
            <w:pPr>
              <w:pStyle w:val="TableText"/>
            </w:pPr>
            <w:r w:rsidRPr="00E444B3">
              <w:t>Tr</w:t>
            </w:r>
            <w:r>
              <w:t>i</w:t>
            </w:r>
            <w:r w:rsidRPr="00E444B3">
              <w:t>ptorelin</w:t>
            </w:r>
          </w:p>
        </w:tc>
        <w:tc>
          <w:tcPr>
            <w:tcW w:w="2835" w:type="dxa"/>
            <w:tcBorders>
              <w:top w:val="single" w:sz="4" w:space="0" w:color="C2D9BA"/>
              <w:bottom w:val="single" w:sz="4" w:space="0" w:color="C2D9BA"/>
            </w:tcBorders>
            <w:shd w:val="clear" w:color="auto" w:fill="auto"/>
          </w:tcPr>
          <w:p w14:paraId="06E712BC" w14:textId="77777777" w:rsidR="009B6B07" w:rsidRPr="00E444B3" w:rsidRDefault="009B6B07" w:rsidP="009B6B07">
            <w:pPr>
              <w:pStyle w:val="TableText"/>
              <w:ind w:right="113"/>
            </w:pPr>
            <w:r w:rsidRPr="00E444B3">
              <w:t>Prostate cancer</w:t>
            </w:r>
            <w:r>
              <w:t xml:space="preserve"> (locally advanced or metastatic)</w:t>
            </w:r>
          </w:p>
        </w:tc>
        <w:tc>
          <w:tcPr>
            <w:tcW w:w="3685" w:type="dxa"/>
            <w:tcBorders>
              <w:top w:val="single" w:sz="4" w:space="0" w:color="C2D9BA"/>
              <w:bottom w:val="single" w:sz="4" w:space="0" w:color="C2D9BA"/>
            </w:tcBorders>
            <w:shd w:val="clear" w:color="auto" w:fill="auto"/>
          </w:tcPr>
          <w:p w14:paraId="69C65C35" w14:textId="77777777" w:rsidR="009B6B07" w:rsidRDefault="009B6B07" w:rsidP="009B6B07">
            <w:pPr>
              <w:pStyle w:val="TableText"/>
            </w:pPr>
            <w:r w:rsidRPr="00BC67BB">
              <w:t>Gap – not substantial clinical benefit</w:t>
            </w:r>
          </w:p>
          <w:p w14:paraId="79CC5A02" w14:textId="77777777" w:rsidR="009B6B07" w:rsidRPr="00BC67BB" w:rsidRDefault="009B6B07" w:rsidP="009B6B07">
            <w:pPr>
              <w:pStyle w:val="TableText"/>
            </w:pPr>
            <w:r w:rsidRPr="0088228C">
              <w:t xml:space="preserve">Clinical advice indicated </w:t>
            </w:r>
            <w:r>
              <w:t xml:space="preserve">the </w:t>
            </w:r>
            <w:r w:rsidRPr="0088228C">
              <w:t>relevant comparator would be goserelin. Unlikely to score 4 or 5 against this comparator for this indication</w:t>
            </w:r>
            <w:r>
              <w:t>.</w:t>
            </w:r>
          </w:p>
        </w:tc>
      </w:tr>
      <w:tr w:rsidR="009B6B07" w:rsidRPr="00066623" w14:paraId="48C5B191" w14:textId="77777777" w:rsidTr="00B521E2">
        <w:trPr>
          <w:cantSplit/>
        </w:trPr>
        <w:tc>
          <w:tcPr>
            <w:tcW w:w="1560" w:type="dxa"/>
            <w:tcBorders>
              <w:top w:val="single" w:sz="4" w:space="0" w:color="C2D9BA"/>
              <w:bottom w:val="single" w:sz="4" w:space="0" w:color="C2D9BA"/>
            </w:tcBorders>
            <w:shd w:val="clear" w:color="auto" w:fill="auto"/>
          </w:tcPr>
          <w:p w14:paraId="0AED47C5" w14:textId="77777777" w:rsidR="009B6B07" w:rsidRPr="00E444B3" w:rsidRDefault="009B6B07" w:rsidP="009B6B07">
            <w:pPr>
              <w:pStyle w:val="TableText"/>
            </w:pPr>
            <w:r w:rsidRPr="00E444B3">
              <w:t>Vinorelbine</w:t>
            </w:r>
            <w:r>
              <w:t xml:space="preserve"> – </w:t>
            </w:r>
            <w:r w:rsidRPr="00E444B3">
              <w:t>oral</w:t>
            </w:r>
          </w:p>
        </w:tc>
        <w:tc>
          <w:tcPr>
            <w:tcW w:w="2835" w:type="dxa"/>
            <w:tcBorders>
              <w:top w:val="single" w:sz="4" w:space="0" w:color="C2D9BA"/>
              <w:bottom w:val="single" w:sz="4" w:space="0" w:color="C2D9BA"/>
            </w:tcBorders>
            <w:shd w:val="clear" w:color="auto" w:fill="auto"/>
          </w:tcPr>
          <w:p w14:paraId="4BE70D8F" w14:textId="77777777" w:rsidR="009B6B07" w:rsidRPr="00E444B3" w:rsidRDefault="009B6B07" w:rsidP="009B6B07">
            <w:pPr>
              <w:pStyle w:val="TableText"/>
              <w:ind w:right="113"/>
            </w:pPr>
            <w:r w:rsidRPr="00E444B3">
              <w:t>Breast cancer</w:t>
            </w:r>
            <w:r>
              <w:t xml:space="preserve"> (advanced, later</w:t>
            </w:r>
            <w:r>
              <w:noBreakHyphen/>
              <w:t>line)</w:t>
            </w:r>
          </w:p>
        </w:tc>
        <w:tc>
          <w:tcPr>
            <w:tcW w:w="3685" w:type="dxa"/>
            <w:tcBorders>
              <w:top w:val="single" w:sz="4" w:space="0" w:color="C2D9BA"/>
              <w:bottom w:val="single" w:sz="4" w:space="0" w:color="C2D9BA"/>
            </w:tcBorders>
            <w:shd w:val="clear" w:color="auto" w:fill="auto"/>
          </w:tcPr>
          <w:p w14:paraId="79FFFB3E" w14:textId="77777777" w:rsidR="009B6B07" w:rsidRDefault="009B6B07" w:rsidP="009B6B07">
            <w:pPr>
              <w:pStyle w:val="TableText"/>
            </w:pPr>
            <w:r w:rsidRPr="00BC67BB">
              <w:t>Gap – not substantial clinical benefit</w:t>
            </w:r>
          </w:p>
          <w:p w14:paraId="6C56609F" w14:textId="77777777" w:rsidR="009B6B07" w:rsidRPr="00BC67BB" w:rsidRDefault="009B6B07" w:rsidP="009B6B07">
            <w:pPr>
              <w:pStyle w:val="TableText"/>
            </w:pPr>
            <w:r w:rsidRPr="0088228C">
              <w:t xml:space="preserve">Clinical advice indicated </w:t>
            </w:r>
            <w:r>
              <w:t xml:space="preserve">the </w:t>
            </w:r>
            <w:r w:rsidRPr="0088228C">
              <w:t>relevant comparator would be IV vinorelbine. Unlikely to score 4 or 5 against this comparator for this indication</w:t>
            </w:r>
            <w:r>
              <w:t>.</w:t>
            </w:r>
          </w:p>
        </w:tc>
      </w:tr>
      <w:tr w:rsidR="009B6B07" w:rsidRPr="00066623" w14:paraId="6F476F08" w14:textId="77777777" w:rsidTr="00B521E2">
        <w:trPr>
          <w:cantSplit/>
        </w:trPr>
        <w:tc>
          <w:tcPr>
            <w:tcW w:w="1560" w:type="dxa"/>
            <w:tcBorders>
              <w:top w:val="single" w:sz="4" w:space="0" w:color="C2D9BA"/>
              <w:bottom w:val="single" w:sz="4" w:space="0" w:color="C2D9BA"/>
            </w:tcBorders>
            <w:shd w:val="clear" w:color="auto" w:fill="auto"/>
          </w:tcPr>
          <w:p w14:paraId="6339E09D" w14:textId="77777777" w:rsidR="009B6B07" w:rsidRPr="00E444B3" w:rsidRDefault="009B6B07" w:rsidP="009B6B07">
            <w:pPr>
              <w:pStyle w:val="TableText"/>
            </w:pPr>
            <w:r w:rsidRPr="00E444B3">
              <w:t xml:space="preserve">Vinorelbine </w:t>
            </w:r>
            <w:r>
              <w:t>–</w:t>
            </w:r>
            <w:r w:rsidRPr="00E444B3">
              <w:t xml:space="preserve"> oral</w:t>
            </w:r>
          </w:p>
        </w:tc>
        <w:tc>
          <w:tcPr>
            <w:tcW w:w="2835" w:type="dxa"/>
            <w:tcBorders>
              <w:top w:val="single" w:sz="4" w:space="0" w:color="C2D9BA"/>
              <w:bottom w:val="single" w:sz="4" w:space="0" w:color="C2D9BA"/>
            </w:tcBorders>
            <w:shd w:val="clear" w:color="auto" w:fill="auto"/>
          </w:tcPr>
          <w:p w14:paraId="3E6AD82D" w14:textId="77777777" w:rsidR="009B6B07" w:rsidRPr="00E444B3" w:rsidRDefault="009B6B07" w:rsidP="009B6B07">
            <w:pPr>
              <w:pStyle w:val="TableText"/>
              <w:ind w:right="113"/>
            </w:pPr>
            <w:r w:rsidRPr="00E444B3">
              <w:t>Lung cancer</w:t>
            </w:r>
            <w:r>
              <w:t xml:space="preserve"> (non-small cell lung cancer (NSCLC), locally advanced or metastatic)</w:t>
            </w:r>
          </w:p>
        </w:tc>
        <w:tc>
          <w:tcPr>
            <w:tcW w:w="3685" w:type="dxa"/>
            <w:tcBorders>
              <w:top w:val="single" w:sz="4" w:space="0" w:color="C2D9BA"/>
              <w:bottom w:val="single" w:sz="4" w:space="0" w:color="C2D9BA"/>
            </w:tcBorders>
            <w:shd w:val="clear" w:color="auto" w:fill="auto"/>
          </w:tcPr>
          <w:p w14:paraId="23F41AD4" w14:textId="77777777" w:rsidR="009B6B07" w:rsidRDefault="009B6B07" w:rsidP="009B6B07">
            <w:pPr>
              <w:pStyle w:val="TableText"/>
            </w:pPr>
            <w:r w:rsidRPr="00BC67BB">
              <w:t>Gap – not substantial clinical benefit</w:t>
            </w:r>
          </w:p>
          <w:p w14:paraId="66B600BE" w14:textId="77777777" w:rsidR="009B6B07" w:rsidRPr="00BC67BB" w:rsidRDefault="009B6B07" w:rsidP="009B6B07">
            <w:pPr>
              <w:pStyle w:val="TableText"/>
            </w:pPr>
            <w:r w:rsidRPr="0088228C">
              <w:t xml:space="preserve">Clinical advice indicated </w:t>
            </w:r>
            <w:r>
              <w:t xml:space="preserve">the </w:t>
            </w:r>
            <w:r w:rsidRPr="0088228C">
              <w:t>relevant comparator would be IV vinorelbine. Unlikely to score 4 or 5 against this comparator for this indication</w:t>
            </w:r>
            <w:r>
              <w:t>.</w:t>
            </w:r>
          </w:p>
        </w:tc>
      </w:tr>
      <w:tr w:rsidR="009B6B07" w:rsidRPr="00066623" w14:paraId="56376C6C" w14:textId="77777777" w:rsidTr="00B521E2">
        <w:trPr>
          <w:cantSplit/>
        </w:trPr>
        <w:tc>
          <w:tcPr>
            <w:tcW w:w="1560" w:type="dxa"/>
            <w:tcBorders>
              <w:top w:val="single" w:sz="4" w:space="0" w:color="C2D9BA"/>
              <w:bottom w:val="single" w:sz="4" w:space="0" w:color="C2D9BA"/>
            </w:tcBorders>
            <w:shd w:val="clear" w:color="auto" w:fill="auto"/>
          </w:tcPr>
          <w:p w14:paraId="227B8955" w14:textId="77777777" w:rsidR="009B6B07" w:rsidRPr="00E444B3" w:rsidRDefault="009B6B07" w:rsidP="009B6B07">
            <w:pPr>
              <w:pStyle w:val="TableText"/>
            </w:pPr>
            <w:r w:rsidRPr="00E444B3">
              <w:lastRenderedPageBreak/>
              <w:t>Vismodegib</w:t>
            </w:r>
          </w:p>
        </w:tc>
        <w:tc>
          <w:tcPr>
            <w:tcW w:w="2835" w:type="dxa"/>
            <w:tcBorders>
              <w:top w:val="single" w:sz="4" w:space="0" w:color="C2D9BA"/>
              <w:bottom w:val="single" w:sz="4" w:space="0" w:color="C2D9BA"/>
            </w:tcBorders>
            <w:shd w:val="clear" w:color="auto" w:fill="auto"/>
          </w:tcPr>
          <w:p w14:paraId="78504C6E" w14:textId="77777777" w:rsidR="009B6B07" w:rsidRPr="00E444B3" w:rsidRDefault="009B6B07" w:rsidP="009B6B07">
            <w:pPr>
              <w:pStyle w:val="TableText"/>
              <w:ind w:right="113"/>
            </w:pPr>
            <w:r>
              <w:t>Skin cancer (b</w:t>
            </w:r>
            <w:r w:rsidRPr="00E444B3">
              <w:t>asal cell carcinoma</w:t>
            </w:r>
            <w:r>
              <w:t xml:space="preserve"> (BCC), locally advanced or metastatic, unresectable, first-line)</w:t>
            </w:r>
          </w:p>
        </w:tc>
        <w:tc>
          <w:tcPr>
            <w:tcW w:w="3685" w:type="dxa"/>
            <w:tcBorders>
              <w:top w:val="single" w:sz="4" w:space="0" w:color="C2D9BA"/>
              <w:bottom w:val="single" w:sz="4" w:space="0" w:color="C2D9BA"/>
            </w:tcBorders>
            <w:shd w:val="clear" w:color="auto" w:fill="auto"/>
          </w:tcPr>
          <w:p w14:paraId="3B910DE6" w14:textId="77777777" w:rsidR="009B6B07" w:rsidRDefault="009B6B07" w:rsidP="009B6B07">
            <w:pPr>
              <w:pStyle w:val="TableText"/>
            </w:pPr>
            <w:r w:rsidRPr="00BC67BB">
              <w:t>Gap – not substantial clinical benefit</w:t>
            </w:r>
          </w:p>
          <w:p w14:paraId="46CF06CC" w14:textId="77777777" w:rsidR="009B6B07" w:rsidRDefault="009B6B07" w:rsidP="009B6B07">
            <w:pPr>
              <w:pStyle w:val="TableText"/>
            </w:pPr>
            <w:r w:rsidRPr="0088228C">
              <w:t xml:space="preserve">Clinical advice indicated </w:t>
            </w:r>
            <w:r>
              <w:t xml:space="preserve">the </w:t>
            </w:r>
            <w:r w:rsidRPr="0088228C">
              <w:t>comparator would be best supportive care.</w:t>
            </w:r>
          </w:p>
          <w:p w14:paraId="0F449C93" w14:textId="77777777" w:rsidR="009B6B07" w:rsidRPr="00BC67BB" w:rsidRDefault="009B6B07" w:rsidP="009B6B07">
            <w:pPr>
              <w:pStyle w:val="TableText"/>
            </w:pPr>
            <w:r w:rsidRPr="0088228C">
              <w:t xml:space="preserve">Based on </w:t>
            </w:r>
            <w:r>
              <w:t xml:space="preserve">a </w:t>
            </w:r>
            <w:r w:rsidRPr="0088228C">
              <w:t xml:space="preserve">clinical assessment by eviQ </w:t>
            </w:r>
            <w:r w:rsidRPr="0088228C">
              <w:rPr>
                <w:noProof/>
              </w:rPr>
              <w:t>(Cancer Institute NSW 2021</w:t>
            </w:r>
            <w:r>
              <w:rPr>
                <w:noProof/>
              </w:rPr>
              <w:t>b</w:t>
            </w:r>
            <w:r w:rsidRPr="0088228C">
              <w:rPr>
                <w:noProof/>
              </w:rPr>
              <w:t>)</w:t>
            </w:r>
            <w:r w:rsidRPr="0088228C">
              <w:t xml:space="preserve">; unlikely to score ESMO-MCBS 4 or 5 </w:t>
            </w:r>
            <w:r>
              <w:t>when compared with</w:t>
            </w:r>
            <w:r w:rsidRPr="0088228C">
              <w:t xml:space="preserve"> best supportive care</w:t>
            </w:r>
            <w:r>
              <w:t>.</w:t>
            </w:r>
          </w:p>
        </w:tc>
      </w:tr>
    </w:tbl>
    <w:bookmarkEnd w:id="375"/>
    <w:p w14:paraId="27474DD8" w14:textId="77777777" w:rsidR="00C338E8" w:rsidRDefault="00B12E4F" w:rsidP="009B6B07">
      <w:pPr>
        <w:pStyle w:val="Note"/>
      </w:pPr>
      <w:r w:rsidRPr="00E444B3">
        <w:t>*</w:t>
      </w:r>
      <w:r>
        <w:tab/>
      </w:r>
      <w:r w:rsidRPr="00E444B3">
        <w:t>Funded without restriction in Australia. Indications from TGA</w:t>
      </w:r>
      <w:r>
        <w:t>-</w:t>
      </w:r>
      <w:r w:rsidRPr="00E444B3">
        <w:t>approved product information and eviQ</w:t>
      </w:r>
      <w:r>
        <w:t>.</w:t>
      </w:r>
    </w:p>
    <w:p w14:paraId="75820C71" w14:textId="77777777" w:rsidR="00C338E8" w:rsidRDefault="00C338E8" w:rsidP="009B6B07"/>
    <w:p w14:paraId="19243501" w14:textId="401DD65E" w:rsidR="00C338E8" w:rsidRDefault="00B12E4F" w:rsidP="009B6B07">
      <w:r>
        <w:t xml:space="preserve">Finally, </w:t>
      </w:r>
      <w:hyperlink w:anchor="Appendix_5_Table_5point7" w:history="1">
        <w:r w:rsidR="00607890" w:rsidRPr="00607890">
          <w:rPr>
            <w:rStyle w:val="Hyperlink"/>
          </w:rPr>
          <w:t>Table 5.7</w:t>
        </w:r>
      </w:hyperlink>
      <w:r>
        <w:t xml:space="preserve"> lists cancer medicines for blood cancers that were funded in Australia but not Aotearoa. While the ESMO-MCBS has not yet been validated for blood cancer medicines, the European Haematology Association (EHA) has estimated a </w:t>
      </w:r>
      <w:r w:rsidR="009C3FDF">
        <w:t xml:space="preserve">preliminary </w:t>
      </w:r>
      <w:r>
        <w:t xml:space="preserve">ESMO-MCBS score for some of these medicines. Where available, these EHA-estimated scores have been included in </w:t>
      </w:r>
      <w:hyperlink w:anchor="Appendix_5_Table_5point7" w:history="1">
        <w:r w:rsidR="00607890" w:rsidRPr="00607890">
          <w:rPr>
            <w:rStyle w:val="Hyperlink"/>
          </w:rPr>
          <w:t>Table 5.7</w:t>
        </w:r>
      </w:hyperlink>
      <w:r>
        <w:t xml:space="preserve"> </w:t>
      </w:r>
      <w:r>
        <w:rPr>
          <w:noProof/>
        </w:rPr>
        <w:t xml:space="preserve">(Kiesewetter </w:t>
      </w:r>
      <w:r w:rsidR="00C338E8">
        <w:rPr>
          <w:noProof/>
        </w:rPr>
        <w:t>et al</w:t>
      </w:r>
      <w:r w:rsidR="003B51F4">
        <w:rPr>
          <w:noProof/>
        </w:rPr>
        <w:t xml:space="preserve"> 2</w:t>
      </w:r>
      <w:r>
        <w:rPr>
          <w:noProof/>
        </w:rPr>
        <w:t>020)</w:t>
      </w:r>
      <w:r>
        <w:t>.</w:t>
      </w:r>
    </w:p>
    <w:p w14:paraId="1D1214D9" w14:textId="77777777" w:rsidR="00C338E8" w:rsidRDefault="00C338E8" w:rsidP="009B6B07"/>
    <w:p w14:paraId="59B6861F" w14:textId="77777777" w:rsidR="00B12E4F" w:rsidRDefault="00B12E4F" w:rsidP="009B6B07">
      <w:pPr>
        <w:pStyle w:val="Table"/>
      </w:pPr>
      <w:bookmarkStart w:id="376" w:name="_Toc101365615"/>
      <w:bookmarkStart w:id="377" w:name="Appendix_5_Table_5point7"/>
      <w:r w:rsidRPr="00E444B3">
        <w:t>Table</w:t>
      </w:r>
      <w:r w:rsidR="009B6B07">
        <w:t> </w:t>
      </w:r>
      <w:r>
        <w:t>5.7</w:t>
      </w:r>
      <w:r w:rsidRPr="00E444B3">
        <w:t>: Medicines funded in Australia and not in Aotearoa – haematology indications</w:t>
      </w:r>
      <w:bookmarkEnd w:id="37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2268"/>
        <w:gridCol w:w="1134"/>
        <w:gridCol w:w="3118"/>
      </w:tblGrid>
      <w:tr w:rsidR="009B6B07" w:rsidRPr="000C1356" w14:paraId="079D4AE4" w14:textId="77777777" w:rsidTr="00EC2EFB">
        <w:trPr>
          <w:cantSplit/>
          <w:tblHeader/>
        </w:trPr>
        <w:tc>
          <w:tcPr>
            <w:tcW w:w="1560" w:type="dxa"/>
            <w:tcBorders>
              <w:top w:val="nil"/>
              <w:bottom w:val="nil"/>
            </w:tcBorders>
            <w:shd w:val="clear" w:color="auto" w:fill="C2D9BA"/>
          </w:tcPr>
          <w:p w14:paraId="4A44436E" w14:textId="77777777" w:rsidR="009B6B07" w:rsidRPr="000C1356" w:rsidRDefault="009B6B07" w:rsidP="00B521E2">
            <w:pPr>
              <w:pStyle w:val="TableText"/>
              <w:rPr>
                <w:b/>
              </w:rPr>
            </w:pPr>
            <w:r w:rsidRPr="000C1356">
              <w:rPr>
                <w:b/>
              </w:rPr>
              <w:t>Medicine</w:t>
            </w:r>
          </w:p>
        </w:tc>
        <w:tc>
          <w:tcPr>
            <w:tcW w:w="2268" w:type="dxa"/>
            <w:tcBorders>
              <w:top w:val="nil"/>
              <w:bottom w:val="nil"/>
            </w:tcBorders>
            <w:shd w:val="clear" w:color="auto" w:fill="C2D9BA"/>
          </w:tcPr>
          <w:p w14:paraId="37DBA994" w14:textId="77777777" w:rsidR="009B6B07" w:rsidRPr="009B6B07" w:rsidRDefault="009B6B07" w:rsidP="009B6B07">
            <w:pPr>
              <w:pStyle w:val="TableText"/>
              <w:rPr>
                <w:b/>
              </w:rPr>
            </w:pPr>
            <w:r w:rsidRPr="009B6B07">
              <w:rPr>
                <w:b/>
              </w:rPr>
              <w:t>Indication per PBS</w:t>
            </w:r>
          </w:p>
        </w:tc>
        <w:tc>
          <w:tcPr>
            <w:tcW w:w="1134" w:type="dxa"/>
            <w:tcBorders>
              <w:top w:val="nil"/>
              <w:bottom w:val="nil"/>
            </w:tcBorders>
            <w:shd w:val="clear" w:color="auto" w:fill="C2D9BA"/>
          </w:tcPr>
          <w:p w14:paraId="01056BB6" w14:textId="77777777" w:rsidR="009B6B07" w:rsidRPr="009B6B07" w:rsidRDefault="009B6B07" w:rsidP="00EC2EFB">
            <w:pPr>
              <w:pStyle w:val="TableText"/>
              <w:jc w:val="center"/>
              <w:rPr>
                <w:b/>
              </w:rPr>
            </w:pPr>
            <w:r w:rsidRPr="009B6B07">
              <w:rPr>
                <w:b/>
              </w:rPr>
              <w:t>EHA MCBS estimate**</w:t>
            </w:r>
          </w:p>
        </w:tc>
        <w:tc>
          <w:tcPr>
            <w:tcW w:w="3118" w:type="dxa"/>
            <w:tcBorders>
              <w:top w:val="nil"/>
              <w:bottom w:val="nil"/>
            </w:tcBorders>
            <w:shd w:val="clear" w:color="auto" w:fill="C2D9BA"/>
          </w:tcPr>
          <w:p w14:paraId="4801C988" w14:textId="77777777" w:rsidR="009B6B07" w:rsidRPr="009B6B07" w:rsidRDefault="009B6B07" w:rsidP="009B6B07">
            <w:pPr>
              <w:pStyle w:val="TableText"/>
              <w:rPr>
                <w:b/>
              </w:rPr>
            </w:pPr>
            <w:r w:rsidRPr="009B6B07">
              <w:rPr>
                <w:b/>
              </w:rPr>
              <w:t>Pharmac status at time of analysis</w:t>
            </w:r>
          </w:p>
        </w:tc>
      </w:tr>
      <w:tr w:rsidR="009B6B07" w:rsidRPr="00860E6D" w14:paraId="45CF7A11" w14:textId="77777777" w:rsidTr="00EC2EFB">
        <w:trPr>
          <w:cantSplit/>
        </w:trPr>
        <w:tc>
          <w:tcPr>
            <w:tcW w:w="1560" w:type="dxa"/>
            <w:tcBorders>
              <w:top w:val="nil"/>
              <w:bottom w:val="single" w:sz="4" w:space="0" w:color="C2D9BA"/>
            </w:tcBorders>
            <w:shd w:val="clear" w:color="auto" w:fill="auto"/>
          </w:tcPr>
          <w:p w14:paraId="384EBBA9" w14:textId="77777777" w:rsidR="009B6B07" w:rsidRPr="00E444B3" w:rsidRDefault="009B6B07" w:rsidP="009B6B07">
            <w:pPr>
              <w:pStyle w:val="TableText"/>
            </w:pPr>
            <w:r w:rsidRPr="00E444B3">
              <w:t>Acalabrutinib</w:t>
            </w:r>
          </w:p>
        </w:tc>
        <w:tc>
          <w:tcPr>
            <w:tcW w:w="2268" w:type="dxa"/>
            <w:tcBorders>
              <w:top w:val="nil"/>
              <w:bottom w:val="single" w:sz="4" w:space="0" w:color="C2D9BA"/>
            </w:tcBorders>
            <w:shd w:val="clear" w:color="auto" w:fill="auto"/>
          </w:tcPr>
          <w:p w14:paraId="3F820A07" w14:textId="77777777" w:rsidR="009B6B07" w:rsidRPr="00E444B3" w:rsidRDefault="009B6B07" w:rsidP="009B6B07">
            <w:pPr>
              <w:pStyle w:val="TableText"/>
            </w:pPr>
            <w:r w:rsidRPr="00E444B3">
              <w:t>Chronic lymphocytic leukaemia/small lymphocytic leukaemia</w:t>
            </w:r>
            <w:r>
              <w:t xml:space="preserve"> (relapsed/refractory, unsuitable for treatment with purine analogues)</w:t>
            </w:r>
          </w:p>
        </w:tc>
        <w:tc>
          <w:tcPr>
            <w:tcW w:w="1134" w:type="dxa"/>
            <w:tcBorders>
              <w:top w:val="nil"/>
              <w:bottom w:val="single" w:sz="4" w:space="0" w:color="C2D9BA"/>
            </w:tcBorders>
            <w:shd w:val="clear" w:color="auto" w:fill="auto"/>
          </w:tcPr>
          <w:p w14:paraId="7AC77AE4" w14:textId="77777777" w:rsidR="009B6B07" w:rsidRPr="00E444B3" w:rsidRDefault="009B6B07" w:rsidP="00EC2EFB">
            <w:pPr>
              <w:pStyle w:val="TableText"/>
              <w:jc w:val="center"/>
            </w:pPr>
            <w:r w:rsidRPr="00E444B3">
              <w:t>N/A</w:t>
            </w:r>
          </w:p>
        </w:tc>
        <w:tc>
          <w:tcPr>
            <w:tcW w:w="3118" w:type="dxa"/>
            <w:tcBorders>
              <w:top w:val="nil"/>
              <w:bottom w:val="single" w:sz="4" w:space="0" w:color="C2D9BA"/>
            </w:tcBorders>
            <w:shd w:val="clear" w:color="auto" w:fill="auto"/>
          </w:tcPr>
          <w:p w14:paraId="51C2808D" w14:textId="77777777" w:rsidR="009B6B07" w:rsidRDefault="009B6B07" w:rsidP="009B6B07">
            <w:pPr>
              <w:pStyle w:val="TableText"/>
            </w:pPr>
            <w:r>
              <w:t>Application received August 2021</w:t>
            </w:r>
          </w:p>
          <w:p w14:paraId="2DCA87A7" w14:textId="77777777" w:rsidR="009B6B07" w:rsidRDefault="009B6B07" w:rsidP="009B6B07">
            <w:pPr>
              <w:pStyle w:val="TableText"/>
            </w:pPr>
            <w:r>
              <w:t>Seeking clinical advice – this means Pharmac is seeking advice from external experts before this application is assessed and ranked against other options for investment</w:t>
            </w:r>
          </w:p>
          <w:p w14:paraId="4DC2D0C2" w14:textId="77777777" w:rsidR="009B6B07" w:rsidRPr="00E444B3" w:rsidRDefault="0056499C" w:rsidP="009B6B07">
            <w:pPr>
              <w:pStyle w:val="TableText"/>
            </w:pPr>
            <w:hyperlink r:id="rId47" w:history="1">
              <w:r w:rsidR="00EC2EFB" w:rsidRPr="00EC2EFB">
                <w:rPr>
                  <w:rStyle w:val="Hyperlink"/>
                </w:rPr>
                <w:t>https://connect.pharmac.govt.nz/apptracker/s/application-public/a102P00000BLLor/p001721</w:t>
              </w:r>
            </w:hyperlink>
          </w:p>
        </w:tc>
      </w:tr>
      <w:tr w:rsidR="009B6B07" w:rsidRPr="00066623" w14:paraId="47BE7786" w14:textId="77777777" w:rsidTr="00EC2EFB">
        <w:trPr>
          <w:cantSplit/>
        </w:trPr>
        <w:tc>
          <w:tcPr>
            <w:tcW w:w="1560" w:type="dxa"/>
            <w:tcBorders>
              <w:top w:val="single" w:sz="4" w:space="0" w:color="C2D9BA"/>
              <w:bottom w:val="single" w:sz="4" w:space="0" w:color="C2D9BA"/>
            </w:tcBorders>
            <w:shd w:val="clear" w:color="auto" w:fill="auto"/>
          </w:tcPr>
          <w:p w14:paraId="438AC4FA" w14:textId="77777777" w:rsidR="009B6B07" w:rsidRPr="00E444B3" w:rsidRDefault="009B6B07" w:rsidP="009B6B07">
            <w:pPr>
              <w:pStyle w:val="TableText"/>
            </w:pPr>
            <w:r w:rsidRPr="00E444B3">
              <w:t>Bendamustine</w:t>
            </w:r>
          </w:p>
        </w:tc>
        <w:tc>
          <w:tcPr>
            <w:tcW w:w="2268" w:type="dxa"/>
            <w:tcBorders>
              <w:top w:val="single" w:sz="4" w:space="0" w:color="C2D9BA"/>
              <w:bottom w:val="single" w:sz="4" w:space="0" w:color="C2D9BA"/>
            </w:tcBorders>
            <w:shd w:val="clear" w:color="auto" w:fill="auto"/>
          </w:tcPr>
          <w:p w14:paraId="3DB38CC1" w14:textId="77777777" w:rsidR="009B6B07" w:rsidRDefault="009B6B07" w:rsidP="009B6B07">
            <w:pPr>
              <w:pStyle w:val="TableText"/>
            </w:pPr>
            <w:r w:rsidRPr="00E444B3">
              <w:t>Follicular lymphoma</w:t>
            </w:r>
            <w:r>
              <w:t xml:space="preserve"> (CD20 +ve, refractory to rituximab, re-induction)</w:t>
            </w:r>
          </w:p>
          <w:p w14:paraId="2C2B8B1A" w14:textId="77777777" w:rsidR="009B6B07" w:rsidRPr="00E444B3" w:rsidRDefault="009B6B07" w:rsidP="009B6B07">
            <w:pPr>
              <w:pStyle w:val="TableText"/>
            </w:pPr>
            <w:r>
              <w:t>Used with obinutuzumab</w:t>
            </w:r>
          </w:p>
        </w:tc>
        <w:tc>
          <w:tcPr>
            <w:tcW w:w="1134" w:type="dxa"/>
            <w:tcBorders>
              <w:top w:val="single" w:sz="4" w:space="0" w:color="C2D9BA"/>
              <w:bottom w:val="single" w:sz="4" w:space="0" w:color="C2D9BA"/>
            </w:tcBorders>
            <w:shd w:val="clear" w:color="auto" w:fill="auto"/>
          </w:tcPr>
          <w:p w14:paraId="1D8426C2"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71CFB0CC" w14:textId="77777777" w:rsidR="009B6B07" w:rsidRPr="00E444B3" w:rsidRDefault="009B6B07" w:rsidP="009B6B07">
            <w:pPr>
              <w:pStyle w:val="TableText"/>
            </w:pPr>
            <w:r>
              <w:t>No application received</w:t>
            </w:r>
          </w:p>
        </w:tc>
      </w:tr>
      <w:tr w:rsidR="009B6B07" w:rsidRPr="00066623" w14:paraId="3C7561B1" w14:textId="77777777" w:rsidTr="00EC2EFB">
        <w:trPr>
          <w:cantSplit/>
        </w:trPr>
        <w:tc>
          <w:tcPr>
            <w:tcW w:w="1560" w:type="dxa"/>
            <w:tcBorders>
              <w:top w:val="single" w:sz="4" w:space="0" w:color="C2D9BA"/>
              <w:bottom w:val="single" w:sz="4" w:space="0" w:color="C2D9BA"/>
            </w:tcBorders>
            <w:shd w:val="clear" w:color="auto" w:fill="auto"/>
          </w:tcPr>
          <w:p w14:paraId="70FC1B6E" w14:textId="77777777" w:rsidR="009B6B07" w:rsidRPr="00E444B3" w:rsidRDefault="009B6B07" w:rsidP="009B6B07">
            <w:pPr>
              <w:pStyle w:val="TableText"/>
            </w:pPr>
            <w:r w:rsidRPr="00E444B3">
              <w:t>Blinatumomab</w:t>
            </w:r>
          </w:p>
        </w:tc>
        <w:tc>
          <w:tcPr>
            <w:tcW w:w="2268" w:type="dxa"/>
            <w:tcBorders>
              <w:top w:val="single" w:sz="4" w:space="0" w:color="C2D9BA"/>
              <w:bottom w:val="single" w:sz="4" w:space="0" w:color="C2D9BA"/>
            </w:tcBorders>
            <w:shd w:val="clear" w:color="auto" w:fill="auto"/>
          </w:tcPr>
          <w:p w14:paraId="12B53D4E" w14:textId="77777777" w:rsidR="009B6B07" w:rsidRPr="00E444B3" w:rsidRDefault="009B6B07" w:rsidP="009B6B07">
            <w:pPr>
              <w:pStyle w:val="TableText"/>
            </w:pPr>
            <w:r w:rsidRPr="00E444B3">
              <w:t>Acute lymphoblastic leukaemia</w:t>
            </w:r>
            <w:r>
              <w:t xml:space="preserve"> (B-precursor cell, relapsed/refractory, induction, consolidation and/or treatment of minimal residual disease)</w:t>
            </w:r>
          </w:p>
        </w:tc>
        <w:tc>
          <w:tcPr>
            <w:tcW w:w="1134" w:type="dxa"/>
            <w:tcBorders>
              <w:top w:val="single" w:sz="4" w:space="0" w:color="C2D9BA"/>
              <w:bottom w:val="single" w:sz="4" w:space="0" w:color="C2D9BA"/>
            </w:tcBorders>
            <w:shd w:val="clear" w:color="auto" w:fill="auto"/>
          </w:tcPr>
          <w:p w14:paraId="4DFD9401" w14:textId="77777777" w:rsidR="009B6B07" w:rsidRPr="00E444B3" w:rsidRDefault="009B6B07" w:rsidP="00EC2EFB">
            <w:pPr>
              <w:pStyle w:val="TableText"/>
              <w:jc w:val="center"/>
            </w:pPr>
            <w:r w:rsidRPr="00E444B3">
              <w:t>5</w:t>
            </w:r>
          </w:p>
        </w:tc>
        <w:tc>
          <w:tcPr>
            <w:tcW w:w="3118" w:type="dxa"/>
            <w:tcBorders>
              <w:top w:val="single" w:sz="4" w:space="0" w:color="C2D9BA"/>
              <w:bottom w:val="single" w:sz="4" w:space="0" w:color="C2D9BA"/>
            </w:tcBorders>
            <w:shd w:val="clear" w:color="auto" w:fill="auto"/>
          </w:tcPr>
          <w:p w14:paraId="1423CCD2" w14:textId="77777777" w:rsidR="009B6B07" w:rsidRPr="00E444B3" w:rsidRDefault="009B6B07" w:rsidP="009B6B07">
            <w:pPr>
              <w:pStyle w:val="TableText"/>
            </w:pPr>
            <w:r>
              <w:t>No application received</w:t>
            </w:r>
          </w:p>
        </w:tc>
      </w:tr>
      <w:tr w:rsidR="009B6B07" w:rsidRPr="00066623" w14:paraId="540BC00D" w14:textId="77777777" w:rsidTr="00EC2EFB">
        <w:trPr>
          <w:cantSplit/>
        </w:trPr>
        <w:tc>
          <w:tcPr>
            <w:tcW w:w="1560" w:type="dxa"/>
            <w:tcBorders>
              <w:top w:val="single" w:sz="4" w:space="0" w:color="C2D9BA"/>
              <w:bottom w:val="single" w:sz="4" w:space="0" w:color="C2D9BA"/>
            </w:tcBorders>
            <w:shd w:val="clear" w:color="auto" w:fill="auto"/>
          </w:tcPr>
          <w:p w14:paraId="7E318F20" w14:textId="77777777" w:rsidR="009B6B07" w:rsidRPr="00E444B3" w:rsidRDefault="009B6B07" w:rsidP="00EC2EFB">
            <w:pPr>
              <w:pStyle w:val="TableText"/>
              <w:keepNext/>
              <w:keepLines/>
            </w:pPr>
            <w:r w:rsidRPr="00E444B3">
              <w:lastRenderedPageBreak/>
              <w:t>Brentuximab vedotin</w:t>
            </w:r>
          </w:p>
        </w:tc>
        <w:tc>
          <w:tcPr>
            <w:tcW w:w="2268" w:type="dxa"/>
            <w:tcBorders>
              <w:top w:val="single" w:sz="4" w:space="0" w:color="C2D9BA"/>
              <w:bottom w:val="single" w:sz="4" w:space="0" w:color="C2D9BA"/>
            </w:tcBorders>
            <w:shd w:val="clear" w:color="auto" w:fill="auto"/>
          </w:tcPr>
          <w:p w14:paraId="4E4CB7EF" w14:textId="77777777" w:rsidR="009B6B07" w:rsidRPr="00E444B3" w:rsidRDefault="009B6B07" w:rsidP="00EC2EFB">
            <w:pPr>
              <w:pStyle w:val="TableText"/>
              <w:keepNext/>
              <w:keepLines/>
            </w:pPr>
            <w:r w:rsidRPr="00E444B3">
              <w:t>Anaplastic large cell lymphoma</w:t>
            </w:r>
            <w:r>
              <w:t xml:space="preserve"> (CD30 +ve, relapsed/refractory, must be with curative intent)</w:t>
            </w:r>
          </w:p>
        </w:tc>
        <w:tc>
          <w:tcPr>
            <w:tcW w:w="1134" w:type="dxa"/>
            <w:tcBorders>
              <w:top w:val="single" w:sz="4" w:space="0" w:color="C2D9BA"/>
              <w:bottom w:val="single" w:sz="4" w:space="0" w:color="C2D9BA"/>
            </w:tcBorders>
            <w:shd w:val="clear" w:color="auto" w:fill="auto"/>
          </w:tcPr>
          <w:p w14:paraId="703928A8" w14:textId="77777777" w:rsidR="009B6B07" w:rsidRPr="00E444B3" w:rsidRDefault="009B6B07" w:rsidP="00EC2EFB">
            <w:pPr>
              <w:pStyle w:val="TableText"/>
              <w:keepNext/>
              <w:keepLines/>
              <w:jc w:val="center"/>
            </w:pPr>
            <w:r w:rsidRPr="00E444B3">
              <w:t>2</w:t>
            </w:r>
          </w:p>
        </w:tc>
        <w:tc>
          <w:tcPr>
            <w:tcW w:w="3118" w:type="dxa"/>
            <w:tcBorders>
              <w:top w:val="single" w:sz="4" w:space="0" w:color="C2D9BA"/>
              <w:bottom w:val="single" w:sz="4" w:space="0" w:color="C2D9BA"/>
            </w:tcBorders>
            <w:shd w:val="clear" w:color="auto" w:fill="auto"/>
          </w:tcPr>
          <w:p w14:paraId="5BD9B741" w14:textId="77777777" w:rsidR="009B6B07" w:rsidRDefault="009B6B07" w:rsidP="00EC2EFB">
            <w:pPr>
              <w:pStyle w:val="TableText"/>
              <w:keepNext/>
              <w:keepLines/>
            </w:pPr>
            <w:r>
              <w:t>Two related applications received January 2016</w:t>
            </w:r>
          </w:p>
          <w:p w14:paraId="4A582D20" w14:textId="77777777" w:rsidR="009B6B07" w:rsidRDefault="009B6B07" w:rsidP="00EC2EFB">
            <w:pPr>
              <w:pStyle w:val="TableText"/>
              <w:keepNext/>
              <w:keepLines/>
            </w:pPr>
            <w:r>
              <w:t xml:space="preserve">Both ranked as options for investment – this means </w:t>
            </w:r>
            <w:r w:rsidRPr="00ED04E8">
              <w:rPr>
                <w:color w:val="242424"/>
                <w:shd w:val="clear" w:color="auto" w:fill="FFFFFF"/>
                <w:lang w:eastAsia="en-NZ"/>
              </w:rPr>
              <w:t>that</w:t>
            </w:r>
            <w:r>
              <w:rPr>
                <w:color w:val="242424"/>
                <w:shd w:val="clear" w:color="auto" w:fill="FFFFFF"/>
                <w:lang w:eastAsia="en-NZ"/>
              </w:rPr>
              <w:t xml:space="preserve"> these options</w:t>
            </w:r>
            <w:r w:rsidRPr="00ED04E8">
              <w:rPr>
                <w:color w:val="242424"/>
                <w:shd w:val="clear" w:color="auto" w:fill="FFFFFF"/>
                <w:lang w:eastAsia="en-NZ"/>
              </w:rPr>
              <w:t xml:space="preserve"> would be funded if the budg</w:t>
            </w:r>
            <w:r>
              <w:rPr>
                <w:color w:val="242424"/>
                <w:shd w:val="clear" w:color="auto" w:fill="FFFFFF"/>
                <w:lang w:eastAsia="en-NZ"/>
              </w:rPr>
              <w:t>et</w:t>
            </w:r>
            <w:r w:rsidR="00EC2EFB">
              <w:rPr>
                <w:color w:val="242424"/>
                <w:shd w:val="clear" w:color="auto" w:fill="FFFFFF"/>
                <w:lang w:eastAsia="en-NZ"/>
              </w:rPr>
              <w:t xml:space="preserve"> </w:t>
            </w:r>
            <w:r>
              <w:rPr>
                <w:color w:val="242424"/>
                <w:shd w:val="clear" w:color="auto" w:fill="FFFFFF"/>
                <w:lang w:eastAsia="en-NZ"/>
              </w:rPr>
              <w:t>al</w:t>
            </w:r>
            <w:r w:rsidRPr="00ED04E8">
              <w:rPr>
                <w:color w:val="242424"/>
                <w:shd w:val="clear" w:color="auto" w:fill="FFFFFF"/>
                <w:lang w:eastAsia="en-NZ"/>
              </w:rPr>
              <w:t>lowed</w:t>
            </w:r>
            <w:r>
              <w:rPr>
                <w:color w:val="242424"/>
                <w:shd w:val="clear" w:color="auto" w:fill="FFFFFF"/>
                <w:lang w:eastAsia="en-NZ"/>
              </w:rPr>
              <w:t>.</w:t>
            </w:r>
          </w:p>
          <w:p w14:paraId="33C80FC6" w14:textId="77777777" w:rsidR="009B6B07" w:rsidRDefault="0056499C" w:rsidP="00EC2EFB">
            <w:pPr>
              <w:pStyle w:val="TableText"/>
              <w:keepNext/>
              <w:keepLines/>
            </w:pPr>
            <w:hyperlink r:id="rId48" w:history="1">
              <w:r w:rsidR="009B6B07" w:rsidRPr="00510BED">
                <w:rPr>
                  <w:rStyle w:val="Hyperlink"/>
                  <w:rFonts w:eastAsia="MS Gothic"/>
                </w:rPr>
                <w:t>https://connect.pharmac.govt.nz/apptracker/s/application-public/a102P00000BEvHl/p001678</w:t>
              </w:r>
            </w:hyperlink>
          </w:p>
          <w:p w14:paraId="1D11EF08" w14:textId="77777777" w:rsidR="009B6B07" w:rsidRPr="00E444B3" w:rsidRDefault="0056499C" w:rsidP="00EC2EFB">
            <w:pPr>
              <w:pStyle w:val="TableText"/>
              <w:keepNext/>
              <w:keepLines/>
            </w:pPr>
            <w:hyperlink r:id="rId49" w:history="1">
              <w:r w:rsidR="00EC2EFB" w:rsidRPr="00EC2EFB">
                <w:rPr>
                  <w:rStyle w:val="Hyperlink"/>
                </w:rPr>
                <w:t>https://connect.pharmac.govt.nz/apptracker/s/application-public/a102P00000BHli7</w:t>
              </w:r>
            </w:hyperlink>
          </w:p>
        </w:tc>
      </w:tr>
      <w:tr w:rsidR="009B6B07" w:rsidRPr="00066623" w14:paraId="038729B4" w14:textId="77777777" w:rsidTr="00EC2EFB">
        <w:trPr>
          <w:cantSplit/>
        </w:trPr>
        <w:tc>
          <w:tcPr>
            <w:tcW w:w="1560" w:type="dxa"/>
            <w:tcBorders>
              <w:top w:val="single" w:sz="4" w:space="0" w:color="C2D9BA"/>
              <w:bottom w:val="single" w:sz="4" w:space="0" w:color="C2D9BA"/>
            </w:tcBorders>
            <w:shd w:val="clear" w:color="auto" w:fill="auto"/>
          </w:tcPr>
          <w:p w14:paraId="61D38AC3" w14:textId="77777777" w:rsidR="009B6B07" w:rsidRPr="00E444B3" w:rsidRDefault="009B6B07" w:rsidP="009B6B07">
            <w:pPr>
              <w:pStyle w:val="TableText"/>
            </w:pPr>
            <w:r w:rsidRPr="00E444B3">
              <w:t>Brentuximab vedotin</w:t>
            </w:r>
          </w:p>
        </w:tc>
        <w:tc>
          <w:tcPr>
            <w:tcW w:w="2268" w:type="dxa"/>
            <w:tcBorders>
              <w:top w:val="single" w:sz="4" w:space="0" w:color="C2D9BA"/>
              <w:bottom w:val="single" w:sz="4" w:space="0" w:color="C2D9BA"/>
            </w:tcBorders>
            <w:shd w:val="clear" w:color="auto" w:fill="auto"/>
          </w:tcPr>
          <w:p w14:paraId="0B7F4517" w14:textId="77777777" w:rsidR="009B6B07" w:rsidRPr="00E444B3" w:rsidRDefault="009B6B07" w:rsidP="009B6B07">
            <w:pPr>
              <w:pStyle w:val="TableText"/>
            </w:pPr>
            <w:r>
              <w:t>Hodgkin lymphoma (CD30 +ve, relapsed/refractory, post or unsuitable for a</w:t>
            </w:r>
            <w:r w:rsidR="00EC2EFB">
              <w:t>utologous stem cell transplant)</w:t>
            </w:r>
          </w:p>
        </w:tc>
        <w:tc>
          <w:tcPr>
            <w:tcW w:w="1134" w:type="dxa"/>
            <w:tcBorders>
              <w:top w:val="single" w:sz="4" w:space="0" w:color="C2D9BA"/>
              <w:bottom w:val="single" w:sz="4" w:space="0" w:color="C2D9BA"/>
            </w:tcBorders>
            <w:shd w:val="clear" w:color="auto" w:fill="auto"/>
          </w:tcPr>
          <w:p w14:paraId="2C8A4C90" w14:textId="77777777" w:rsidR="009B6B07" w:rsidRPr="00E444B3" w:rsidRDefault="009B6B07" w:rsidP="00EC2EFB">
            <w:pPr>
              <w:pStyle w:val="TableText"/>
              <w:jc w:val="center"/>
            </w:pPr>
            <w:r>
              <w:t>N/A</w:t>
            </w:r>
          </w:p>
        </w:tc>
        <w:tc>
          <w:tcPr>
            <w:tcW w:w="3118" w:type="dxa"/>
            <w:tcBorders>
              <w:top w:val="single" w:sz="4" w:space="0" w:color="C2D9BA"/>
              <w:bottom w:val="single" w:sz="4" w:space="0" w:color="C2D9BA"/>
            </w:tcBorders>
            <w:shd w:val="clear" w:color="auto" w:fill="auto"/>
          </w:tcPr>
          <w:p w14:paraId="50A7F58C" w14:textId="77777777" w:rsidR="009B6B07" w:rsidRDefault="009B6B07" w:rsidP="009B6B07">
            <w:pPr>
              <w:pStyle w:val="TableText"/>
            </w:pPr>
            <w:r>
              <w:t>Four related applications received January 2016</w:t>
            </w:r>
          </w:p>
          <w:p w14:paraId="5683CF67" w14:textId="77777777" w:rsidR="009B6B07" w:rsidRDefault="009B6B07" w:rsidP="009B6B07">
            <w:pPr>
              <w:pStyle w:val="TableText"/>
            </w:pPr>
            <w:r>
              <w:t xml:space="preserve">Three ranked as options for investment – this means </w:t>
            </w:r>
            <w:r w:rsidRPr="00ED04E8">
              <w:rPr>
                <w:color w:val="242424"/>
                <w:shd w:val="clear" w:color="auto" w:fill="FFFFFF"/>
                <w:lang w:eastAsia="en-NZ"/>
              </w:rPr>
              <w:t>that</w:t>
            </w:r>
            <w:r>
              <w:rPr>
                <w:color w:val="242424"/>
                <w:shd w:val="clear" w:color="auto" w:fill="FFFFFF"/>
                <w:lang w:eastAsia="en-NZ"/>
              </w:rPr>
              <w:t xml:space="preserve"> these options</w:t>
            </w:r>
            <w:r w:rsidRPr="00ED04E8">
              <w:rPr>
                <w:color w:val="242424"/>
                <w:shd w:val="clear" w:color="auto" w:fill="FFFFFF"/>
                <w:lang w:eastAsia="en-NZ"/>
              </w:rPr>
              <w:t xml:space="preserve"> would be funded if the budg</w:t>
            </w:r>
            <w:r>
              <w:rPr>
                <w:color w:val="242424"/>
                <w:shd w:val="clear" w:color="auto" w:fill="FFFFFF"/>
                <w:lang w:eastAsia="en-NZ"/>
              </w:rPr>
              <w:t>et</w:t>
            </w:r>
            <w:r w:rsidR="00EC2EFB">
              <w:rPr>
                <w:color w:val="242424"/>
                <w:shd w:val="clear" w:color="auto" w:fill="FFFFFF"/>
                <w:lang w:eastAsia="en-NZ"/>
              </w:rPr>
              <w:t xml:space="preserve"> </w:t>
            </w:r>
            <w:r>
              <w:rPr>
                <w:color w:val="242424"/>
                <w:shd w:val="clear" w:color="auto" w:fill="FFFFFF"/>
                <w:lang w:eastAsia="en-NZ"/>
              </w:rPr>
              <w:t>al</w:t>
            </w:r>
            <w:r w:rsidRPr="00ED04E8">
              <w:rPr>
                <w:color w:val="242424"/>
                <w:shd w:val="clear" w:color="auto" w:fill="FFFFFF"/>
                <w:lang w:eastAsia="en-NZ"/>
              </w:rPr>
              <w:t>lowed</w:t>
            </w:r>
            <w:r>
              <w:rPr>
                <w:color w:val="242424"/>
                <w:shd w:val="clear" w:color="auto" w:fill="FFFFFF"/>
                <w:lang w:eastAsia="en-NZ"/>
              </w:rPr>
              <w:t>.</w:t>
            </w:r>
          </w:p>
          <w:p w14:paraId="19B89091" w14:textId="77777777" w:rsidR="009B6B07" w:rsidRDefault="0056499C" w:rsidP="009B6B07">
            <w:pPr>
              <w:pStyle w:val="TableText"/>
            </w:pPr>
            <w:hyperlink r:id="rId50" w:history="1">
              <w:r w:rsidR="009B6B07" w:rsidRPr="00510BED">
                <w:rPr>
                  <w:rStyle w:val="Hyperlink"/>
                  <w:rFonts w:eastAsia="MS Gothic"/>
                </w:rPr>
                <w:t>https://connect.pharmac.govt.nz/apptracker/s/application-public/a102P000008pu9I</w:t>
              </w:r>
            </w:hyperlink>
          </w:p>
          <w:p w14:paraId="588EBE9A" w14:textId="77777777" w:rsidR="009B6B07" w:rsidRDefault="0056499C" w:rsidP="009B6B07">
            <w:pPr>
              <w:pStyle w:val="TableText"/>
            </w:pPr>
            <w:hyperlink r:id="rId51" w:history="1">
              <w:r w:rsidR="009B6B07" w:rsidRPr="00510BED">
                <w:rPr>
                  <w:rStyle w:val="Hyperlink"/>
                  <w:rFonts w:eastAsia="MS Gothic"/>
                </w:rPr>
                <w:t>https://connect.pharmac.govt.nz/apptracker/s/application-public/a102P00000BHli7</w:t>
              </w:r>
            </w:hyperlink>
          </w:p>
          <w:p w14:paraId="7732EF10" w14:textId="77777777" w:rsidR="009B6B07" w:rsidRDefault="0056499C" w:rsidP="009B6B07">
            <w:pPr>
              <w:pStyle w:val="TableText"/>
            </w:pPr>
            <w:hyperlink r:id="rId52" w:history="1">
              <w:r w:rsidR="009B6B07" w:rsidRPr="00510BED">
                <w:rPr>
                  <w:rStyle w:val="Hyperlink"/>
                  <w:rFonts w:eastAsia="MS Gothic"/>
                </w:rPr>
                <w:t>https://connect.pharmac.govt.nz/apptracker/s/application-public/a102P000008puiq</w:t>
              </w:r>
            </w:hyperlink>
          </w:p>
          <w:p w14:paraId="780A1FD6" w14:textId="77777777" w:rsidR="009B6B07" w:rsidRDefault="009B6B07" w:rsidP="009B6B07">
            <w:pPr>
              <w:pStyle w:val="TableText"/>
            </w:pPr>
            <w:r>
              <w:t xml:space="preserve">One ranked as option for decline – this means this option </w:t>
            </w:r>
            <w:r w:rsidRPr="00ED04E8">
              <w:rPr>
                <w:color w:val="242424"/>
                <w:shd w:val="clear" w:color="auto" w:fill="FFFFFF"/>
                <w:lang w:eastAsia="en-NZ"/>
              </w:rPr>
              <w:t xml:space="preserve">would </w:t>
            </w:r>
            <w:r w:rsidRPr="00390C5C">
              <w:rPr>
                <w:b/>
                <w:color w:val="242424"/>
                <w:shd w:val="clear" w:color="auto" w:fill="FFFFFF"/>
                <w:lang w:eastAsia="en-NZ"/>
              </w:rPr>
              <w:t>not</w:t>
            </w:r>
            <w:r w:rsidRPr="00ED04E8">
              <w:rPr>
                <w:color w:val="242424"/>
                <w:shd w:val="clear" w:color="auto" w:fill="FFFFFF"/>
                <w:lang w:eastAsia="en-NZ"/>
              </w:rPr>
              <w:t xml:space="preserve"> be funded, even if budg</w:t>
            </w:r>
            <w:r>
              <w:rPr>
                <w:color w:val="242424"/>
                <w:shd w:val="clear" w:color="auto" w:fill="FFFFFF"/>
                <w:lang w:eastAsia="en-NZ"/>
              </w:rPr>
              <w:t>et</w:t>
            </w:r>
            <w:r w:rsidR="00EC2EFB">
              <w:rPr>
                <w:color w:val="242424"/>
                <w:shd w:val="clear" w:color="auto" w:fill="FFFFFF"/>
                <w:lang w:eastAsia="en-NZ"/>
              </w:rPr>
              <w:t xml:space="preserve"> </w:t>
            </w:r>
            <w:r>
              <w:rPr>
                <w:color w:val="242424"/>
                <w:shd w:val="clear" w:color="auto" w:fill="FFFFFF"/>
                <w:lang w:eastAsia="en-NZ"/>
              </w:rPr>
              <w:t>al</w:t>
            </w:r>
            <w:r w:rsidRPr="00ED04E8">
              <w:rPr>
                <w:color w:val="242424"/>
                <w:shd w:val="clear" w:color="auto" w:fill="FFFFFF"/>
                <w:lang w:eastAsia="en-NZ"/>
              </w:rPr>
              <w:t>lowed, unless new information came to light</w:t>
            </w:r>
          </w:p>
          <w:p w14:paraId="37744BA7" w14:textId="77777777" w:rsidR="009B6B07" w:rsidRDefault="0056499C" w:rsidP="009B6B07">
            <w:pPr>
              <w:pStyle w:val="TableText"/>
            </w:pPr>
            <w:hyperlink r:id="rId53" w:history="1">
              <w:r w:rsidR="00EC2EFB" w:rsidRPr="00EC2EFB">
                <w:rPr>
                  <w:rStyle w:val="Hyperlink"/>
                </w:rPr>
                <w:t>https://connect.pharmac.govt.nz/apptracker/s/application-public/a102P000008puET/p000806</w:t>
              </w:r>
            </w:hyperlink>
          </w:p>
        </w:tc>
      </w:tr>
      <w:tr w:rsidR="009B6B07" w:rsidRPr="00066623" w14:paraId="2D906D65" w14:textId="77777777" w:rsidTr="00EC2EFB">
        <w:trPr>
          <w:cantSplit/>
        </w:trPr>
        <w:tc>
          <w:tcPr>
            <w:tcW w:w="1560" w:type="dxa"/>
            <w:tcBorders>
              <w:top w:val="single" w:sz="4" w:space="0" w:color="C2D9BA"/>
              <w:bottom w:val="single" w:sz="4" w:space="0" w:color="C2D9BA"/>
            </w:tcBorders>
            <w:shd w:val="clear" w:color="auto" w:fill="auto"/>
          </w:tcPr>
          <w:p w14:paraId="73577E4F" w14:textId="77777777" w:rsidR="009B6B07" w:rsidRPr="00E444B3" w:rsidRDefault="009B6B07" w:rsidP="009B6B07">
            <w:pPr>
              <w:pStyle w:val="TableText"/>
            </w:pPr>
            <w:r w:rsidRPr="00E444B3">
              <w:t>Brentuximab vedotin</w:t>
            </w:r>
          </w:p>
        </w:tc>
        <w:tc>
          <w:tcPr>
            <w:tcW w:w="2268" w:type="dxa"/>
            <w:tcBorders>
              <w:top w:val="single" w:sz="4" w:space="0" w:color="C2D9BA"/>
              <w:bottom w:val="single" w:sz="4" w:space="0" w:color="C2D9BA"/>
            </w:tcBorders>
            <w:shd w:val="clear" w:color="auto" w:fill="auto"/>
          </w:tcPr>
          <w:p w14:paraId="7E958512" w14:textId="77777777" w:rsidR="009B6B07" w:rsidRPr="00E444B3" w:rsidRDefault="00EC2EFB" w:rsidP="009B6B07">
            <w:pPr>
              <w:pStyle w:val="TableText"/>
            </w:pPr>
            <w:r>
              <w:t>T-</w:t>
            </w:r>
            <w:r w:rsidR="009B6B07" w:rsidRPr="00E444B3">
              <w:t>cell lymphoma (cutaneous</w:t>
            </w:r>
            <w:r w:rsidR="009B6B07">
              <w:t>, CD30 +ve, relapsed/refractory</w:t>
            </w:r>
            <w:r w:rsidR="009B6B07" w:rsidRPr="00E444B3">
              <w:t>)</w:t>
            </w:r>
          </w:p>
        </w:tc>
        <w:tc>
          <w:tcPr>
            <w:tcW w:w="1134" w:type="dxa"/>
            <w:tcBorders>
              <w:top w:val="single" w:sz="4" w:space="0" w:color="C2D9BA"/>
              <w:bottom w:val="single" w:sz="4" w:space="0" w:color="C2D9BA"/>
            </w:tcBorders>
            <w:shd w:val="clear" w:color="auto" w:fill="auto"/>
          </w:tcPr>
          <w:p w14:paraId="491F04CA"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46079FF6" w14:textId="77777777" w:rsidR="009B6B07" w:rsidRPr="00E444B3" w:rsidRDefault="009B6B07" w:rsidP="009B6B07">
            <w:pPr>
              <w:pStyle w:val="TableText"/>
            </w:pPr>
            <w:r>
              <w:t>No application received</w:t>
            </w:r>
          </w:p>
        </w:tc>
      </w:tr>
      <w:tr w:rsidR="009B6B07" w:rsidRPr="00066623" w14:paraId="04E6AD03" w14:textId="77777777" w:rsidTr="00EC2EFB">
        <w:trPr>
          <w:cantSplit/>
        </w:trPr>
        <w:tc>
          <w:tcPr>
            <w:tcW w:w="1560" w:type="dxa"/>
            <w:tcBorders>
              <w:top w:val="single" w:sz="4" w:space="0" w:color="C2D9BA"/>
              <w:bottom w:val="single" w:sz="4" w:space="0" w:color="C2D9BA"/>
            </w:tcBorders>
            <w:shd w:val="clear" w:color="auto" w:fill="auto"/>
          </w:tcPr>
          <w:p w14:paraId="18C18B0B" w14:textId="77777777" w:rsidR="009B6B07" w:rsidRPr="00E444B3" w:rsidRDefault="009B6B07" w:rsidP="009B6B07">
            <w:pPr>
              <w:pStyle w:val="TableText"/>
            </w:pPr>
            <w:r w:rsidRPr="00E444B3">
              <w:t>Brentuximab vedotin</w:t>
            </w:r>
          </w:p>
        </w:tc>
        <w:tc>
          <w:tcPr>
            <w:tcW w:w="2268" w:type="dxa"/>
            <w:tcBorders>
              <w:top w:val="single" w:sz="4" w:space="0" w:color="C2D9BA"/>
              <w:bottom w:val="single" w:sz="4" w:space="0" w:color="C2D9BA"/>
            </w:tcBorders>
            <w:shd w:val="clear" w:color="auto" w:fill="auto"/>
          </w:tcPr>
          <w:p w14:paraId="53FFE62F" w14:textId="77777777" w:rsidR="009B6B07" w:rsidRDefault="009B6B07" w:rsidP="009B6B07">
            <w:pPr>
              <w:pStyle w:val="TableText"/>
            </w:pPr>
            <w:r w:rsidRPr="00E444B3">
              <w:t>T-cell lymphoma (non-cutaneous</w:t>
            </w:r>
            <w:r>
              <w:t>, CD30 +ve, first-line, must be with curative intent</w:t>
            </w:r>
            <w:r w:rsidRPr="00E444B3">
              <w:t>)</w:t>
            </w:r>
          </w:p>
          <w:p w14:paraId="1B2E73F7" w14:textId="77777777" w:rsidR="009B6B07" w:rsidRPr="00E444B3" w:rsidRDefault="009B6B07" w:rsidP="009B6B07">
            <w:pPr>
              <w:pStyle w:val="TableText"/>
            </w:pPr>
            <w:r>
              <w:t>Used with chemotherapy</w:t>
            </w:r>
          </w:p>
        </w:tc>
        <w:tc>
          <w:tcPr>
            <w:tcW w:w="1134" w:type="dxa"/>
            <w:tcBorders>
              <w:top w:val="single" w:sz="4" w:space="0" w:color="C2D9BA"/>
              <w:bottom w:val="single" w:sz="4" w:space="0" w:color="C2D9BA"/>
            </w:tcBorders>
            <w:shd w:val="clear" w:color="auto" w:fill="auto"/>
          </w:tcPr>
          <w:p w14:paraId="60238ADE"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4E935312" w14:textId="77777777" w:rsidR="009B6B07" w:rsidRPr="00E444B3" w:rsidRDefault="009B6B07" w:rsidP="009B6B07">
            <w:pPr>
              <w:pStyle w:val="TableText"/>
            </w:pPr>
            <w:r>
              <w:t>No application received</w:t>
            </w:r>
          </w:p>
        </w:tc>
      </w:tr>
      <w:tr w:rsidR="009B6B07" w:rsidRPr="00066623" w14:paraId="67369AC8" w14:textId="77777777" w:rsidTr="00EC2EFB">
        <w:trPr>
          <w:cantSplit/>
        </w:trPr>
        <w:tc>
          <w:tcPr>
            <w:tcW w:w="1560" w:type="dxa"/>
            <w:tcBorders>
              <w:top w:val="single" w:sz="4" w:space="0" w:color="C2D9BA"/>
              <w:bottom w:val="single" w:sz="4" w:space="0" w:color="C2D9BA"/>
            </w:tcBorders>
            <w:shd w:val="clear" w:color="auto" w:fill="auto"/>
          </w:tcPr>
          <w:p w14:paraId="20880CE8" w14:textId="77777777" w:rsidR="009B6B07" w:rsidRPr="00E444B3" w:rsidRDefault="009B6B07" w:rsidP="009B6B07">
            <w:pPr>
              <w:pStyle w:val="TableText"/>
            </w:pPr>
            <w:r w:rsidRPr="00E444B3">
              <w:lastRenderedPageBreak/>
              <w:t>Carfilzomib</w:t>
            </w:r>
          </w:p>
        </w:tc>
        <w:tc>
          <w:tcPr>
            <w:tcW w:w="2268" w:type="dxa"/>
            <w:tcBorders>
              <w:top w:val="single" w:sz="4" w:space="0" w:color="C2D9BA"/>
              <w:bottom w:val="single" w:sz="4" w:space="0" w:color="C2D9BA"/>
            </w:tcBorders>
            <w:shd w:val="clear" w:color="auto" w:fill="auto"/>
          </w:tcPr>
          <w:p w14:paraId="1E63D854" w14:textId="77777777" w:rsidR="009B6B07" w:rsidRDefault="009B6B07" w:rsidP="009B6B07">
            <w:pPr>
              <w:pStyle w:val="TableText"/>
            </w:pPr>
            <w:r w:rsidRPr="00E444B3">
              <w:t>Multiple myeloma</w:t>
            </w:r>
            <w:r>
              <w:t xml:space="preserve"> (relapsed/refractory, post or ineligible for stem cell transplant)</w:t>
            </w:r>
          </w:p>
          <w:p w14:paraId="776EE342" w14:textId="77777777" w:rsidR="009B6B07" w:rsidRPr="00E444B3" w:rsidRDefault="009B6B07" w:rsidP="009B6B07">
            <w:pPr>
              <w:pStyle w:val="TableText"/>
            </w:pPr>
            <w:r>
              <w:t>Used with dexamethasone</w:t>
            </w:r>
          </w:p>
        </w:tc>
        <w:tc>
          <w:tcPr>
            <w:tcW w:w="1134" w:type="dxa"/>
            <w:tcBorders>
              <w:top w:val="single" w:sz="4" w:space="0" w:color="C2D9BA"/>
              <w:bottom w:val="single" w:sz="4" w:space="0" w:color="C2D9BA"/>
            </w:tcBorders>
            <w:shd w:val="clear" w:color="auto" w:fill="auto"/>
          </w:tcPr>
          <w:p w14:paraId="74114586" w14:textId="77777777" w:rsidR="009B6B07" w:rsidRPr="00E444B3" w:rsidRDefault="009B6B07" w:rsidP="00EC2EFB">
            <w:pPr>
              <w:pStyle w:val="TableText"/>
              <w:jc w:val="center"/>
            </w:pPr>
            <w:r w:rsidRPr="00E444B3">
              <w:t>4</w:t>
            </w:r>
          </w:p>
        </w:tc>
        <w:tc>
          <w:tcPr>
            <w:tcW w:w="3118" w:type="dxa"/>
            <w:tcBorders>
              <w:top w:val="single" w:sz="4" w:space="0" w:color="C2D9BA"/>
              <w:bottom w:val="single" w:sz="4" w:space="0" w:color="C2D9BA"/>
            </w:tcBorders>
            <w:shd w:val="clear" w:color="auto" w:fill="auto"/>
          </w:tcPr>
          <w:p w14:paraId="55A50AE8" w14:textId="77777777" w:rsidR="009B6B07" w:rsidRDefault="009B6B07" w:rsidP="009B6B07">
            <w:pPr>
              <w:pStyle w:val="TableText"/>
            </w:pPr>
            <w:r>
              <w:t>Three related applications received August 2018</w:t>
            </w:r>
          </w:p>
          <w:p w14:paraId="37A04F68" w14:textId="77777777" w:rsidR="009B6B07" w:rsidRDefault="009B6B07" w:rsidP="009B6B07">
            <w:pPr>
              <w:pStyle w:val="TableText"/>
              <w:rPr>
                <w:color w:val="242424"/>
                <w:shd w:val="clear" w:color="auto" w:fill="FFFFFF"/>
                <w:lang w:eastAsia="en-NZ"/>
              </w:rPr>
            </w:pPr>
            <w:r>
              <w:t xml:space="preserve">One ranked as an option for investment – this means </w:t>
            </w:r>
            <w:r w:rsidRPr="00ED04E8">
              <w:rPr>
                <w:color w:val="242424"/>
                <w:shd w:val="clear" w:color="auto" w:fill="FFFFFF"/>
                <w:lang w:eastAsia="en-NZ"/>
              </w:rPr>
              <w:t>that</w:t>
            </w:r>
            <w:r>
              <w:rPr>
                <w:color w:val="242424"/>
                <w:shd w:val="clear" w:color="auto" w:fill="FFFFFF"/>
                <w:lang w:eastAsia="en-NZ"/>
              </w:rPr>
              <w:t xml:space="preserve"> this</w:t>
            </w:r>
            <w:r w:rsidRPr="00ED04E8">
              <w:rPr>
                <w:color w:val="242424"/>
                <w:shd w:val="clear" w:color="auto" w:fill="FFFFFF"/>
                <w:lang w:eastAsia="en-NZ"/>
              </w:rPr>
              <w:t xml:space="preserve"> would be funded if the </w:t>
            </w:r>
            <w:r w:rsidR="00EC2EFB">
              <w:rPr>
                <w:color w:val="242424"/>
                <w:shd w:val="clear" w:color="auto" w:fill="FFFFFF"/>
                <w:lang w:eastAsia="en-NZ"/>
              </w:rPr>
              <w:t>budget allowed</w:t>
            </w:r>
            <w:r>
              <w:rPr>
                <w:color w:val="242424"/>
                <w:shd w:val="clear" w:color="auto" w:fill="FFFFFF"/>
                <w:lang w:eastAsia="en-NZ"/>
              </w:rPr>
              <w:t>.</w:t>
            </w:r>
          </w:p>
          <w:p w14:paraId="1C131C8E" w14:textId="77777777" w:rsidR="009B6B07" w:rsidRDefault="009B6B07" w:rsidP="009B6B07">
            <w:pPr>
              <w:pStyle w:val="TableText"/>
            </w:pPr>
            <w:r>
              <w:rPr>
                <w:color w:val="242424"/>
                <w:shd w:val="clear" w:color="auto" w:fill="FFFFFF"/>
                <w:lang w:eastAsia="en-NZ"/>
              </w:rPr>
              <w:t xml:space="preserve">Two seeking clinical advice – </w:t>
            </w:r>
            <w:r>
              <w:t>this means Pharmac is seeking advice from external experts before this application is assessed and ranked against other options for investment</w:t>
            </w:r>
          </w:p>
          <w:p w14:paraId="243B29E9" w14:textId="77777777" w:rsidR="009B6B07" w:rsidRDefault="009B6B07" w:rsidP="009B6B07">
            <w:pPr>
              <w:pStyle w:val="TableText"/>
            </w:pPr>
            <w:r>
              <w:t>Note: At the time of publication, one of the pending applications had been ranked as an option for investment and the other is under assessment. This means that Pharmac has received clinical advice related to this application and is now assessing the application prior to ranking it against other options for investment.</w:t>
            </w:r>
          </w:p>
          <w:p w14:paraId="0CC39D93" w14:textId="77777777" w:rsidR="009B6B07" w:rsidRDefault="0056499C" w:rsidP="009B6B07">
            <w:pPr>
              <w:pStyle w:val="TableText"/>
            </w:pPr>
            <w:hyperlink r:id="rId54" w:history="1">
              <w:r w:rsidR="009B6B07" w:rsidRPr="00510BED">
                <w:rPr>
                  <w:rStyle w:val="Hyperlink"/>
                  <w:rFonts w:eastAsia="MS Gothic"/>
                </w:rPr>
                <w:t>https://connect.pharmac.govt.nz/apptracker/s/application-public/a102P000008pug4</w:t>
              </w:r>
            </w:hyperlink>
          </w:p>
          <w:p w14:paraId="4780C048" w14:textId="77777777" w:rsidR="009B6B07" w:rsidRDefault="0056499C" w:rsidP="009B6B07">
            <w:pPr>
              <w:pStyle w:val="TableText"/>
            </w:pPr>
            <w:hyperlink r:id="rId55" w:history="1">
              <w:r w:rsidR="009B6B07" w:rsidRPr="00510BED">
                <w:rPr>
                  <w:rStyle w:val="Hyperlink"/>
                  <w:rFonts w:eastAsia="MS Gothic"/>
                </w:rPr>
                <w:t>https://connect.pharmac.govt.nz/apptracker/s/application-public/a102P00000BIsC8</w:t>
              </w:r>
            </w:hyperlink>
          </w:p>
          <w:p w14:paraId="315D669E" w14:textId="77777777" w:rsidR="009B6B07" w:rsidRPr="00E444B3" w:rsidRDefault="0056499C" w:rsidP="009B6B07">
            <w:pPr>
              <w:pStyle w:val="TableText"/>
            </w:pPr>
            <w:hyperlink r:id="rId56" w:history="1">
              <w:r w:rsidR="009B6B07" w:rsidRPr="00510BED">
                <w:rPr>
                  <w:rStyle w:val="Hyperlink"/>
                  <w:rFonts w:eastAsia="MS Gothic"/>
                </w:rPr>
                <w:t>https://connect.pharmac.govt.nz/apptracker/s/application-public/a102P00000BIsCD</w:t>
              </w:r>
            </w:hyperlink>
          </w:p>
        </w:tc>
      </w:tr>
      <w:tr w:rsidR="009B6B07" w:rsidRPr="00066623" w14:paraId="464986A4" w14:textId="77777777" w:rsidTr="00EC2EFB">
        <w:trPr>
          <w:cantSplit/>
        </w:trPr>
        <w:tc>
          <w:tcPr>
            <w:tcW w:w="1560" w:type="dxa"/>
            <w:tcBorders>
              <w:top w:val="single" w:sz="4" w:space="0" w:color="C2D9BA"/>
              <w:bottom w:val="single" w:sz="4" w:space="0" w:color="C2D9BA"/>
            </w:tcBorders>
            <w:shd w:val="clear" w:color="auto" w:fill="auto"/>
          </w:tcPr>
          <w:p w14:paraId="34DCCD43" w14:textId="77777777" w:rsidR="009B6B07" w:rsidRPr="00E444B3" w:rsidRDefault="009B6B07" w:rsidP="009B6B07">
            <w:pPr>
              <w:pStyle w:val="TableText"/>
            </w:pPr>
            <w:r w:rsidRPr="00E444B3">
              <w:t>Daratumumab</w:t>
            </w:r>
          </w:p>
        </w:tc>
        <w:tc>
          <w:tcPr>
            <w:tcW w:w="2268" w:type="dxa"/>
            <w:tcBorders>
              <w:top w:val="single" w:sz="4" w:space="0" w:color="C2D9BA"/>
              <w:bottom w:val="single" w:sz="4" w:space="0" w:color="C2D9BA"/>
            </w:tcBorders>
            <w:shd w:val="clear" w:color="auto" w:fill="auto"/>
          </w:tcPr>
          <w:p w14:paraId="15BB5EAE" w14:textId="77777777" w:rsidR="009B6B07" w:rsidRDefault="009B6B07" w:rsidP="009B6B07">
            <w:pPr>
              <w:pStyle w:val="TableText"/>
            </w:pPr>
            <w:r w:rsidRPr="00E444B3">
              <w:t>Multiple myeloma</w:t>
            </w:r>
            <w:r>
              <w:t xml:space="preserve"> (relapsed/refractory, only one prior therapy)</w:t>
            </w:r>
          </w:p>
          <w:p w14:paraId="502BFCCC" w14:textId="77777777" w:rsidR="009B6B07" w:rsidRPr="00E444B3" w:rsidRDefault="009B6B07" w:rsidP="009B6B07">
            <w:pPr>
              <w:pStyle w:val="TableText"/>
            </w:pPr>
            <w:r>
              <w:t>Used in combination with bortezomib and dexamethasone</w:t>
            </w:r>
          </w:p>
        </w:tc>
        <w:tc>
          <w:tcPr>
            <w:tcW w:w="1134" w:type="dxa"/>
            <w:tcBorders>
              <w:top w:val="single" w:sz="4" w:space="0" w:color="C2D9BA"/>
              <w:bottom w:val="single" w:sz="4" w:space="0" w:color="C2D9BA"/>
            </w:tcBorders>
            <w:shd w:val="clear" w:color="auto" w:fill="auto"/>
          </w:tcPr>
          <w:p w14:paraId="428DF1CE" w14:textId="77777777" w:rsidR="009B6B07" w:rsidRPr="00E444B3" w:rsidRDefault="009B6B07" w:rsidP="00EC2EFB">
            <w:pPr>
              <w:pStyle w:val="TableText"/>
              <w:jc w:val="center"/>
            </w:pPr>
            <w:r w:rsidRPr="00E444B3">
              <w:t>3</w:t>
            </w:r>
          </w:p>
        </w:tc>
        <w:tc>
          <w:tcPr>
            <w:tcW w:w="3118" w:type="dxa"/>
            <w:tcBorders>
              <w:top w:val="single" w:sz="4" w:space="0" w:color="C2D9BA"/>
              <w:bottom w:val="single" w:sz="4" w:space="0" w:color="C2D9BA"/>
            </w:tcBorders>
            <w:shd w:val="clear" w:color="auto" w:fill="auto"/>
          </w:tcPr>
          <w:p w14:paraId="5A82418D" w14:textId="77777777" w:rsidR="009B6B07" w:rsidRDefault="009B6B07" w:rsidP="009B6B07">
            <w:pPr>
              <w:pStyle w:val="TableText"/>
            </w:pPr>
            <w:r>
              <w:t>Application received April 2021</w:t>
            </w:r>
          </w:p>
          <w:p w14:paraId="5219B6A2" w14:textId="77777777" w:rsidR="009B6B07" w:rsidRDefault="009B6B07" w:rsidP="009B6B07">
            <w:pPr>
              <w:pStyle w:val="TableText"/>
            </w:pPr>
            <w:r>
              <w:t>Seeking clinical advice – this means Pharmac is seeking advice from external experts before this application is assessed and ranked against other options for investment</w:t>
            </w:r>
          </w:p>
          <w:p w14:paraId="3F803AB8" w14:textId="77777777" w:rsidR="009B6B07" w:rsidRDefault="009B6B07" w:rsidP="009B6B07">
            <w:pPr>
              <w:pStyle w:val="TableText"/>
            </w:pPr>
            <w:r>
              <w:t xml:space="preserve">Note: At the time of publication this application status had been updated to options compared. This option had been ranked as an option for investment– this means </w:t>
            </w:r>
            <w:r w:rsidRPr="00ED04E8">
              <w:rPr>
                <w:color w:val="242424"/>
                <w:shd w:val="clear" w:color="auto" w:fill="FFFFFF"/>
                <w:lang w:eastAsia="en-NZ"/>
              </w:rPr>
              <w:t>that</w:t>
            </w:r>
            <w:r>
              <w:rPr>
                <w:color w:val="242424"/>
                <w:shd w:val="clear" w:color="auto" w:fill="FFFFFF"/>
                <w:lang w:eastAsia="en-NZ"/>
              </w:rPr>
              <w:t xml:space="preserve"> this</w:t>
            </w:r>
            <w:r w:rsidRPr="00ED04E8">
              <w:rPr>
                <w:color w:val="242424"/>
                <w:shd w:val="clear" w:color="auto" w:fill="FFFFFF"/>
                <w:lang w:eastAsia="en-NZ"/>
              </w:rPr>
              <w:t xml:space="preserve"> would be funded if the </w:t>
            </w:r>
            <w:r w:rsidR="00EC2EFB">
              <w:rPr>
                <w:color w:val="242424"/>
                <w:shd w:val="clear" w:color="auto" w:fill="FFFFFF"/>
                <w:lang w:eastAsia="en-NZ"/>
              </w:rPr>
              <w:t>budget allowed</w:t>
            </w:r>
            <w:r>
              <w:rPr>
                <w:color w:val="242424"/>
                <w:shd w:val="clear" w:color="auto" w:fill="FFFFFF"/>
                <w:lang w:eastAsia="en-NZ"/>
              </w:rPr>
              <w:t>.</w:t>
            </w:r>
          </w:p>
          <w:p w14:paraId="355984D4" w14:textId="77777777" w:rsidR="009B6B07" w:rsidRPr="00E444B3" w:rsidRDefault="0056499C" w:rsidP="009B6B07">
            <w:pPr>
              <w:pStyle w:val="TableText"/>
            </w:pPr>
            <w:hyperlink r:id="rId57" w:history="1">
              <w:r w:rsidR="00EC2EFB" w:rsidRPr="00EC2EFB">
                <w:rPr>
                  <w:rStyle w:val="Hyperlink"/>
                </w:rPr>
                <w:t>https://connect.pharmac.govt.nz/apptracker/s/application-public/a102P00000BD0yw/p001671</w:t>
              </w:r>
            </w:hyperlink>
          </w:p>
        </w:tc>
      </w:tr>
      <w:tr w:rsidR="009B6B07" w:rsidRPr="00066623" w14:paraId="4BA17BD0" w14:textId="77777777" w:rsidTr="00EC2EFB">
        <w:trPr>
          <w:cantSplit/>
        </w:trPr>
        <w:tc>
          <w:tcPr>
            <w:tcW w:w="1560" w:type="dxa"/>
            <w:tcBorders>
              <w:top w:val="single" w:sz="4" w:space="0" w:color="C2D9BA"/>
              <w:bottom w:val="single" w:sz="4" w:space="0" w:color="C2D9BA"/>
            </w:tcBorders>
            <w:shd w:val="clear" w:color="auto" w:fill="auto"/>
          </w:tcPr>
          <w:p w14:paraId="0DBF2250" w14:textId="77777777" w:rsidR="009B6B07" w:rsidRPr="00E444B3" w:rsidRDefault="009B6B07" w:rsidP="009B6B07">
            <w:pPr>
              <w:pStyle w:val="TableText"/>
            </w:pPr>
            <w:r w:rsidRPr="00E444B3">
              <w:lastRenderedPageBreak/>
              <w:t>Ibrutinib</w:t>
            </w:r>
          </w:p>
        </w:tc>
        <w:tc>
          <w:tcPr>
            <w:tcW w:w="2268" w:type="dxa"/>
            <w:tcBorders>
              <w:top w:val="single" w:sz="4" w:space="0" w:color="C2D9BA"/>
              <w:bottom w:val="single" w:sz="4" w:space="0" w:color="C2D9BA"/>
            </w:tcBorders>
            <w:shd w:val="clear" w:color="auto" w:fill="auto"/>
          </w:tcPr>
          <w:p w14:paraId="78941DA4" w14:textId="77777777" w:rsidR="009B6B07" w:rsidRPr="00E444B3" w:rsidRDefault="009B6B07" w:rsidP="009B6B07">
            <w:pPr>
              <w:pStyle w:val="TableText"/>
            </w:pPr>
            <w:r w:rsidRPr="00E444B3">
              <w:t>Chronic lymphocytic leukaemia/small lymphocytic leukaemia</w:t>
            </w:r>
            <w:r>
              <w:t xml:space="preserve"> (relapsed/refractory, unsuitable for treatment with purine analogues)</w:t>
            </w:r>
          </w:p>
        </w:tc>
        <w:tc>
          <w:tcPr>
            <w:tcW w:w="1134" w:type="dxa"/>
            <w:tcBorders>
              <w:top w:val="single" w:sz="4" w:space="0" w:color="C2D9BA"/>
              <w:bottom w:val="single" w:sz="4" w:space="0" w:color="C2D9BA"/>
            </w:tcBorders>
            <w:shd w:val="clear" w:color="auto" w:fill="auto"/>
          </w:tcPr>
          <w:p w14:paraId="654220D3" w14:textId="77777777" w:rsidR="009B6B07" w:rsidRPr="00E444B3" w:rsidRDefault="009B6B07" w:rsidP="00EC2EFB">
            <w:pPr>
              <w:pStyle w:val="TableText"/>
              <w:jc w:val="center"/>
            </w:pPr>
            <w:r w:rsidRPr="00E444B3">
              <w:t>3</w:t>
            </w:r>
          </w:p>
        </w:tc>
        <w:tc>
          <w:tcPr>
            <w:tcW w:w="3118" w:type="dxa"/>
            <w:tcBorders>
              <w:top w:val="single" w:sz="4" w:space="0" w:color="C2D9BA"/>
              <w:bottom w:val="single" w:sz="4" w:space="0" w:color="C2D9BA"/>
            </w:tcBorders>
            <w:shd w:val="clear" w:color="auto" w:fill="auto"/>
          </w:tcPr>
          <w:p w14:paraId="34F22F6C" w14:textId="77777777" w:rsidR="009B6B07" w:rsidRDefault="009B6B07" w:rsidP="009B6B07">
            <w:pPr>
              <w:pStyle w:val="TableText"/>
            </w:pPr>
            <w:r>
              <w:t>Three related applications received August 2015</w:t>
            </w:r>
          </w:p>
          <w:p w14:paraId="4A1203DF" w14:textId="77777777" w:rsidR="009B6B07" w:rsidRDefault="009B6B07" w:rsidP="009B6B07">
            <w:pPr>
              <w:pStyle w:val="TableText"/>
              <w:rPr>
                <w:color w:val="242424"/>
                <w:shd w:val="clear" w:color="auto" w:fill="FFFFFF"/>
                <w:lang w:eastAsia="en-NZ"/>
              </w:rPr>
            </w:pPr>
            <w:r>
              <w:t xml:space="preserve">Two ranked as options for investment – this means </w:t>
            </w:r>
            <w:r w:rsidRPr="00ED04E8">
              <w:rPr>
                <w:color w:val="242424"/>
                <w:shd w:val="clear" w:color="auto" w:fill="FFFFFF"/>
                <w:lang w:eastAsia="en-NZ"/>
              </w:rPr>
              <w:t>that</w:t>
            </w:r>
            <w:r>
              <w:rPr>
                <w:color w:val="242424"/>
                <w:shd w:val="clear" w:color="auto" w:fill="FFFFFF"/>
                <w:lang w:eastAsia="en-NZ"/>
              </w:rPr>
              <w:t xml:space="preserve"> these options</w:t>
            </w:r>
            <w:r w:rsidRPr="00ED04E8">
              <w:rPr>
                <w:color w:val="242424"/>
                <w:shd w:val="clear" w:color="auto" w:fill="FFFFFF"/>
                <w:lang w:eastAsia="en-NZ"/>
              </w:rPr>
              <w:t xml:space="preserve"> would be funded if the </w:t>
            </w:r>
            <w:r w:rsidR="00EC2EFB">
              <w:rPr>
                <w:color w:val="242424"/>
                <w:shd w:val="clear" w:color="auto" w:fill="FFFFFF"/>
                <w:lang w:eastAsia="en-NZ"/>
              </w:rPr>
              <w:t>budget allowed</w:t>
            </w:r>
            <w:r>
              <w:rPr>
                <w:color w:val="242424"/>
                <w:shd w:val="clear" w:color="auto" w:fill="FFFFFF"/>
                <w:lang w:eastAsia="en-NZ"/>
              </w:rPr>
              <w:t>.</w:t>
            </w:r>
          </w:p>
          <w:p w14:paraId="302B6059" w14:textId="77777777" w:rsidR="009B6B07" w:rsidRDefault="009B6B07" w:rsidP="009B6B07">
            <w:pPr>
              <w:pStyle w:val="TableText"/>
            </w:pPr>
            <w:r>
              <w:rPr>
                <w:color w:val="242424"/>
                <w:shd w:val="clear" w:color="auto" w:fill="FFFFFF"/>
                <w:lang w:eastAsia="en-NZ"/>
              </w:rPr>
              <w:t xml:space="preserve">One ranked as an option for decline </w:t>
            </w:r>
            <w:r>
              <w:t xml:space="preserve">– this means this option </w:t>
            </w:r>
            <w:r w:rsidRPr="00ED04E8">
              <w:rPr>
                <w:color w:val="242424"/>
                <w:shd w:val="clear" w:color="auto" w:fill="FFFFFF"/>
                <w:lang w:eastAsia="en-NZ"/>
              </w:rPr>
              <w:t xml:space="preserve">would </w:t>
            </w:r>
            <w:r w:rsidRPr="00390C5C">
              <w:rPr>
                <w:b/>
                <w:color w:val="242424"/>
                <w:shd w:val="clear" w:color="auto" w:fill="FFFFFF"/>
                <w:lang w:eastAsia="en-NZ"/>
              </w:rPr>
              <w:t>not</w:t>
            </w:r>
            <w:r w:rsidRPr="00ED04E8">
              <w:rPr>
                <w:color w:val="242424"/>
                <w:shd w:val="clear" w:color="auto" w:fill="FFFFFF"/>
                <w:lang w:eastAsia="en-NZ"/>
              </w:rPr>
              <w:t xml:space="preserve"> be funded, even if </w:t>
            </w:r>
            <w:r w:rsidR="00EC2EFB">
              <w:rPr>
                <w:color w:val="242424"/>
                <w:shd w:val="clear" w:color="auto" w:fill="FFFFFF"/>
                <w:lang w:eastAsia="en-NZ"/>
              </w:rPr>
              <w:t>budget allowed</w:t>
            </w:r>
            <w:r w:rsidRPr="00ED04E8">
              <w:rPr>
                <w:color w:val="242424"/>
                <w:shd w:val="clear" w:color="auto" w:fill="FFFFFF"/>
                <w:lang w:eastAsia="en-NZ"/>
              </w:rPr>
              <w:t>, unless new information came to light</w:t>
            </w:r>
          </w:p>
          <w:p w14:paraId="0B1C041C" w14:textId="77777777" w:rsidR="009B6B07" w:rsidRDefault="0056499C" w:rsidP="009B6B07">
            <w:pPr>
              <w:pStyle w:val="TableText"/>
            </w:pPr>
            <w:hyperlink r:id="rId58" w:history="1">
              <w:r w:rsidR="009B6B07" w:rsidRPr="00510BED">
                <w:rPr>
                  <w:rStyle w:val="Hyperlink"/>
                  <w:rFonts w:eastAsia="MS Gothic"/>
                </w:rPr>
                <w:t>https://connect.pharmac.govt.nz/apptracker/s/application-public/a102P00000AaVR6/p001598</w:t>
              </w:r>
            </w:hyperlink>
          </w:p>
          <w:p w14:paraId="4CD66E7A" w14:textId="77777777" w:rsidR="009B6B07" w:rsidRDefault="0056499C" w:rsidP="009B6B07">
            <w:pPr>
              <w:pStyle w:val="TableText"/>
            </w:pPr>
            <w:hyperlink r:id="rId59" w:history="1">
              <w:r w:rsidR="009B6B07" w:rsidRPr="00510BED">
                <w:rPr>
                  <w:rStyle w:val="Hyperlink"/>
                  <w:rFonts w:eastAsia="MS Gothic"/>
                </w:rPr>
                <w:t>https://connect.pharmac.govt.nz/apptracker/s/application-public/a102P00000AaVRQ/p001599</w:t>
              </w:r>
            </w:hyperlink>
          </w:p>
          <w:p w14:paraId="59592306" w14:textId="77777777" w:rsidR="009B6B07" w:rsidRPr="00E444B3" w:rsidRDefault="0056499C" w:rsidP="009B6B07">
            <w:pPr>
              <w:pStyle w:val="TableText"/>
            </w:pPr>
            <w:hyperlink r:id="rId60" w:history="1">
              <w:r w:rsidR="009B6B07" w:rsidRPr="00510BED">
                <w:rPr>
                  <w:rStyle w:val="Hyperlink"/>
                  <w:rFonts w:eastAsia="MS Gothic"/>
                </w:rPr>
                <w:t>https://connect.pharmac.govt.nz/apptracker/s/application-public/a102P00000AaVR6/p001598</w:t>
              </w:r>
            </w:hyperlink>
          </w:p>
        </w:tc>
      </w:tr>
      <w:tr w:rsidR="009B6B07" w:rsidRPr="00066623" w14:paraId="7554B6E4" w14:textId="77777777" w:rsidTr="00EC2EFB">
        <w:trPr>
          <w:cantSplit/>
        </w:trPr>
        <w:tc>
          <w:tcPr>
            <w:tcW w:w="1560" w:type="dxa"/>
            <w:tcBorders>
              <w:top w:val="single" w:sz="4" w:space="0" w:color="C2D9BA"/>
              <w:bottom w:val="single" w:sz="4" w:space="0" w:color="C2D9BA"/>
            </w:tcBorders>
            <w:shd w:val="clear" w:color="auto" w:fill="auto"/>
          </w:tcPr>
          <w:p w14:paraId="0D17C437" w14:textId="77777777" w:rsidR="009B6B07" w:rsidRPr="00E444B3" w:rsidRDefault="009B6B07" w:rsidP="009B6B07">
            <w:pPr>
              <w:pStyle w:val="TableText"/>
            </w:pPr>
            <w:r w:rsidRPr="00E444B3">
              <w:t>Ibrutinib</w:t>
            </w:r>
          </w:p>
        </w:tc>
        <w:tc>
          <w:tcPr>
            <w:tcW w:w="2268" w:type="dxa"/>
            <w:tcBorders>
              <w:top w:val="single" w:sz="4" w:space="0" w:color="C2D9BA"/>
              <w:bottom w:val="single" w:sz="4" w:space="0" w:color="C2D9BA"/>
            </w:tcBorders>
            <w:shd w:val="clear" w:color="auto" w:fill="auto"/>
          </w:tcPr>
          <w:p w14:paraId="63CF29CD" w14:textId="77777777" w:rsidR="009B6B07" w:rsidRPr="00E444B3" w:rsidRDefault="009B6B07" w:rsidP="009B6B07">
            <w:pPr>
              <w:pStyle w:val="TableText"/>
            </w:pPr>
            <w:r w:rsidRPr="00E444B3">
              <w:t>Mantle cell lymphoma</w:t>
            </w:r>
            <w:r>
              <w:t xml:space="preserve"> (relapsed/refractory)</w:t>
            </w:r>
          </w:p>
        </w:tc>
        <w:tc>
          <w:tcPr>
            <w:tcW w:w="1134" w:type="dxa"/>
            <w:tcBorders>
              <w:top w:val="single" w:sz="4" w:space="0" w:color="C2D9BA"/>
              <w:bottom w:val="single" w:sz="4" w:space="0" w:color="C2D9BA"/>
            </w:tcBorders>
            <w:shd w:val="clear" w:color="auto" w:fill="auto"/>
          </w:tcPr>
          <w:p w14:paraId="1D8383AD" w14:textId="77777777" w:rsidR="009B6B07" w:rsidRPr="00E444B3" w:rsidRDefault="009B6B07" w:rsidP="00EC2EFB">
            <w:pPr>
              <w:pStyle w:val="TableText"/>
              <w:jc w:val="center"/>
            </w:pPr>
            <w:r w:rsidRPr="00E444B3">
              <w:t>3</w:t>
            </w:r>
          </w:p>
        </w:tc>
        <w:tc>
          <w:tcPr>
            <w:tcW w:w="3118" w:type="dxa"/>
            <w:tcBorders>
              <w:top w:val="single" w:sz="4" w:space="0" w:color="C2D9BA"/>
              <w:bottom w:val="single" w:sz="4" w:space="0" w:color="C2D9BA"/>
            </w:tcBorders>
            <w:shd w:val="clear" w:color="auto" w:fill="auto"/>
          </w:tcPr>
          <w:p w14:paraId="595F5465" w14:textId="77777777" w:rsidR="009B6B07" w:rsidRDefault="009B6B07" w:rsidP="009B6B07">
            <w:pPr>
              <w:pStyle w:val="TableText"/>
            </w:pPr>
            <w:r>
              <w:t>Application received August 2015</w:t>
            </w:r>
          </w:p>
          <w:p w14:paraId="39358AA6" w14:textId="77777777" w:rsidR="009B6B07" w:rsidRDefault="009B6B07" w:rsidP="009B6B07">
            <w:pPr>
              <w:pStyle w:val="TableText"/>
              <w:rPr>
                <w:color w:val="242424"/>
                <w:shd w:val="clear" w:color="auto" w:fill="FFFFFF"/>
                <w:lang w:eastAsia="en-NZ"/>
              </w:rPr>
            </w:pPr>
            <w:r>
              <w:t xml:space="preserve">Ranked as an option for investment – this means </w:t>
            </w:r>
            <w:r w:rsidRPr="00ED04E8">
              <w:rPr>
                <w:color w:val="242424"/>
                <w:shd w:val="clear" w:color="auto" w:fill="FFFFFF"/>
                <w:lang w:eastAsia="en-NZ"/>
              </w:rPr>
              <w:t>that</w:t>
            </w:r>
            <w:r>
              <w:rPr>
                <w:color w:val="242424"/>
                <w:shd w:val="clear" w:color="auto" w:fill="FFFFFF"/>
                <w:lang w:eastAsia="en-NZ"/>
              </w:rPr>
              <w:t xml:space="preserve"> this</w:t>
            </w:r>
            <w:r w:rsidRPr="00ED04E8">
              <w:rPr>
                <w:color w:val="242424"/>
                <w:shd w:val="clear" w:color="auto" w:fill="FFFFFF"/>
                <w:lang w:eastAsia="en-NZ"/>
              </w:rPr>
              <w:t xml:space="preserve"> would be funded if the </w:t>
            </w:r>
            <w:r w:rsidR="00EC2EFB">
              <w:rPr>
                <w:color w:val="242424"/>
                <w:shd w:val="clear" w:color="auto" w:fill="FFFFFF"/>
                <w:lang w:eastAsia="en-NZ"/>
              </w:rPr>
              <w:t>budget allowed</w:t>
            </w:r>
            <w:r>
              <w:rPr>
                <w:color w:val="242424"/>
                <w:shd w:val="clear" w:color="auto" w:fill="FFFFFF"/>
                <w:lang w:eastAsia="en-NZ"/>
              </w:rPr>
              <w:t>.</w:t>
            </w:r>
          </w:p>
          <w:p w14:paraId="5614C19E" w14:textId="77777777" w:rsidR="009B6B07" w:rsidRPr="00E444B3" w:rsidRDefault="009B6B07" w:rsidP="009B6B07">
            <w:pPr>
              <w:pStyle w:val="TableText"/>
            </w:pPr>
            <w:r>
              <w:rPr>
                <w:color w:val="242424"/>
                <w:shd w:val="clear" w:color="auto" w:fill="FFFFFF"/>
                <w:lang w:eastAsia="en-NZ"/>
              </w:rPr>
              <w:t xml:space="preserve">Note: At the time of publication this application status had been updated to seeking clinical advice. </w:t>
            </w:r>
            <w:r>
              <w:t>This means Pharmac is seeking further expert advice before it assesses and (re)ranks this application.</w:t>
            </w:r>
          </w:p>
        </w:tc>
      </w:tr>
      <w:tr w:rsidR="009B6B07" w:rsidRPr="00066623" w14:paraId="3293F120" w14:textId="77777777" w:rsidTr="00EC2EFB">
        <w:trPr>
          <w:cantSplit/>
        </w:trPr>
        <w:tc>
          <w:tcPr>
            <w:tcW w:w="1560" w:type="dxa"/>
            <w:tcBorders>
              <w:top w:val="single" w:sz="4" w:space="0" w:color="C2D9BA"/>
              <w:bottom w:val="single" w:sz="4" w:space="0" w:color="C2D9BA"/>
            </w:tcBorders>
            <w:shd w:val="clear" w:color="auto" w:fill="auto"/>
          </w:tcPr>
          <w:p w14:paraId="4DF949A1" w14:textId="77777777" w:rsidR="009B6B07" w:rsidRPr="00E444B3" w:rsidRDefault="009B6B07" w:rsidP="009B6B07">
            <w:pPr>
              <w:pStyle w:val="TableText"/>
            </w:pPr>
            <w:r w:rsidRPr="00E444B3">
              <w:t>Idelalisib</w:t>
            </w:r>
          </w:p>
        </w:tc>
        <w:tc>
          <w:tcPr>
            <w:tcW w:w="2268" w:type="dxa"/>
            <w:tcBorders>
              <w:top w:val="single" w:sz="4" w:space="0" w:color="C2D9BA"/>
              <w:bottom w:val="single" w:sz="4" w:space="0" w:color="C2D9BA"/>
            </w:tcBorders>
            <w:shd w:val="clear" w:color="auto" w:fill="auto"/>
          </w:tcPr>
          <w:p w14:paraId="6F8A889E" w14:textId="77777777" w:rsidR="009B6B07" w:rsidRPr="00E444B3" w:rsidRDefault="009B6B07" w:rsidP="009B6B07">
            <w:pPr>
              <w:pStyle w:val="TableText"/>
            </w:pPr>
            <w:r>
              <w:t xml:space="preserve">Follicular </w:t>
            </w:r>
            <w:r w:rsidRPr="00E444B3">
              <w:t xml:space="preserve">B-cell </w:t>
            </w:r>
            <w:r>
              <w:t xml:space="preserve">non-Hodgkin </w:t>
            </w:r>
            <w:r w:rsidRPr="00E444B3">
              <w:t>lymphoma</w:t>
            </w:r>
            <w:r>
              <w:t xml:space="preserve"> (relapsed/refractory)</w:t>
            </w:r>
          </w:p>
        </w:tc>
        <w:tc>
          <w:tcPr>
            <w:tcW w:w="1134" w:type="dxa"/>
            <w:tcBorders>
              <w:top w:val="single" w:sz="4" w:space="0" w:color="C2D9BA"/>
              <w:bottom w:val="single" w:sz="4" w:space="0" w:color="C2D9BA"/>
            </w:tcBorders>
            <w:shd w:val="clear" w:color="auto" w:fill="auto"/>
          </w:tcPr>
          <w:p w14:paraId="30A7FB27" w14:textId="77777777" w:rsidR="009B6B07" w:rsidRPr="00E444B3" w:rsidRDefault="009B6B07" w:rsidP="00EC2EFB">
            <w:pPr>
              <w:pStyle w:val="TableText"/>
              <w:jc w:val="center"/>
            </w:pPr>
            <w:r w:rsidRPr="00E444B3">
              <w:t>3</w:t>
            </w:r>
          </w:p>
        </w:tc>
        <w:tc>
          <w:tcPr>
            <w:tcW w:w="3118" w:type="dxa"/>
            <w:tcBorders>
              <w:top w:val="single" w:sz="4" w:space="0" w:color="C2D9BA"/>
              <w:bottom w:val="single" w:sz="4" w:space="0" w:color="C2D9BA"/>
            </w:tcBorders>
            <w:shd w:val="clear" w:color="auto" w:fill="auto"/>
          </w:tcPr>
          <w:p w14:paraId="375AD46B" w14:textId="77777777" w:rsidR="009B6B07" w:rsidRPr="00E444B3" w:rsidRDefault="009B6B07" w:rsidP="009B6B07">
            <w:pPr>
              <w:pStyle w:val="TableText"/>
            </w:pPr>
            <w:r>
              <w:t>No application received</w:t>
            </w:r>
          </w:p>
        </w:tc>
      </w:tr>
      <w:tr w:rsidR="009B6B07" w:rsidRPr="00066623" w14:paraId="22F0877F" w14:textId="77777777" w:rsidTr="00EC2EFB">
        <w:trPr>
          <w:cantSplit/>
        </w:trPr>
        <w:tc>
          <w:tcPr>
            <w:tcW w:w="1560" w:type="dxa"/>
            <w:tcBorders>
              <w:top w:val="single" w:sz="4" w:space="0" w:color="C2D9BA"/>
              <w:bottom w:val="single" w:sz="4" w:space="0" w:color="C2D9BA"/>
            </w:tcBorders>
            <w:shd w:val="clear" w:color="auto" w:fill="auto"/>
          </w:tcPr>
          <w:p w14:paraId="709633CF" w14:textId="77777777" w:rsidR="009B6B07" w:rsidRPr="00E444B3" w:rsidRDefault="009B6B07" w:rsidP="009B6B07">
            <w:pPr>
              <w:pStyle w:val="TableText"/>
            </w:pPr>
            <w:r w:rsidRPr="00E444B3">
              <w:t>Idelalisib</w:t>
            </w:r>
          </w:p>
        </w:tc>
        <w:tc>
          <w:tcPr>
            <w:tcW w:w="2268" w:type="dxa"/>
            <w:tcBorders>
              <w:top w:val="single" w:sz="4" w:space="0" w:color="C2D9BA"/>
              <w:bottom w:val="single" w:sz="4" w:space="0" w:color="C2D9BA"/>
            </w:tcBorders>
            <w:shd w:val="clear" w:color="auto" w:fill="auto"/>
          </w:tcPr>
          <w:p w14:paraId="4D4E8E93" w14:textId="77777777" w:rsidR="009B6B07" w:rsidRPr="00E444B3" w:rsidRDefault="009B6B07" w:rsidP="00EF5CEE">
            <w:pPr>
              <w:pStyle w:val="TableText"/>
            </w:pPr>
            <w:r w:rsidRPr="00E444B3">
              <w:t>Chronic lymphocytic leukaemia/small lymphocytic leukaemia</w:t>
            </w:r>
            <w:r w:rsidR="00EF5CEE">
              <w:t xml:space="preserve"> (CD20 +ve, relaps</w:t>
            </w:r>
            <w:r>
              <w:t>ed/</w:t>
            </w:r>
            <w:r w:rsidR="00EF5CEE">
              <w:t xml:space="preserve"> </w:t>
            </w:r>
            <w:r>
              <w:t>refractory, inappropriate for chemo-immunotherapy)</w:t>
            </w:r>
          </w:p>
        </w:tc>
        <w:tc>
          <w:tcPr>
            <w:tcW w:w="1134" w:type="dxa"/>
            <w:tcBorders>
              <w:top w:val="single" w:sz="4" w:space="0" w:color="C2D9BA"/>
              <w:bottom w:val="single" w:sz="4" w:space="0" w:color="C2D9BA"/>
            </w:tcBorders>
            <w:shd w:val="clear" w:color="auto" w:fill="auto"/>
          </w:tcPr>
          <w:p w14:paraId="59C07957"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47FBD393" w14:textId="77777777" w:rsidR="009B6B07" w:rsidRPr="00E444B3" w:rsidRDefault="009B6B07" w:rsidP="009B6B07">
            <w:pPr>
              <w:pStyle w:val="TableText"/>
            </w:pPr>
            <w:r>
              <w:t>No application received</w:t>
            </w:r>
          </w:p>
        </w:tc>
      </w:tr>
      <w:tr w:rsidR="009B6B07" w:rsidRPr="00066623" w14:paraId="5B898F2D" w14:textId="77777777" w:rsidTr="00EC2EFB">
        <w:trPr>
          <w:cantSplit/>
        </w:trPr>
        <w:tc>
          <w:tcPr>
            <w:tcW w:w="1560" w:type="dxa"/>
            <w:tcBorders>
              <w:top w:val="single" w:sz="4" w:space="0" w:color="C2D9BA"/>
              <w:bottom w:val="single" w:sz="4" w:space="0" w:color="C2D9BA"/>
            </w:tcBorders>
            <w:shd w:val="clear" w:color="auto" w:fill="auto"/>
          </w:tcPr>
          <w:p w14:paraId="008AC57E" w14:textId="77777777" w:rsidR="009B6B07" w:rsidRPr="00E444B3" w:rsidRDefault="009B6B07" w:rsidP="009B6B07">
            <w:pPr>
              <w:pStyle w:val="TableText"/>
            </w:pPr>
            <w:r w:rsidRPr="00E444B3">
              <w:lastRenderedPageBreak/>
              <w:t>Inotuzumab ozogamicin</w:t>
            </w:r>
          </w:p>
        </w:tc>
        <w:tc>
          <w:tcPr>
            <w:tcW w:w="2268" w:type="dxa"/>
            <w:tcBorders>
              <w:top w:val="single" w:sz="4" w:space="0" w:color="C2D9BA"/>
              <w:bottom w:val="single" w:sz="4" w:space="0" w:color="C2D9BA"/>
            </w:tcBorders>
            <w:shd w:val="clear" w:color="auto" w:fill="auto"/>
          </w:tcPr>
          <w:p w14:paraId="66C728A5" w14:textId="77777777" w:rsidR="009B6B07" w:rsidRPr="00E444B3" w:rsidRDefault="009B6B07" w:rsidP="009B6B07">
            <w:pPr>
              <w:pStyle w:val="TableText"/>
            </w:pPr>
            <w:r w:rsidRPr="00E444B3">
              <w:t>Acute lymphoblastic leukaemia</w:t>
            </w:r>
            <w:r>
              <w:t xml:space="preserve"> (B-precursor cell, relapsed/refractory, induction and consolidation</w:t>
            </w:r>
          </w:p>
        </w:tc>
        <w:tc>
          <w:tcPr>
            <w:tcW w:w="1134" w:type="dxa"/>
            <w:tcBorders>
              <w:top w:val="single" w:sz="4" w:space="0" w:color="C2D9BA"/>
              <w:bottom w:val="single" w:sz="4" w:space="0" w:color="C2D9BA"/>
            </w:tcBorders>
            <w:shd w:val="clear" w:color="auto" w:fill="auto"/>
          </w:tcPr>
          <w:p w14:paraId="016F32CA" w14:textId="77777777" w:rsidR="009B6B07" w:rsidRPr="00E444B3" w:rsidRDefault="009B6B07" w:rsidP="00EC2EFB">
            <w:pPr>
              <w:pStyle w:val="TableText"/>
              <w:jc w:val="center"/>
            </w:pPr>
            <w:r w:rsidRPr="00E444B3">
              <w:t>4</w:t>
            </w:r>
          </w:p>
        </w:tc>
        <w:tc>
          <w:tcPr>
            <w:tcW w:w="3118" w:type="dxa"/>
            <w:tcBorders>
              <w:top w:val="single" w:sz="4" w:space="0" w:color="C2D9BA"/>
              <w:bottom w:val="single" w:sz="4" w:space="0" w:color="C2D9BA"/>
            </w:tcBorders>
            <w:shd w:val="clear" w:color="auto" w:fill="auto"/>
          </w:tcPr>
          <w:p w14:paraId="21FC1D17" w14:textId="77777777" w:rsidR="009B6B07" w:rsidRDefault="009B6B07" w:rsidP="009B6B07">
            <w:pPr>
              <w:pStyle w:val="TableText"/>
            </w:pPr>
            <w:r>
              <w:t>Two related applications received June 2021</w:t>
            </w:r>
          </w:p>
          <w:p w14:paraId="5FF4CD8D" w14:textId="77777777" w:rsidR="009B6B07" w:rsidRDefault="009B6B07" w:rsidP="009B6B07">
            <w:pPr>
              <w:pStyle w:val="TableText"/>
            </w:pPr>
            <w:r>
              <w:rPr>
                <w:color w:val="242424"/>
                <w:shd w:val="clear" w:color="auto" w:fill="FFFFFF"/>
                <w:lang w:eastAsia="en-NZ"/>
              </w:rPr>
              <w:t xml:space="preserve">Both seeking clinical advice. </w:t>
            </w:r>
            <w:r>
              <w:t>This means Pharmac is seeking further expert advice before it assesses and ranks these applications.</w:t>
            </w:r>
          </w:p>
          <w:p w14:paraId="4D7E8987" w14:textId="77777777" w:rsidR="009B6B07" w:rsidRDefault="0056499C" w:rsidP="009B6B07">
            <w:pPr>
              <w:pStyle w:val="TableText"/>
            </w:pPr>
            <w:hyperlink r:id="rId61" w:history="1">
              <w:r w:rsidR="00EC2EFB" w:rsidRPr="00EC2EFB">
                <w:rPr>
                  <w:rStyle w:val="Hyperlink"/>
                </w:rPr>
                <w:t>https://connect.pharmac.govt.nz/apptracker/s/application-public/a102P00000BK0rY/p001711</w:t>
              </w:r>
            </w:hyperlink>
          </w:p>
          <w:p w14:paraId="0A6EE666" w14:textId="77777777" w:rsidR="009B6B07" w:rsidRPr="00E444B3" w:rsidRDefault="0056499C" w:rsidP="009B6B07">
            <w:pPr>
              <w:pStyle w:val="TableText"/>
            </w:pPr>
            <w:hyperlink r:id="rId62" w:history="1">
              <w:r w:rsidR="00EC2EFB" w:rsidRPr="00EC2EFB">
                <w:rPr>
                  <w:rStyle w:val="Hyperlink"/>
                </w:rPr>
                <w:t>https://connect.pharmac.govt.nz/apptracker/s/application-public/a102P00000BQ7JF/p001762</w:t>
              </w:r>
            </w:hyperlink>
          </w:p>
        </w:tc>
      </w:tr>
      <w:tr w:rsidR="009B6B07" w:rsidRPr="00066623" w14:paraId="73089BBD" w14:textId="77777777" w:rsidTr="00EC2EFB">
        <w:trPr>
          <w:cantSplit/>
        </w:trPr>
        <w:tc>
          <w:tcPr>
            <w:tcW w:w="1560" w:type="dxa"/>
            <w:tcBorders>
              <w:top w:val="single" w:sz="4" w:space="0" w:color="C2D9BA"/>
              <w:bottom w:val="single" w:sz="4" w:space="0" w:color="C2D9BA"/>
            </w:tcBorders>
            <w:shd w:val="clear" w:color="auto" w:fill="auto"/>
          </w:tcPr>
          <w:p w14:paraId="47468D0F" w14:textId="77777777" w:rsidR="009B6B07" w:rsidRPr="00E444B3" w:rsidRDefault="009B6B07" w:rsidP="009B6B07">
            <w:pPr>
              <w:pStyle w:val="TableText"/>
            </w:pPr>
            <w:r>
              <w:t>Lenalidomide</w:t>
            </w:r>
          </w:p>
        </w:tc>
        <w:tc>
          <w:tcPr>
            <w:tcW w:w="2268" w:type="dxa"/>
            <w:tcBorders>
              <w:top w:val="single" w:sz="4" w:space="0" w:color="C2D9BA"/>
              <w:bottom w:val="single" w:sz="4" w:space="0" w:color="C2D9BA"/>
            </w:tcBorders>
            <w:shd w:val="clear" w:color="auto" w:fill="auto"/>
          </w:tcPr>
          <w:p w14:paraId="789E5EE0" w14:textId="77777777" w:rsidR="009B6B07" w:rsidRPr="00E444B3" w:rsidRDefault="009B6B07" w:rsidP="00EC2EFB">
            <w:pPr>
              <w:pStyle w:val="TableText"/>
            </w:pPr>
            <w:r>
              <w:t>Multiple myeloma (in</w:t>
            </w:r>
            <w:r w:rsidR="00EC2EFB">
              <w:t> </w:t>
            </w:r>
            <w:r>
              <w:t>combination with bortezomib and dexamethasone, first</w:t>
            </w:r>
            <w:r w:rsidR="00EC2EFB">
              <w:noBreakHyphen/>
            </w:r>
            <w:r>
              <w:t>line)</w:t>
            </w:r>
          </w:p>
        </w:tc>
        <w:tc>
          <w:tcPr>
            <w:tcW w:w="1134" w:type="dxa"/>
            <w:tcBorders>
              <w:top w:val="single" w:sz="4" w:space="0" w:color="C2D9BA"/>
              <w:bottom w:val="single" w:sz="4" w:space="0" w:color="C2D9BA"/>
            </w:tcBorders>
            <w:shd w:val="clear" w:color="auto" w:fill="auto"/>
          </w:tcPr>
          <w:p w14:paraId="6EAA9CD3" w14:textId="77777777" w:rsidR="009B6B07" w:rsidRPr="00E444B3" w:rsidRDefault="009B6B07" w:rsidP="00EC2EFB">
            <w:pPr>
              <w:pStyle w:val="TableText"/>
              <w:jc w:val="center"/>
            </w:pPr>
            <w:r>
              <w:t>4</w:t>
            </w:r>
          </w:p>
        </w:tc>
        <w:tc>
          <w:tcPr>
            <w:tcW w:w="3118" w:type="dxa"/>
            <w:tcBorders>
              <w:top w:val="single" w:sz="4" w:space="0" w:color="C2D9BA"/>
              <w:bottom w:val="single" w:sz="4" w:space="0" w:color="C2D9BA"/>
            </w:tcBorders>
            <w:shd w:val="clear" w:color="auto" w:fill="auto"/>
          </w:tcPr>
          <w:p w14:paraId="224F48C2" w14:textId="77777777" w:rsidR="009B6B07" w:rsidRDefault="009B6B07" w:rsidP="009B6B07">
            <w:pPr>
              <w:pStyle w:val="TableText"/>
            </w:pPr>
            <w:r>
              <w:t>Two related applications received May 2016 and May 2017.</w:t>
            </w:r>
          </w:p>
          <w:p w14:paraId="56A708ED" w14:textId="77777777" w:rsidR="009B6B07" w:rsidRDefault="009B6B07" w:rsidP="009B6B07">
            <w:pPr>
              <w:pStyle w:val="TableText"/>
            </w:pPr>
            <w:r>
              <w:t>Both seeking clinical advice – this means Pharmac is seeking advice from external experts before these applications are assessed and ranked against other options for investment.</w:t>
            </w:r>
          </w:p>
          <w:p w14:paraId="610E4CC1" w14:textId="77777777" w:rsidR="009B6B07" w:rsidRDefault="009B6B07" w:rsidP="009B6B07">
            <w:pPr>
              <w:pStyle w:val="TableText"/>
              <w:rPr>
                <w:color w:val="242424"/>
                <w:shd w:val="clear" w:color="auto" w:fill="FFFFFF"/>
                <w:lang w:eastAsia="en-NZ"/>
              </w:rPr>
            </w:pPr>
            <w:r>
              <w:t xml:space="preserve">Note: At the time of publication, this application status had been updated to under assessment – this means </w:t>
            </w:r>
            <w:r w:rsidRPr="00ED04E8">
              <w:rPr>
                <w:color w:val="242424"/>
                <w:shd w:val="clear" w:color="auto" w:fill="FFFFFF"/>
                <w:lang w:eastAsia="en-NZ"/>
              </w:rPr>
              <w:t>that</w:t>
            </w:r>
            <w:r>
              <w:rPr>
                <w:color w:val="242424"/>
                <w:shd w:val="clear" w:color="auto" w:fill="FFFFFF"/>
                <w:lang w:eastAsia="en-NZ"/>
              </w:rPr>
              <w:t xml:space="preserve"> Pharmac has received clinical advice regarding this funding application, and it is working to compare this against other options for funding.</w:t>
            </w:r>
          </w:p>
          <w:p w14:paraId="7CA36E16" w14:textId="77777777" w:rsidR="009B6B07" w:rsidRDefault="0056499C" w:rsidP="009B6B07">
            <w:pPr>
              <w:pStyle w:val="TableText"/>
              <w:rPr>
                <w:color w:val="242424"/>
                <w:shd w:val="clear" w:color="auto" w:fill="FFFFFF"/>
                <w:lang w:eastAsia="en-NZ"/>
              </w:rPr>
            </w:pPr>
            <w:hyperlink r:id="rId63" w:history="1">
              <w:r w:rsidR="00EC2EFB" w:rsidRPr="00EC2EFB">
                <w:rPr>
                  <w:rStyle w:val="Hyperlink"/>
                  <w:shd w:val="clear" w:color="auto" w:fill="FFFFFF"/>
                  <w:lang w:eastAsia="en-NZ"/>
                </w:rPr>
                <w:t>https://connect.pharmac.govt.nz/apptracker/s/application-public/a102P000008pua9/p001248</w:t>
              </w:r>
            </w:hyperlink>
          </w:p>
          <w:p w14:paraId="24C34A5D" w14:textId="77777777" w:rsidR="009B6B07" w:rsidRPr="00FD3E34" w:rsidRDefault="0056499C" w:rsidP="009B6B07">
            <w:pPr>
              <w:pStyle w:val="TableText"/>
              <w:rPr>
                <w:color w:val="242424"/>
                <w:shd w:val="clear" w:color="auto" w:fill="FFFFFF"/>
                <w:lang w:eastAsia="en-NZ"/>
              </w:rPr>
            </w:pPr>
            <w:hyperlink r:id="rId64" w:history="1">
              <w:r w:rsidR="00EC2EFB" w:rsidRPr="00EC2EFB">
                <w:rPr>
                  <w:rStyle w:val="Hyperlink"/>
                  <w:shd w:val="clear" w:color="auto" w:fill="FFFFFF"/>
                  <w:lang w:eastAsia="en-NZ"/>
                </w:rPr>
                <w:t>https://connect.pharmac.govt.nz/apptracker/s/application-public/a102P000008ptqe/p000072</w:t>
              </w:r>
            </w:hyperlink>
          </w:p>
        </w:tc>
      </w:tr>
      <w:tr w:rsidR="009B6B07" w:rsidRPr="00066623" w14:paraId="6B28E737" w14:textId="77777777" w:rsidTr="00EC2EFB">
        <w:trPr>
          <w:cantSplit/>
        </w:trPr>
        <w:tc>
          <w:tcPr>
            <w:tcW w:w="1560" w:type="dxa"/>
            <w:tcBorders>
              <w:top w:val="single" w:sz="4" w:space="0" w:color="C2D9BA"/>
              <w:bottom w:val="single" w:sz="4" w:space="0" w:color="C2D9BA"/>
            </w:tcBorders>
            <w:shd w:val="clear" w:color="auto" w:fill="auto"/>
          </w:tcPr>
          <w:p w14:paraId="2C4B8637" w14:textId="77777777" w:rsidR="009B6B07" w:rsidRPr="00E444B3" w:rsidRDefault="009B6B07" w:rsidP="009B6B07">
            <w:pPr>
              <w:pStyle w:val="TableText"/>
            </w:pPr>
            <w:r>
              <w:t>Lenalidomide</w:t>
            </w:r>
          </w:p>
        </w:tc>
        <w:tc>
          <w:tcPr>
            <w:tcW w:w="2268" w:type="dxa"/>
            <w:tcBorders>
              <w:top w:val="single" w:sz="4" w:space="0" w:color="C2D9BA"/>
              <w:bottom w:val="single" w:sz="4" w:space="0" w:color="C2D9BA"/>
            </w:tcBorders>
            <w:shd w:val="clear" w:color="auto" w:fill="auto"/>
          </w:tcPr>
          <w:p w14:paraId="6868BCD3" w14:textId="77777777" w:rsidR="009B6B07" w:rsidRPr="00E444B3" w:rsidRDefault="009B6B07" w:rsidP="00EC2EFB">
            <w:pPr>
              <w:pStyle w:val="TableText"/>
            </w:pPr>
            <w:r>
              <w:t>Multiple myeloma (in combination with dexamethasone, transplant ineligible, first</w:t>
            </w:r>
            <w:r w:rsidR="00EC2EFB">
              <w:noBreakHyphen/>
            </w:r>
            <w:r>
              <w:t>line)</w:t>
            </w:r>
          </w:p>
        </w:tc>
        <w:tc>
          <w:tcPr>
            <w:tcW w:w="1134" w:type="dxa"/>
            <w:tcBorders>
              <w:top w:val="single" w:sz="4" w:space="0" w:color="C2D9BA"/>
              <w:bottom w:val="single" w:sz="4" w:space="0" w:color="C2D9BA"/>
            </w:tcBorders>
            <w:shd w:val="clear" w:color="auto" w:fill="auto"/>
          </w:tcPr>
          <w:p w14:paraId="1520EA7C" w14:textId="77777777" w:rsidR="009B6B07" w:rsidRPr="00E444B3" w:rsidRDefault="009B6B07" w:rsidP="00EC2EFB">
            <w:pPr>
              <w:pStyle w:val="TableText"/>
              <w:jc w:val="center"/>
            </w:pPr>
            <w:r>
              <w:t>4</w:t>
            </w:r>
          </w:p>
        </w:tc>
        <w:tc>
          <w:tcPr>
            <w:tcW w:w="3118" w:type="dxa"/>
            <w:tcBorders>
              <w:top w:val="single" w:sz="4" w:space="0" w:color="C2D9BA"/>
              <w:bottom w:val="single" w:sz="4" w:space="0" w:color="C2D9BA"/>
            </w:tcBorders>
            <w:shd w:val="clear" w:color="auto" w:fill="auto"/>
          </w:tcPr>
          <w:p w14:paraId="2AD045E1" w14:textId="77777777" w:rsidR="009B6B07" w:rsidRDefault="009B6B07" w:rsidP="009B6B07">
            <w:pPr>
              <w:pStyle w:val="TableText"/>
            </w:pPr>
            <w:r>
              <w:t>Application received May 2016.</w:t>
            </w:r>
          </w:p>
          <w:p w14:paraId="1315905F" w14:textId="77777777" w:rsidR="009B6B07" w:rsidRDefault="009B6B07" w:rsidP="009B6B07">
            <w:pPr>
              <w:pStyle w:val="TableText"/>
            </w:pPr>
            <w:r>
              <w:t>Seeking clinical advice – this means Pharmac is seeking advice from external experts before this application is assessed and ranked against other options for investment.</w:t>
            </w:r>
          </w:p>
          <w:p w14:paraId="3D5058DD" w14:textId="77777777" w:rsidR="009B6B07" w:rsidRDefault="009B6B07" w:rsidP="009B6B07">
            <w:pPr>
              <w:pStyle w:val="TableText"/>
            </w:pPr>
            <w:r>
              <w:t xml:space="preserve">Note: At the time of publication, this application status had been updated to under assessment – this means </w:t>
            </w:r>
            <w:r w:rsidRPr="00ED04E8">
              <w:rPr>
                <w:color w:val="242424"/>
                <w:shd w:val="clear" w:color="auto" w:fill="FFFFFF"/>
                <w:lang w:eastAsia="en-NZ"/>
              </w:rPr>
              <w:t>that</w:t>
            </w:r>
            <w:r>
              <w:rPr>
                <w:color w:val="242424"/>
                <w:shd w:val="clear" w:color="auto" w:fill="FFFFFF"/>
                <w:lang w:eastAsia="en-NZ"/>
              </w:rPr>
              <w:t xml:space="preserve"> Pharmac has received clinical advice regarding this funding application, and it is working to compare this against other options for funding.</w:t>
            </w:r>
          </w:p>
          <w:p w14:paraId="4E6DF3A5" w14:textId="77777777" w:rsidR="009B6B07" w:rsidRDefault="0056499C" w:rsidP="009B6B07">
            <w:pPr>
              <w:pStyle w:val="TableText"/>
            </w:pPr>
            <w:hyperlink r:id="rId65" w:history="1">
              <w:r w:rsidR="00EC2EFB" w:rsidRPr="00EC2EFB">
                <w:rPr>
                  <w:rStyle w:val="Hyperlink"/>
                </w:rPr>
                <w:t>https://connect.pharmac.govt.nz/apptracker/s/application-public/a102P00000BIsBt/p001695</w:t>
              </w:r>
            </w:hyperlink>
          </w:p>
        </w:tc>
      </w:tr>
      <w:tr w:rsidR="009B6B07" w:rsidRPr="00066623" w14:paraId="0118C2A2" w14:textId="77777777" w:rsidTr="00EC2EFB">
        <w:trPr>
          <w:cantSplit/>
        </w:trPr>
        <w:tc>
          <w:tcPr>
            <w:tcW w:w="1560" w:type="dxa"/>
            <w:tcBorders>
              <w:top w:val="single" w:sz="4" w:space="0" w:color="C2D9BA"/>
              <w:bottom w:val="single" w:sz="4" w:space="0" w:color="C2D9BA"/>
            </w:tcBorders>
            <w:shd w:val="clear" w:color="auto" w:fill="auto"/>
          </w:tcPr>
          <w:p w14:paraId="1B3B26DD" w14:textId="77777777" w:rsidR="009B6B07" w:rsidRPr="00E444B3" w:rsidRDefault="009B6B07" w:rsidP="009B6B07">
            <w:pPr>
              <w:pStyle w:val="TableText"/>
            </w:pPr>
            <w:r w:rsidRPr="00E444B3">
              <w:lastRenderedPageBreak/>
              <w:t>Lenalidomide</w:t>
            </w:r>
          </w:p>
        </w:tc>
        <w:tc>
          <w:tcPr>
            <w:tcW w:w="2268" w:type="dxa"/>
            <w:tcBorders>
              <w:top w:val="single" w:sz="4" w:space="0" w:color="C2D9BA"/>
              <w:bottom w:val="single" w:sz="4" w:space="0" w:color="C2D9BA"/>
            </w:tcBorders>
            <w:shd w:val="clear" w:color="auto" w:fill="auto"/>
          </w:tcPr>
          <w:p w14:paraId="474EA5C1" w14:textId="77777777" w:rsidR="009B6B07" w:rsidRPr="00E444B3" w:rsidRDefault="009B6B07" w:rsidP="009B6B07">
            <w:pPr>
              <w:pStyle w:val="TableText"/>
            </w:pPr>
            <w:r w:rsidRPr="00E444B3">
              <w:t>Myelodysplastic syndrome</w:t>
            </w:r>
            <w:r>
              <w:t xml:space="preserve"> (deletion 5q, low or intermediate-1 IPSS risk, red blood cell transfusion dependent, first-line)</w:t>
            </w:r>
          </w:p>
        </w:tc>
        <w:tc>
          <w:tcPr>
            <w:tcW w:w="1134" w:type="dxa"/>
            <w:tcBorders>
              <w:top w:val="single" w:sz="4" w:space="0" w:color="C2D9BA"/>
              <w:bottom w:val="single" w:sz="4" w:space="0" w:color="C2D9BA"/>
            </w:tcBorders>
            <w:shd w:val="clear" w:color="auto" w:fill="auto"/>
          </w:tcPr>
          <w:p w14:paraId="2F39C32B" w14:textId="77777777" w:rsidR="009B6B07" w:rsidRPr="00E444B3" w:rsidRDefault="009B6B07" w:rsidP="00EC2EFB">
            <w:pPr>
              <w:pStyle w:val="TableText"/>
              <w:jc w:val="center"/>
            </w:pPr>
            <w:r w:rsidRPr="00E444B3">
              <w:t>2</w:t>
            </w:r>
          </w:p>
        </w:tc>
        <w:tc>
          <w:tcPr>
            <w:tcW w:w="3118" w:type="dxa"/>
            <w:tcBorders>
              <w:top w:val="single" w:sz="4" w:space="0" w:color="C2D9BA"/>
              <w:bottom w:val="single" w:sz="4" w:space="0" w:color="C2D9BA"/>
            </w:tcBorders>
            <w:shd w:val="clear" w:color="auto" w:fill="auto"/>
          </w:tcPr>
          <w:p w14:paraId="56010B3B" w14:textId="77777777" w:rsidR="009B6B07" w:rsidRPr="00E444B3" w:rsidRDefault="009B6B07" w:rsidP="009B6B07">
            <w:pPr>
              <w:pStyle w:val="TableText"/>
            </w:pPr>
            <w:r>
              <w:t>No application received</w:t>
            </w:r>
          </w:p>
        </w:tc>
      </w:tr>
      <w:tr w:rsidR="009B6B07" w:rsidRPr="00066623" w14:paraId="7974068C" w14:textId="77777777" w:rsidTr="00EC2EFB">
        <w:trPr>
          <w:cantSplit/>
        </w:trPr>
        <w:tc>
          <w:tcPr>
            <w:tcW w:w="1560" w:type="dxa"/>
            <w:tcBorders>
              <w:top w:val="single" w:sz="4" w:space="0" w:color="C2D9BA"/>
              <w:bottom w:val="single" w:sz="4" w:space="0" w:color="C2D9BA"/>
            </w:tcBorders>
            <w:shd w:val="clear" w:color="auto" w:fill="auto"/>
          </w:tcPr>
          <w:p w14:paraId="2DEF7F6B" w14:textId="77777777" w:rsidR="009B6B07" w:rsidRPr="00E444B3" w:rsidRDefault="009B6B07" w:rsidP="009B6B07">
            <w:pPr>
              <w:pStyle w:val="TableText"/>
            </w:pPr>
            <w:r w:rsidRPr="00E444B3">
              <w:t>Midostaurin</w:t>
            </w:r>
          </w:p>
        </w:tc>
        <w:tc>
          <w:tcPr>
            <w:tcW w:w="2268" w:type="dxa"/>
            <w:tcBorders>
              <w:top w:val="single" w:sz="4" w:space="0" w:color="C2D9BA"/>
              <w:bottom w:val="single" w:sz="4" w:space="0" w:color="C2D9BA"/>
            </w:tcBorders>
            <w:shd w:val="clear" w:color="auto" w:fill="auto"/>
          </w:tcPr>
          <w:p w14:paraId="57F7F90C" w14:textId="77777777" w:rsidR="009B6B07" w:rsidRPr="00E444B3" w:rsidRDefault="009B6B07" w:rsidP="009B6B07">
            <w:pPr>
              <w:pStyle w:val="TableText"/>
            </w:pPr>
            <w:r w:rsidRPr="00E444B3">
              <w:t>Acute myeloid leukaemia</w:t>
            </w:r>
            <w:r>
              <w:t xml:space="preserve"> (ITD or TKD-FLT3 mutation +ve, induction, consolidation and/or maintenance)</w:t>
            </w:r>
          </w:p>
        </w:tc>
        <w:tc>
          <w:tcPr>
            <w:tcW w:w="1134" w:type="dxa"/>
            <w:tcBorders>
              <w:top w:val="single" w:sz="4" w:space="0" w:color="C2D9BA"/>
              <w:bottom w:val="single" w:sz="4" w:space="0" w:color="C2D9BA"/>
            </w:tcBorders>
            <w:shd w:val="clear" w:color="auto" w:fill="auto"/>
          </w:tcPr>
          <w:p w14:paraId="5F1A2A25" w14:textId="77777777" w:rsidR="009B6B07" w:rsidRPr="00E444B3" w:rsidRDefault="009B6B07" w:rsidP="00EC2EFB">
            <w:pPr>
              <w:pStyle w:val="TableText"/>
              <w:jc w:val="center"/>
            </w:pPr>
            <w:r w:rsidRPr="00E444B3">
              <w:t>A</w:t>
            </w:r>
          </w:p>
        </w:tc>
        <w:tc>
          <w:tcPr>
            <w:tcW w:w="3118" w:type="dxa"/>
            <w:tcBorders>
              <w:top w:val="single" w:sz="4" w:space="0" w:color="C2D9BA"/>
              <w:bottom w:val="single" w:sz="4" w:space="0" w:color="C2D9BA"/>
            </w:tcBorders>
            <w:shd w:val="clear" w:color="auto" w:fill="auto"/>
          </w:tcPr>
          <w:p w14:paraId="09CFBB71" w14:textId="77777777" w:rsidR="009B6B07" w:rsidRDefault="009B6B07" w:rsidP="009B6B07">
            <w:pPr>
              <w:pStyle w:val="TableText"/>
            </w:pPr>
            <w:r>
              <w:t>Application received August 2019</w:t>
            </w:r>
          </w:p>
          <w:p w14:paraId="0156840B" w14:textId="77777777" w:rsidR="009B6B07" w:rsidRDefault="009B6B07" w:rsidP="009B6B07">
            <w:pPr>
              <w:pStyle w:val="TableText"/>
              <w:rPr>
                <w:color w:val="242424"/>
                <w:shd w:val="clear" w:color="auto" w:fill="FFFFFF"/>
                <w:lang w:eastAsia="en-NZ"/>
              </w:rPr>
            </w:pPr>
            <w:r>
              <w:t xml:space="preserve">Ranked as an option for investment – this means </w:t>
            </w:r>
            <w:r w:rsidRPr="00ED04E8">
              <w:rPr>
                <w:color w:val="242424"/>
                <w:shd w:val="clear" w:color="auto" w:fill="FFFFFF"/>
                <w:lang w:eastAsia="en-NZ"/>
              </w:rPr>
              <w:t>that</w:t>
            </w:r>
            <w:r>
              <w:rPr>
                <w:color w:val="242424"/>
                <w:shd w:val="clear" w:color="auto" w:fill="FFFFFF"/>
                <w:lang w:eastAsia="en-NZ"/>
              </w:rPr>
              <w:t xml:space="preserve"> this</w:t>
            </w:r>
            <w:r w:rsidRPr="00ED04E8">
              <w:rPr>
                <w:color w:val="242424"/>
                <w:shd w:val="clear" w:color="auto" w:fill="FFFFFF"/>
                <w:lang w:eastAsia="en-NZ"/>
              </w:rPr>
              <w:t xml:space="preserve"> would be funded if the </w:t>
            </w:r>
            <w:r w:rsidR="00EC2EFB">
              <w:rPr>
                <w:color w:val="242424"/>
                <w:shd w:val="clear" w:color="auto" w:fill="FFFFFF"/>
                <w:lang w:eastAsia="en-NZ"/>
              </w:rPr>
              <w:t>budget allowed</w:t>
            </w:r>
            <w:r>
              <w:rPr>
                <w:color w:val="242424"/>
                <w:shd w:val="clear" w:color="auto" w:fill="FFFFFF"/>
                <w:lang w:eastAsia="en-NZ"/>
              </w:rPr>
              <w:t>.</w:t>
            </w:r>
          </w:p>
          <w:p w14:paraId="6F1450FE" w14:textId="77777777" w:rsidR="009B6B07" w:rsidRPr="00E444B3" w:rsidRDefault="0056499C" w:rsidP="009B6B07">
            <w:pPr>
              <w:pStyle w:val="TableText"/>
            </w:pPr>
            <w:hyperlink r:id="rId66" w:history="1">
              <w:r w:rsidR="009B6B07" w:rsidRPr="001526F5">
                <w:rPr>
                  <w:rStyle w:val="Hyperlink"/>
                  <w:rFonts w:cs="Calibri"/>
                  <w:shd w:val="clear" w:color="auto" w:fill="FFFFFF"/>
                  <w:lang w:eastAsia="en-NZ"/>
                </w:rPr>
                <w:t>https://connect.pharmac.govt.nz/apptracker/s/application-public/a102P000008ptwH/p000276</w:t>
              </w:r>
            </w:hyperlink>
          </w:p>
        </w:tc>
      </w:tr>
      <w:tr w:rsidR="009B6B07" w:rsidRPr="00066623" w14:paraId="1CEA3045" w14:textId="77777777" w:rsidTr="00EC2EFB">
        <w:trPr>
          <w:cantSplit/>
        </w:trPr>
        <w:tc>
          <w:tcPr>
            <w:tcW w:w="1560" w:type="dxa"/>
            <w:tcBorders>
              <w:top w:val="single" w:sz="4" w:space="0" w:color="C2D9BA"/>
              <w:bottom w:val="single" w:sz="4" w:space="0" w:color="C2D9BA"/>
            </w:tcBorders>
            <w:shd w:val="clear" w:color="auto" w:fill="auto"/>
          </w:tcPr>
          <w:p w14:paraId="732C325A" w14:textId="77777777" w:rsidR="009B6B07" w:rsidRPr="00E444B3" w:rsidRDefault="009B6B07" w:rsidP="009B6B07">
            <w:pPr>
              <w:pStyle w:val="TableText"/>
              <w:rPr>
                <w:highlight w:val="yellow"/>
              </w:rPr>
            </w:pPr>
            <w:r w:rsidRPr="00E444B3">
              <w:t>Obinutuzumab</w:t>
            </w:r>
          </w:p>
        </w:tc>
        <w:tc>
          <w:tcPr>
            <w:tcW w:w="2268" w:type="dxa"/>
            <w:tcBorders>
              <w:top w:val="single" w:sz="4" w:space="0" w:color="C2D9BA"/>
              <w:bottom w:val="single" w:sz="4" w:space="0" w:color="C2D9BA"/>
            </w:tcBorders>
            <w:shd w:val="clear" w:color="auto" w:fill="auto"/>
          </w:tcPr>
          <w:p w14:paraId="01948C87" w14:textId="77777777" w:rsidR="009B6B07" w:rsidRDefault="009B6B07" w:rsidP="009B6B07">
            <w:pPr>
              <w:pStyle w:val="TableText"/>
            </w:pPr>
            <w:r w:rsidRPr="00E444B3">
              <w:t>Follicular lymphoma</w:t>
            </w:r>
            <w:r>
              <w:t xml:space="preserve"> (CD20 +ve)</w:t>
            </w:r>
          </w:p>
          <w:p w14:paraId="3ADFC4D3" w14:textId="77777777" w:rsidR="009B6B07" w:rsidRPr="00E444B3" w:rsidRDefault="009B6B07" w:rsidP="009B6B07">
            <w:pPr>
              <w:pStyle w:val="TableText"/>
            </w:pPr>
            <w:r>
              <w:t>Used with bendamustine</w:t>
            </w:r>
          </w:p>
        </w:tc>
        <w:tc>
          <w:tcPr>
            <w:tcW w:w="1134" w:type="dxa"/>
            <w:tcBorders>
              <w:top w:val="single" w:sz="4" w:space="0" w:color="C2D9BA"/>
              <w:bottom w:val="single" w:sz="4" w:space="0" w:color="C2D9BA"/>
            </w:tcBorders>
            <w:shd w:val="clear" w:color="auto" w:fill="auto"/>
          </w:tcPr>
          <w:p w14:paraId="358EABD2"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3D625C13" w14:textId="77777777" w:rsidR="009B6B07" w:rsidRDefault="009B6B07" w:rsidP="009B6B07">
            <w:pPr>
              <w:pStyle w:val="TableText"/>
            </w:pPr>
            <w:r>
              <w:t>Application received February 2018</w:t>
            </w:r>
          </w:p>
          <w:p w14:paraId="01731501" w14:textId="77777777" w:rsidR="009B6B07" w:rsidRDefault="009B6B07" w:rsidP="009B6B07">
            <w:pPr>
              <w:pStyle w:val="TableText"/>
            </w:pPr>
            <w:r>
              <w:rPr>
                <w:color w:val="242424"/>
                <w:shd w:val="clear" w:color="auto" w:fill="FFFFFF"/>
                <w:lang w:eastAsia="en-NZ"/>
              </w:rPr>
              <w:t xml:space="preserve">Seeking clinical advice. </w:t>
            </w:r>
            <w:r>
              <w:t>This means Pharmac is seeking expert advice before it assesses and ranks this application.</w:t>
            </w:r>
          </w:p>
          <w:p w14:paraId="36F98182" w14:textId="77777777" w:rsidR="009B6B07" w:rsidRPr="00E444B3" w:rsidRDefault="0056499C" w:rsidP="00EC2EFB">
            <w:pPr>
              <w:pStyle w:val="TableText"/>
            </w:pPr>
            <w:hyperlink r:id="rId67" w:history="1">
              <w:r w:rsidR="009B6B07" w:rsidRPr="001526F5">
                <w:rPr>
                  <w:rStyle w:val="Hyperlink"/>
                  <w:rFonts w:eastAsia="MS Gothic"/>
                </w:rPr>
                <w:t>https://connect.pharmac.govt.nz/apptracker/s/application-public/a102P000008puZn/p001236</w:t>
              </w:r>
            </w:hyperlink>
          </w:p>
        </w:tc>
      </w:tr>
      <w:tr w:rsidR="009B6B07" w:rsidRPr="00066623" w14:paraId="42246734" w14:textId="77777777" w:rsidTr="00EC2EFB">
        <w:trPr>
          <w:cantSplit/>
        </w:trPr>
        <w:tc>
          <w:tcPr>
            <w:tcW w:w="1560" w:type="dxa"/>
            <w:tcBorders>
              <w:top w:val="single" w:sz="4" w:space="0" w:color="C2D9BA"/>
              <w:bottom w:val="single" w:sz="4" w:space="0" w:color="C2D9BA"/>
            </w:tcBorders>
            <w:shd w:val="clear" w:color="auto" w:fill="auto"/>
          </w:tcPr>
          <w:p w14:paraId="5F4A966A" w14:textId="77777777" w:rsidR="009B6B07" w:rsidRPr="00E444B3" w:rsidRDefault="00EC2EFB" w:rsidP="009B6B07">
            <w:pPr>
              <w:pStyle w:val="TableText"/>
            </w:pPr>
            <w:r>
              <w:t>Obinutuzumab</w:t>
            </w:r>
          </w:p>
        </w:tc>
        <w:tc>
          <w:tcPr>
            <w:tcW w:w="2268" w:type="dxa"/>
            <w:tcBorders>
              <w:top w:val="single" w:sz="4" w:space="0" w:color="C2D9BA"/>
              <w:bottom w:val="single" w:sz="4" w:space="0" w:color="C2D9BA"/>
            </w:tcBorders>
            <w:shd w:val="clear" w:color="auto" w:fill="auto"/>
          </w:tcPr>
          <w:p w14:paraId="4B79480F" w14:textId="77777777" w:rsidR="009B6B07" w:rsidRDefault="009B6B07" w:rsidP="009B6B07">
            <w:pPr>
              <w:pStyle w:val="TableText"/>
            </w:pPr>
            <w:r w:rsidRPr="0554FB1D">
              <w:rPr>
                <w:color w:val="000000" w:themeColor="text1"/>
              </w:rPr>
              <w:t>Chronic lymphocytic leukaemia/small lymphocytic leukaemia (first-line, unsuitable for therapy with purine analogues)</w:t>
            </w:r>
          </w:p>
          <w:p w14:paraId="06CE4257" w14:textId="77777777" w:rsidR="009B6B07" w:rsidRPr="00E444B3" w:rsidRDefault="009B6B07" w:rsidP="009B6B07">
            <w:pPr>
              <w:pStyle w:val="TableText"/>
            </w:pPr>
            <w:r>
              <w:t>Used with venetoclax</w:t>
            </w:r>
          </w:p>
        </w:tc>
        <w:tc>
          <w:tcPr>
            <w:tcW w:w="1134" w:type="dxa"/>
            <w:tcBorders>
              <w:top w:val="single" w:sz="4" w:space="0" w:color="C2D9BA"/>
              <w:bottom w:val="single" w:sz="4" w:space="0" w:color="C2D9BA"/>
            </w:tcBorders>
            <w:shd w:val="clear" w:color="auto" w:fill="auto"/>
          </w:tcPr>
          <w:p w14:paraId="31D3C3BF"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24093C72" w14:textId="77777777" w:rsidR="009B6B07" w:rsidRDefault="009B6B07" w:rsidP="009B6B07">
            <w:pPr>
              <w:pStyle w:val="TableText"/>
            </w:pPr>
            <w:r>
              <w:t>Application received February 2020</w:t>
            </w:r>
          </w:p>
          <w:p w14:paraId="1160B4E3" w14:textId="77777777" w:rsidR="009B6B07" w:rsidRDefault="009B6B07" w:rsidP="009B6B07">
            <w:pPr>
              <w:pStyle w:val="TableText"/>
              <w:rPr>
                <w:color w:val="242424"/>
                <w:shd w:val="clear" w:color="auto" w:fill="FFFFFF"/>
                <w:lang w:eastAsia="en-NZ"/>
              </w:rPr>
            </w:pPr>
            <w:r>
              <w:t xml:space="preserve">Under assessment – this means </w:t>
            </w:r>
            <w:r w:rsidRPr="00ED04E8">
              <w:rPr>
                <w:color w:val="242424"/>
                <w:shd w:val="clear" w:color="auto" w:fill="FFFFFF"/>
                <w:lang w:eastAsia="en-NZ"/>
              </w:rPr>
              <w:t>that</w:t>
            </w:r>
            <w:r>
              <w:rPr>
                <w:color w:val="242424"/>
                <w:shd w:val="clear" w:color="auto" w:fill="FFFFFF"/>
                <w:lang w:eastAsia="en-NZ"/>
              </w:rPr>
              <w:t xml:space="preserve"> Pharmac has received clinical advice regarding this funding application, and it is working to compare this against other options for funding</w:t>
            </w:r>
          </w:p>
          <w:p w14:paraId="46082947" w14:textId="77777777" w:rsidR="009B6B07" w:rsidRDefault="0056499C" w:rsidP="009B6B07">
            <w:pPr>
              <w:pStyle w:val="TableText"/>
            </w:pPr>
            <w:hyperlink r:id="rId68" w:history="1">
              <w:r w:rsidR="009B6B07" w:rsidRPr="001526F5">
                <w:rPr>
                  <w:rStyle w:val="Hyperlink"/>
                  <w:rFonts w:cs="Calibri"/>
                  <w:shd w:val="clear" w:color="auto" w:fill="FFFFFF"/>
                  <w:lang w:eastAsia="en-NZ"/>
                </w:rPr>
                <w:t>https://connect.pharmac.govt.nz/apptracker/s/application-public/a102P000009sDbV/p001524</w:t>
              </w:r>
            </w:hyperlink>
          </w:p>
        </w:tc>
      </w:tr>
      <w:tr w:rsidR="009B6B07" w:rsidRPr="00066623" w14:paraId="3DF42E46" w14:textId="77777777" w:rsidTr="00EC2EFB">
        <w:trPr>
          <w:cantSplit/>
        </w:trPr>
        <w:tc>
          <w:tcPr>
            <w:tcW w:w="1560" w:type="dxa"/>
            <w:tcBorders>
              <w:top w:val="single" w:sz="4" w:space="0" w:color="C2D9BA"/>
              <w:bottom w:val="single" w:sz="4" w:space="0" w:color="C2D9BA"/>
            </w:tcBorders>
            <w:shd w:val="clear" w:color="auto" w:fill="auto"/>
          </w:tcPr>
          <w:p w14:paraId="09980AA3" w14:textId="77777777" w:rsidR="009B6B07" w:rsidRPr="00E444B3" w:rsidRDefault="009B6B07" w:rsidP="009B6B07">
            <w:pPr>
              <w:pStyle w:val="TableText"/>
            </w:pPr>
            <w:r w:rsidRPr="00E444B3">
              <w:t>Pembrolizumab</w:t>
            </w:r>
          </w:p>
        </w:tc>
        <w:tc>
          <w:tcPr>
            <w:tcW w:w="2268" w:type="dxa"/>
            <w:tcBorders>
              <w:top w:val="single" w:sz="4" w:space="0" w:color="C2D9BA"/>
              <w:bottom w:val="single" w:sz="4" w:space="0" w:color="C2D9BA"/>
            </w:tcBorders>
            <w:shd w:val="clear" w:color="auto" w:fill="auto"/>
          </w:tcPr>
          <w:p w14:paraId="28DCD367" w14:textId="77777777" w:rsidR="009B6B07" w:rsidRPr="00E444B3" w:rsidRDefault="009B6B07" w:rsidP="009B6B07">
            <w:pPr>
              <w:pStyle w:val="TableText"/>
            </w:pPr>
            <w:r>
              <w:t xml:space="preserve">Primary mediastinal </w:t>
            </w:r>
            <w:r w:rsidRPr="00E444B3">
              <w:t>B-cell lymphoma</w:t>
            </w:r>
            <w:r>
              <w:t xml:space="preserve"> (relapsed/</w:t>
            </w:r>
            <w:r w:rsidR="00EC2EFB">
              <w:t xml:space="preserve"> </w:t>
            </w:r>
            <w:r>
              <w:t>refractory, post or unsuitable for autologous stem cell transplant)</w:t>
            </w:r>
          </w:p>
        </w:tc>
        <w:tc>
          <w:tcPr>
            <w:tcW w:w="1134" w:type="dxa"/>
            <w:tcBorders>
              <w:top w:val="single" w:sz="4" w:space="0" w:color="C2D9BA"/>
              <w:bottom w:val="single" w:sz="4" w:space="0" w:color="C2D9BA"/>
            </w:tcBorders>
            <w:shd w:val="clear" w:color="auto" w:fill="auto"/>
          </w:tcPr>
          <w:p w14:paraId="3AA6D522"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2D4B5477" w14:textId="77777777" w:rsidR="009B6B07" w:rsidRPr="00E444B3" w:rsidRDefault="009B6B07" w:rsidP="009B6B07">
            <w:pPr>
              <w:pStyle w:val="TableText"/>
            </w:pPr>
            <w:r>
              <w:t>No application received</w:t>
            </w:r>
          </w:p>
        </w:tc>
      </w:tr>
      <w:tr w:rsidR="009B6B07" w:rsidRPr="00066623" w14:paraId="3E8655BC" w14:textId="77777777" w:rsidTr="00EC2EFB">
        <w:trPr>
          <w:cantSplit/>
        </w:trPr>
        <w:tc>
          <w:tcPr>
            <w:tcW w:w="1560" w:type="dxa"/>
            <w:tcBorders>
              <w:top w:val="single" w:sz="4" w:space="0" w:color="C2D9BA"/>
              <w:bottom w:val="single" w:sz="4" w:space="0" w:color="C2D9BA"/>
            </w:tcBorders>
            <w:shd w:val="clear" w:color="auto" w:fill="auto"/>
          </w:tcPr>
          <w:p w14:paraId="5BA0137D" w14:textId="77777777" w:rsidR="009B6B07" w:rsidRPr="00E444B3" w:rsidRDefault="009B6B07" w:rsidP="009B6B07">
            <w:pPr>
              <w:pStyle w:val="TableText"/>
            </w:pPr>
            <w:r w:rsidRPr="00E444B3">
              <w:lastRenderedPageBreak/>
              <w:t>Pembrolizumab</w:t>
            </w:r>
          </w:p>
        </w:tc>
        <w:tc>
          <w:tcPr>
            <w:tcW w:w="2268" w:type="dxa"/>
            <w:tcBorders>
              <w:top w:val="single" w:sz="4" w:space="0" w:color="C2D9BA"/>
              <w:bottom w:val="single" w:sz="4" w:space="0" w:color="C2D9BA"/>
            </w:tcBorders>
            <w:shd w:val="clear" w:color="auto" w:fill="auto"/>
          </w:tcPr>
          <w:p w14:paraId="27187702" w14:textId="77777777" w:rsidR="009B6B07" w:rsidRPr="00E444B3" w:rsidRDefault="009B6B07" w:rsidP="009B6B07">
            <w:pPr>
              <w:pStyle w:val="TableText"/>
            </w:pPr>
            <w:r w:rsidRPr="00E444B3">
              <w:t>Hodgkin lymphoma</w:t>
            </w:r>
            <w:r>
              <w:t xml:space="preserve"> (relapsed/refractory, post or unsuitable for autologous stem cell transplant)</w:t>
            </w:r>
          </w:p>
        </w:tc>
        <w:tc>
          <w:tcPr>
            <w:tcW w:w="1134" w:type="dxa"/>
            <w:tcBorders>
              <w:top w:val="single" w:sz="4" w:space="0" w:color="C2D9BA"/>
              <w:bottom w:val="single" w:sz="4" w:space="0" w:color="C2D9BA"/>
            </w:tcBorders>
            <w:shd w:val="clear" w:color="auto" w:fill="auto"/>
          </w:tcPr>
          <w:p w14:paraId="709A3DF9" w14:textId="77777777" w:rsidR="009B6B07" w:rsidRPr="00E444B3" w:rsidRDefault="009B6B07" w:rsidP="00EC2EFB">
            <w:pPr>
              <w:pStyle w:val="TableText"/>
              <w:jc w:val="center"/>
            </w:pPr>
            <w:r w:rsidRPr="00E444B3">
              <w:t>4</w:t>
            </w:r>
          </w:p>
        </w:tc>
        <w:tc>
          <w:tcPr>
            <w:tcW w:w="3118" w:type="dxa"/>
            <w:tcBorders>
              <w:top w:val="single" w:sz="4" w:space="0" w:color="C2D9BA"/>
              <w:bottom w:val="single" w:sz="4" w:space="0" w:color="C2D9BA"/>
            </w:tcBorders>
            <w:shd w:val="clear" w:color="auto" w:fill="auto"/>
          </w:tcPr>
          <w:p w14:paraId="684866C6" w14:textId="77777777" w:rsidR="009B6B07" w:rsidRDefault="009B6B07" w:rsidP="009B6B07">
            <w:pPr>
              <w:pStyle w:val="TableText"/>
            </w:pPr>
            <w:r>
              <w:t>Three related applications received November 2017</w:t>
            </w:r>
          </w:p>
          <w:p w14:paraId="3C9BBABB" w14:textId="77777777" w:rsidR="009B6B07" w:rsidRDefault="009B6B07" w:rsidP="009B6B07">
            <w:pPr>
              <w:pStyle w:val="TableText"/>
            </w:pPr>
            <w:r>
              <w:rPr>
                <w:color w:val="242424"/>
                <w:shd w:val="clear" w:color="auto" w:fill="FFFFFF"/>
                <w:lang w:eastAsia="en-NZ"/>
              </w:rPr>
              <w:t xml:space="preserve">Seeking clinical advice. </w:t>
            </w:r>
            <w:r>
              <w:t>This means Pharmac is seeking expert advice before it assesses and ranks this application.</w:t>
            </w:r>
          </w:p>
          <w:p w14:paraId="3D577AFD" w14:textId="77777777" w:rsidR="009B6B07" w:rsidRDefault="009B6B07" w:rsidP="009B6B07">
            <w:pPr>
              <w:pStyle w:val="TableText"/>
              <w:rPr>
                <w:color w:val="242424"/>
                <w:shd w:val="clear" w:color="auto" w:fill="FFFFFF"/>
                <w:lang w:eastAsia="en-NZ"/>
              </w:rPr>
            </w:pPr>
            <w:r>
              <w:t xml:space="preserve">Note: At the time of publications these three applications had been updated to options compared. All three applications were ranked as options for investment – this means </w:t>
            </w:r>
            <w:r w:rsidRPr="00ED04E8">
              <w:rPr>
                <w:color w:val="242424"/>
                <w:shd w:val="clear" w:color="auto" w:fill="FFFFFF"/>
                <w:lang w:eastAsia="en-NZ"/>
              </w:rPr>
              <w:t>that</w:t>
            </w:r>
            <w:r>
              <w:rPr>
                <w:color w:val="242424"/>
                <w:shd w:val="clear" w:color="auto" w:fill="FFFFFF"/>
                <w:lang w:eastAsia="en-NZ"/>
              </w:rPr>
              <w:t xml:space="preserve"> these options</w:t>
            </w:r>
            <w:r w:rsidRPr="00ED04E8">
              <w:rPr>
                <w:color w:val="242424"/>
                <w:shd w:val="clear" w:color="auto" w:fill="FFFFFF"/>
                <w:lang w:eastAsia="en-NZ"/>
              </w:rPr>
              <w:t xml:space="preserve"> would be funded if the </w:t>
            </w:r>
            <w:r w:rsidR="00EC2EFB">
              <w:rPr>
                <w:color w:val="242424"/>
                <w:shd w:val="clear" w:color="auto" w:fill="FFFFFF"/>
                <w:lang w:eastAsia="en-NZ"/>
              </w:rPr>
              <w:t>budget allowed</w:t>
            </w:r>
            <w:r>
              <w:rPr>
                <w:color w:val="242424"/>
                <w:shd w:val="clear" w:color="auto" w:fill="FFFFFF"/>
                <w:lang w:eastAsia="en-NZ"/>
              </w:rPr>
              <w:t>.</w:t>
            </w:r>
          </w:p>
          <w:p w14:paraId="60161AB1" w14:textId="77777777" w:rsidR="009B6B07" w:rsidRDefault="0056499C" w:rsidP="009B6B07">
            <w:pPr>
              <w:pStyle w:val="TableText"/>
            </w:pPr>
            <w:hyperlink r:id="rId69" w:history="1">
              <w:r w:rsidR="009B6B07" w:rsidRPr="001526F5">
                <w:rPr>
                  <w:rStyle w:val="Hyperlink"/>
                  <w:rFonts w:eastAsia="MS Gothic"/>
                </w:rPr>
                <w:t>https://connect.pharmac.govt.nz/apptracker/s/application-public/a102P00000BLKJl/p001718</w:t>
              </w:r>
            </w:hyperlink>
          </w:p>
          <w:p w14:paraId="4B0AEFE3" w14:textId="77777777" w:rsidR="009B6B07" w:rsidRDefault="0056499C" w:rsidP="009B6B07">
            <w:pPr>
              <w:pStyle w:val="TableText"/>
            </w:pPr>
            <w:hyperlink r:id="rId70" w:history="1">
              <w:r w:rsidR="009B6B07" w:rsidRPr="001526F5">
                <w:rPr>
                  <w:rStyle w:val="Hyperlink"/>
                  <w:rFonts w:eastAsia="MS Gothic"/>
                </w:rPr>
                <w:t>https://connect.pharmac.govt.nz/apptracker/s/application-public/a102P00000BLKJv/p001719</w:t>
              </w:r>
            </w:hyperlink>
          </w:p>
          <w:p w14:paraId="7DA1AD67" w14:textId="77777777" w:rsidR="009B6B07" w:rsidRPr="00E444B3" w:rsidRDefault="0056499C" w:rsidP="00EC2EFB">
            <w:pPr>
              <w:pStyle w:val="TableText"/>
            </w:pPr>
            <w:hyperlink r:id="rId71" w:history="1">
              <w:r w:rsidR="009B6B07" w:rsidRPr="001526F5">
                <w:rPr>
                  <w:rStyle w:val="Hyperlink"/>
                  <w:rFonts w:eastAsia="MS Gothic"/>
                </w:rPr>
                <w:t>https://connect.pharmac.govt.nz/apptracker/s/application-public/a102P000008pu3x/p000527</w:t>
              </w:r>
            </w:hyperlink>
          </w:p>
        </w:tc>
      </w:tr>
      <w:tr w:rsidR="009B6B07" w:rsidRPr="00066623" w14:paraId="53DF7213" w14:textId="77777777" w:rsidTr="00EC2EFB">
        <w:trPr>
          <w:cantSplit/>
        </w:trPr>
        <w:tc>
          <w:tcPr>
            <w:tcW w:w="1560" w:type="dxa"/>
            <w:tcBorders>
              <w:top w:val="single" w:sz="4" w:space="0" w:color="C2D9BA"/>
              <w:bottom w:val="single" w:sz="4" w:space="0" w:color="C2D9BA"/>
            </w:tcBorders>
            <w:shd w:val="clear" w:color="auto" w:fill="auto"/>
          </w:tcPr>
          <w:p w14:paraId="4293D6F4" w14:textId="77777777" w:rsidR="009B6B07" w:rsidRPr="00E444B3" w:rsidRDefault="009B6B07" w:rsidP="009B6B07">
            <w:pPr>
              <w:pStyle w:val="TableText"/>
            </w:pPr>
            <w:r w:rsidRPr="00E444B3">
              <w:t>Pomalidomide</w:t>
            </w:r>
          </w:p>
        </w:tc>
        <w:tc>
          <w:tcPr>
            <w:tcW w:w="2268" w:type="dxa"/>
            <w:tcBorders>
              <w:top w:val="single" w:sz="4" w:space="0" w:color="C2D9BA"/>
              <w:bottom w:val="single" w:sz="4" w:space="0" w:color="C2D9BA"/>
            </w:tcBorders>
            <w:shd w:val="clear" w:color="auto" w:fill="auto"/>
          </w:tcPr>
          <w:p w14:paraId="3CAA1752" w14:textId="77777777" w:rsidR="009B6B07" w:rsidRDefault="009B6B07" w:rsidP="009B6B07">
            <w:pPr>
              <w:pStyle w:val="TableText"/>
            </w:pPr>
            <w:r w:rsidRPr="00E444B3">
              <w:t>Multiple myeloma</w:t>
            </w:r>
            <w:r>
              <w:t xml:space="preserve"> (post or unsuitable for primary stem cell transplant and relapsed/refractory to other systemic treatments)</w:t>
            </w:r>
          </w:p>
          <w:p w14:paraId="644D85F8" w14:textId="77777777" w:rsidR="009B6B07" w:rsidRPr="00E444B3" w:rsidRDefault="009B6B07" w:rsidP="009B6B07">
            <w:pPr>
              <w:pStyle w:val="TableText"/>
            </w:pPr>
            <w:r>
              <w:t>Used with dexamethasone</w:t>
            </w:r>
          </w:p>
        </w:tc>
        <w:tc>
          <w:tcPr>
            <w:tcW w:w="1134" w:type="dxa"/>
            <w:tcBorders>
              <w:top w:val="single" w:sz="4" w:space="0" w:color="C2D9BA"/>
              <w:bottom w:val="single" w:sz="4" w:space="0" w:color="C2D9BA"/>
            </w:tcBorders>
            <w:shd w:val="clear" w:color="auto" w:fill="auto"/>
          </w:tcPr>
          <w:p w14:paraId="0D196B7D"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233D5F92" w14:textId="77777777" w:rsidR="009B6B07" w:rsidRDefault="009B6B07" w:rsidP="009B6B07">
            <w:pPr>
              <w:pStyle w:val="TableText"/>
            </w:pPr>
            <w:r>
              <w:t>Two related applications received November 2015</w:t>
            </w:r>
          </w:p>
          <w:p w14:paraId="0488309F" w14:textId="77777777" w:rsidR="009B6B07" w:rsidRDefault="009B6B07" w:rsidP="009B6B07">
            <w:pPr>
              <w:pStyle w:val="TableText"/>
            </w:pPr>
            <w:r>
              <w:rPr>
                <w:color w:val="242424"/>
                <w:shd w:val="clear" w:color="auto" w:fill="FFFFFF"/>
                <w:lang w:eastAsia="en-NZ"/>
              </w:rPr>
              <w:t xml:space="preserve">Both seeking clinical advice. </w:t>
            </w:r>
            <w:r>
              <w:t>This means Pharmac is seeking further expert advice before it assesses and ranks these applications.</w:t>
            </w:r>
          </w:p>
          <w:p w14:paraId="77BDE94C" w14:textId="77777777" w:rsidR="009B6B07" w:rsidRDefault="009B6B07" w:rsidP="009B6B07">
            <w:pPr>
              <w:pStyle w:val="TableText"/>
            </w:pPr>
            <w:r>
              <w:t xml:space="preserve">Note: At the time of publication these applications had been updated to under assessment. this means </w:t>
            </w:r>
            <w:r w:rsidRPr="00ED04E8">
              <w:rPr>
                <w:color w:val="242424"/>
                <w:shd w:val="clear" w:color="auto" w:fill="FFFFFF"/>
                <w:lang w:eastAsia="en-NZ"/>
              </w:rPr>
              <w:t>that</w:t>
            </w:r>
            <w:r>
              <w:rPr>
                <w:color w:val="242424"/>
                <w:shd w:val="clear" w:color="auto" w:fill="FFFFFF"/>
                <w:lang w:eastAsia="en-NZ"/>
              </w:rPr>
              <w:t xml:space="preserve"> Pharmac has received clinical advice regarding these funding applications, and it is working to compare these against other options for funding.</w:t>
            </w:r>
          </w:p>
          <w:p w14:paraId="4BAC08E3" w14:textId="77777777" w:rsidR="009B6B07" w:rsidRDefault="0056499C" w:rsidP="009B6B07">
            <w:pPr>
              <w:pStyle w:val="TableText"/>
            </w:pPr>
            <w:hyperlink r:id="rId72" w:history="1">
              <w:r w:rsidR="009B6B07" w:rsidRPr="006F5729">
                <w:rPr>
                  <w:rStyle w:val="Hyperlink"/>
                  <w:rFonts w:eastAsia="MS Gothic"/>
                </w:rPr>
                <w:t>https://connect.pharmac.govt.nz/apptracker/s/application-public/a102P00000BIsCh/p001701</w:t>
              </w:r>
            </w:hyperlink>
          </w:p>
          <w:p w14:paraId="21DDC51B" w14:textId="77777777" w:rsidR="009B6B07" w:rsidRPr="00E444B3" w:rsidRDefault="0056499C" w:rsidP="00EC2EFB">
            <w:pPr>
              <w:pStyle w:val="TableText"/>
            </w:pPr>
            <w:hyperlink r:id="rId73" w:history="1">
              <w:r w:rsidR="009B6B07" w:rsidRPr="001526F5">
                <w:rPr>
                  <w:rStyle w:val="Hyperlink"/>
                  <w:rFonts w:eastAsia="MS Gothic"/>
                </w:rPr>
                <w:t>https://connect.pharmac.govt.nz/apptracker/s/application-public/a102P00000BIsCc/p001700</w:t>
              </w:r>
            </w:hyperlink>
          </w:p>
        </w:tc>
      </w:tr>
      <w:tr w:rsidR="009B6B07" w:rsidRPr="00066623" w14:paraId="28D4C365" w14:textId="77777777" w:rsidTr="00EC2EFB">
        <w:trPr>
          <w:cantSplit/>
        </w:trPr>
        <w:tc>
          <w:tcPr>
            <w:tcW w:w="1560" w:type="dxa"/>
            <w:tcBorders>
              <w:top w:val="single" w:sz="4" w:space="0" w:color="C2D9BA"/>
              <w:bottom w:val="single" w:sz="4" w:space="0" w:color="C2D9BA"/>
            </w:tcBorders>
            <w:shd w:val="clear" w:color="auto" w:fill="auto"/>
          </w:tcPr>
          <w:p w14:paraId="3E2837DE" w14:textId="77777777" w:rsidR="009B6B07" w:rsidRPr="00E444B3" w:rsidRDefault="009B6B07" w:rsidP="00EC2EFB">
            <w:pPr>
              <w:pStyle w:val="TableText"/>
              <w:keepNext/>
            </w:pPr>
            <w:r w:rsidRPr="00E444B3">
              <w:t>Ponatinib</w:t>
            </w:r>
          </w:p>
        </w:tc>
        <w:tc>
          <w:tcPr>
            <w:tcW w:w="2268" w:type="dxa"/>
            <w:tcBorders>
              <w:top w:val="single" w:sz="4" w:space="0" w:color="C2D9BA"/>
              <w:bottom w:val="single" w:sz="4" w:space="0" w:color="C2D9BA"/>
            </w:tcBorders>
            <w:shd w:val="clear" w:color="auto" w:fill="auto"/>
          </w:tcPr>
          <w:p w14:paraId="27F407E2" w14:textId="77777777" w:rsidR="009B6B07" w:rsidRPr="00E444B3" w:rsidRDefault="009B6B07" w:rsidP="00EC2EFB">
            <w:pPr>
              <w:pStyle w:val="TableText"/>
              <w:keepNext/>
            </w:pPr>
            <w:r w:rsidRPr="00E444B3">
              <w:t xml:space="preserve">Acute </w:t>
            </w:r>
            <w:r>
              <w:t xml:space="preserve">lymphocytic </w:t>
            </w:r>
            <w:r w:rsidRPr="00E444B3">
              <w:t>leukaemia</w:t>
            </w:r>
            <w:r>
              <w:t xml:space="preserve"> (second-line after prior systemic treatments)</w:t>
            </w:r>
          </w:p>
        </w:tc>
        <w:tc>
          <w:tcPr>
            <w:tcW w:w="1134" w:type="dxa"/>
            <w:tcBorders>
              <w:top w:val="single" w:sz="4" w:space="0" w:color="C2D9BA"/>
              <w:bottom w:val="single" w:sz="4" w:space="0" w:color="C2D9BA"/>
            </w:tcBorders>
            <w:shd w:val="clear" w:color="auto" w:fill="auto"/>
          </w:tcPr>
          <w:p w14:paraId="57DF2079" w14:textId="77777777" w:rsidR="009B6B07" w:rsidRPr="00E444B3" w:rsidRDefault="009B6B07" w:rsidP="00EC2EFB">
            <w:pPr>
              <w:pStyle w:val="TableText"/>
              <w:keepNext/>
              <w:jc w:val="center"/>
            </w:pPr>
            <w:r w:rsidRPr="00E444B3">
              <w:t>2</w:t>
            </w:r>
          </w:p>
        </w:tc>
        <w:tc>
          <w:tcPr>
            <w:tcW w:w="3118" w:type="dxa"/>
            <w:tcBorders>
              <w:top w:val="single" w:sz="4" w:space="0" w:color="C2D9BA"/>
              <w:bottom w:val="single" w:sz="4" w:space="0" w:color="C2D9BA"/>
            </w:tcBorders>
            <w:shd w:val="clear" w:color="auto" w:fill="auto"/>
          </w:tcPr>
          <w:p w14:paraId="25EDA4B7" w14:textId="77777777" w:rsidR="009B6B07" w:rsidRPr="00E444B3" w:rsidRDefault="009B6B07" w:rsidP="00EC2EFB">
            <w:pPr>
              <w:pStyle w:val="TableText"/>
              <w:keepNext/>
            </w:pPr>
            <w:r>
              <w:t>No application received</w:t>
            </w:r>
          </w:p>
        </w:tc>
      </w:tr>
      <w:tr w:rsidR="009B6B07" w:rsidRPr="00066623" w14:paraId="263E518D" w14:textId="77777777" w:rsidTr="00EC2EFB">
        <w:trPr>
          <w:cantSplit/>
        </w:trPr>
        <w:tc>
          <w:tcPr>
            <w:tcW w:w="1560" w:type="dxa"/>
            <w:tcBorders>
              <w:top w:val="single" w:sz="4" w:space="0" w:color="C2D9BA"/>
              <w:bottom w:val="single" w:sz="4" w:space="0" w:color="C2D9BA"/>
            </w:tcBorders>
            <w:shd w:val="clear" w:color="auto" w:fill="auto"/>
          </w:tcPr>
          <w:p w14:paraId="0558B50A" w14:textId="77777777" w:rsidR="009B6B07" w:rsidRPr="00E444B3" w:rsidRDefault="009B6B07" w:rsidP="009B6B07">
            <w:pPr>
              <w:pStyle w:val="TableText"/>
            </w:pPr>
            <w:r w:rsidRPr="00E444B3">
              <w:t>Ponatinib</w:t>
            </w:r>
          </w:p>
        </w:tc>
        <w:tc>
          <w:tcPr>
            <w:tcW w:w="2268" w:type="dxa"/>
            <w:tcBorders>
              <w:top w:val="single" w:sz="4" w:space="0" w:color="C2D9BA"/>
              <w:bottom w:val="single" w:sz="4" w:space="0" w:color="C2D9BA"/>
            </w:tcBorders>
            <w:shd w:val="clear" w:color="auto" w:fill="auto"/>
          </w:tcPr>
          <w:p w14:paraId="3725EEB7" w14:textId="77777777" w:rsidR="009B6B07" w:rsidRPr="00E444B3" w:rsidRDefault="009B6B07" w:rsidP="009B6B07">
            <w:pPr>
              <w:pStyle w:val="TableText"/>
            </w:pPr>
            <w:r w:rsidRPr="00E444B3">
              <w:t>Chronic myeloid leukaemia</w:t>
            </w:r>
            <w:r>
              <w:t xml:space="preserve"> (T3151 mutation positive, relapsed/refractory)</w:t>
            </w:r>
          </w:p>
        </w:tc>
        <w:tc>
          <w:tcPr>
            <w:tcW w:w="1134" w:type="dxa"/>
            <w:tcBorders>
              <w:top w:val="single" w:sz="4" w:space="0" w:color="C2D9BA"/>
              <w:bottom w:val="single" w:sz="4" w:space="0" w:color="C2D9BA"/>
            </w:tcBorders>
            <w:shd w:val="clear" w:color="auto" w:fill="auto"/>
          </w:tcPr>
          <w:p w14:paraId="4543B128"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50F01ABB" w14:textId="77777777" w:rsidR="009B6B07" w:rsidRPr="00E444B3" w:rsidRDefault="009B6B07" w:rsidP="009B6B07">
            <w:pPr>
              <w:pStyle w:val="TableText"/>
            </w:pPr>
            <w:r>
              <w:t>No application received</w:t>
            </w:r>
          </w:p>
        </w:tc>
      </w:tr>
      <w:tr w:rsidR="009B6B07" w:rsidRPr="00066623" w14:paraId="0A7F2877" w14:textId="77777777" w:rsidTr="00EC2EFB">
        <w:trPr>
          <w:cantSplit/>
        </w:trPr>
        <w:tc>
          <w:tcPr>
            <w:tcW w:w="1560" w:type="dxa"/>
            <w:tcBorders>
              <w:top w:val="single" w:sz="4" w:space="0" w:color="C2D9BA"/>
              <w:bottom w:val="single" w:sz="4" w:space="0" w:color="C2D9BA"/>
            </w:tcBorders>
            <w:shd w:val="clear" w:color="auto" w:fill="auto"/>
          </w:tcPr>
          <w:p w14:paraId="3FCB4AFD" w14:textId="77777777" w:rsidR="009B6B07" w:rsidRPr="00E444B3" w:rsidRDefault="009B6B07" w:rsidP="009B6B07">
            <w:pPr>
              <w:pStyle w:val="TableText"/>
            </w:pPr>
            <w:r w:rsidRPr="00E444B3">
              <w:lastRenderedPageBreak/>
              <w:t>Pralatrexate</w:t>
            </w:r>
          </w:p>
        </w:tc>
        <w:tc>
          <w:tcPr>
            <w:tcW w:w="2268" w:type="dxa"/>
            <w:tcBorders>
              <w:top w:val="single" w:sz="4" w:space="0" w:color="C2D9BA"/>
              <w:bottom w:val="single" w:sz="4" w:space="0" w:color="C2D9BA"/>
            </w:tcBorders>
            <w:shd w:val="clear" w:color="auto" w:fill="auto"/>
          </w:tcPr>
          <w:p w14:paraId="7508B1A9" w14:textId="77777777" w:rsidR="009B6B07" w:rsidRPr="00E444B3" w:rsidRDefault="009B6B07" w:rsidP="009B6B07">
            <w:pPr>
              <w:pStyle w:val="TableText"/>
            </w:pPr>
            <w:r>
              <w:t>Peripheral T-cell lymphoma (relapsed/refractory)</w:t>
            </w:r>
          </w:p>
        </w:tc>
        <w:tc>
          <w:tcPr>
            <w:tcW w:w="1134" w:type="dxa"/>
            <w:tcBorders>
              <w:top w:val="single" w:sz="4" w:space="0" w:color="C2D9BA"/>
              <w:bottom w:val="single" w:sz="4" w:space="0" w:color="C2D9BA"/>
            </w:tcBorders>
            <w:shd w:val="clear" w:color="auto" w:fill="auto"/>
          </w:tcPr>
          <w:p w14:paraId="699493DB"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03F93551" w14:textId="77777777" w:rsidR="009B6B07" w:rsidRPr="00E444B3" w:rsidRDefault="009B6B07" w:rsidP="009B6B07">
            <w:pPr>
              <w:pStyle w:val="TableText"/>
            </w:pPr>
            <w:r>
              <w:t>No application received</w:t>
            </w:r>
          </w:p>
        </w:tc>
      </w:tr>
      <w:tr w:rsidR="009B6B07" w:rsidRPr="00066623" w14:paraId="1B45ED65" w14:textId="77777777" w:rsidTr="00EC2EFB">
        <w:trPr>
          <w:cantSplit/>
        </w:trPr>
        <w:tc>
          <w:tcPr>
            <w:tcW w:w="1560" w:type="dxa"/>
            <w:tcBorders>
              <w:top w:val="single" w:sz="4" w:space="0" w:color="C2D9BA"/>
              <w:bottom w:val="single" w:sz="4" w:space="0" w:color="C2D9BA"/>
            </w:tcBorders>
            <w:shd w:val="clear" w:color="auto" w:fill="auto"/>
          </w:tcPr>
          <w:p w14:paraId="4B400E02" w14:textId="77777777" w:rsidR="009B6B07" w:rsidRPr="00E444B3" w:rsidRDefault="009B6B07" w:rsidP="009B6B07">
            <w:pPr>
              <w:pStyle w:val="TableText"/>
            </w:pPr>
            <w:r w:rsidRPr="00E444B3">
              <w:t xml:space="preserve">Venetoclax </w:t>
            </w:r>
          </w:p>
        </w:tc>
        <w:tc>
          <w:tcPr>
            <w:tcW w:w="2268" w:type="dxa"/>
            <w:tcBorders>
              <w:top w:val="single" w:sz="4" w:space="0" w:color="C2D9BA"/>
              <w:bottom w:val="single" w:sz="4" w:space="0" w:color="C2D9BA"/>
            </w:tcBorders>
            <w:shd w:val="clear" w:color="auto" w:fill="auto"/>
          </w:tcPr>
          <w:p w14:paraId="73664614" w14:textId="77777777" w:rsidR="009B6B07" w:rsidRDefault="009B6B07" w:rsidP="009B6B07">
            <w:pPr>
              <w:pStyle w:val="TableText"/>
            </w:pPr>
            <w:r w:rsidRPr="00E444B3">
              <w:t xml:space="preserve">Chronic lymphocytic leukaemia/small lymphocytic leukaemia </w:t>
            </w:r>
            <w:r>
              <w:t>(first-line, unsuitable for therapy with purine analogues)</w:t>
            </w:r>
          </w:p>
          <w:p w14:paraId="359B67ED" w14:textId="77777777" w:rsidR="009B6B07" w:rsidRPr="00E444B3" w:rsidRDefault="009B6B07" w:rsidP="009B6B07">
            <w:pPr>
              <w:pStyle w:val="TableText"/>
            </w:pPr>
            <w:r>
              <w:t>Used with obinutuzumab</w:t>
            </w:r>
          </w:p>
        </w:tc>
        <w:tc>
          <w:tcPr>
            <w:tcW w:w="1134" w:type="dxa"/>
            <w:tcBorders>
              <w:top w:val="single" w:sz="4" w:space="0" w:color="C2D9BA"/>
              <w:bottom w:val="single" w:sz="4" w:space="0" w:color="C2D9BA"/>
            </w:tcBorders>
            <w:shd w:val="clear" w:color="auto" w:fill="auto"/>
          </w:tcPr>
          <w:p w14:paraId="25EEAFEA"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50DF5C0E" w14:textId="77777777" w:rsidR="009B6B07" w:rsidRDefault="009B6B07" w:rsidP="009B6B07">
            <w:pPr>
              <w:pStyle w:val="TableText"/>
            </w:pPr>
            <w:r>
              <w:t>Application received February 2020</w:t>
            </w:r>
          </w:p>
          <w:p w14:paraId="23DB59D5" w14:textId="77777777" w:rsidR="009B6B07" w:rsidRDefault="009B6B07" w:rsidP="009B6B07">
            <w:pPr>
              <w:pStyle w:val="TableText"/>
            </w:pPr>
            <w:r>
              <w:t xml:space="preserve">Under assessment – this means </w:t>
            </w:r>
            <w:r w:rsidRPr="00ED04E8">
              <w:rPr>
                <w:color w:val="242424"/>
                <w:shd w:val="clear" w:color="auto" w:fill="FFFFFF"/>
                <w:lang w:eastAsia="en-NZ"/>
              </w:rPr>
              <w:t>that</w:t>
            </w:r>
            <w:r>
              <w:rPr>
                <w:color w:val="242424"/>
                <w:shd w:val="clear" w:color="auto" w:fill="FFFFFF"/>
                <w:lang w:eastAsia="en-NZ"/>
              </w:rPr>
              <w:t xml:space="preserve"> Pharmac has received clinical advice regarding this funding application, and is working to compare it against other options for funding.</w:t>
            </w:r>
          </w:p>
          <w:p w14:paraId="31120491" w14:textId="77777777" w:rsidR="009B6B07" w:rsidRPr="00E444B3" w:rsidRDefault="0056499C" w:rsidP="009B6B07">
            <w:pPr>
              <w:pStyle w:val="TableText"/>
            </w:pPr>
            <w:hyperlink r:id="rId74" w:history="1">
              <w:r w:rsidR="00EC2EFB" w:rsidRPr="00EC2EFB">
                <w:rPr>
                  <w:rStyle w:val="Hyperlink"/>
                </w:rPr>
                <w:t>https://connect.pharmac.govt.nz/apptracker/s/application-public/a102P000009sDbV/p001524</w:t>
              </w:r>
            </w:hyperlink>
          </w:p>
        </w:tc>
      </w:tr>
      <w:tr w:rsidR="009B6B07" w:rsidRPr="00066623" w14:paraId="7895EAD0" w14:textId="77777777" w:rsidTr="00EC2EFB">
        <w:trPr>
          <w:cantSplit/>
        </w:trPr>
        <w:tc>
          <w:tcPr>
            <w:tcW w:w="1560" w:type="dxa"/>
            <w:tcBorders>
              <w:top w:val="single" w:sz="4" w:space="0" w:color="C2D9BA"/>
              <w:bottom w:val="single" w:sz="4" w:space="0" w:color="C2D9BA"/>
            </w:tcBorders>
            <w:shd w:val="clear" w:color="auto" w:fill="auto"/>
          </w:tcPr>
          <w:p w14:paraId="64B0F070" w14:textId="77777777" w:rsidR="009B6B07" w:rsidRPr="00E444B3" w:rsidRDefault="009B6B07" w:rsidP="009B6B07">
            <w:pPr>
              <w:pStyle w:val="TableText"/>
            </w:pPr>
            <w:r w:rsidRPr="00E444B3">
              <w:t>Vorinostat</w:t>
            </w:r>
          </w:p>
        </w:tc>
        <w:tc>
          <w:tcPr>
            <w:tcW w:w="2268" w:type="dxa"/>
            <w:tcBorders>
              <w:top w:val="single" w:sz="4" w:space="0" w:color="C2D9BA"/>
              <w:bottom w:val="single" w:sz="4" w:space="0" w:color="C2D9BA"/>
            </w:tcBorders>
            <w:shd w:val="clear" w:color="auto" w:fill="auto"/>
          </w:tcPr>
          <w:p w14:paraId="7304F417" w14:textId="77777777" w:rsidR="009B6B07" w:rsidRPr="00E444B3" w:rsidRDefault="009B6B07" w:rsidP="009B6B07">
            <w:pPr>
              <w:pStyle w:val="TableText"/>
            </w:pPr>
            <w:r>
              <w:t xml:space="preserve">Cutaneous </w:t>
            </w:r>
            <w:r w:rsidRPr="00E444B3">
              <w:t>T-cell lymphoma (</w:t>
            </w:r>
            <w:r>
              <w:t>relapsed/</w:t>
            </w:r>
            <w:r w:rsidR="000374A7">
              <w:t xml:space="preserve"> </w:t>
            </w:r>
            <w:r>
              <w:t>refractory, ineligible for stem cell transplant</w:t>
            </w:r>
            <w:r w:rsidRPr="00E444B3">
              <w:t>)</w:t>
            </w:r>
          </w:p>
        </w:tc>
        <w:tc>
          <w:tcPr>
            <w:tcW w:w="1134" w:type="dxa"/>
            <w:tcBorders>
              <w:top w:val="single" w:sz="4" w:space="0" w:color="C2D9BA"/>
              <w:bottom w:val="single" w:sz="4" w:space="0" w:color="C2D9BA"/>
            </w:tcBorders>
            <w:shd w:val="clear" w:color="auto" w:fill="auto"/>
          </w:tcPr>
          <w:p w14:paraId="20151CC7" w14:textId="77777777" w:rsidR="009B6B07" w:rsidRPr="00E444B3" w:rsidRDefault="009B6B07" w:rsidP="00EC2EFB">
            <w:pPr>
              <w:pStyle w:val="TableText"/>
              <w:jc w:val="center"/>
            </w:pPr>
            <w:r w:rsidRPr="00E444B3">
              <w:t>N/A</w:t>
            </w:r>
          </w:p>
        </w:tc>
        <w:tc>
          <w:tcPr>
            <w:tcW w:w="3118" w:type="dxa"/>
            <w:tcBorders>
              <w:top w:val="single" w:sz="4" w:space="0" w:color="C2D9BA"/>
              <w:bottom w:val="single" w:sz="4" w:space="0" w:color="C2D9BA"/>
            </w:tcBorders>
            <w:shd w:val="clear" w:color="auto" w:fill="auto"/>
          </w:tcPr>
          <w:p w14:paraId="64FDD309" w14:textId="77777777" w:rsidR="009B6B07" w:rsidRPr="00E444B3" w:rsidRDefault="009B6B07" w:rsidP="009B6B07">
            <w:pPr>
              <w:pStyle w:val="TableText"/>
            </w:pPr>
            <w:r>
              <w:t>No application received</w:t>
            </w:r>
          </w:p>
        </w:tc>
      </w:tr>
    </w:tbl>
    <w:bookmarkEnd w:id="377"/>
    <w:p w14:paraId="2A5E3901" w14:textId="77777777" w:rsidR="00C338E8" w:rsidRDefault="00B12E4F" w:rsidP="00EC2EFB">
      <w:pPr>
        <w:pStyle w:val="Note"/>
      </w:pPr>
      <w:r w:rsidRPr="00E444B3">
        <w:t>*</w:t>
      </w:r>
      <w:r>
        <w:tab/>
      </w:r>
      <w:r w:rsidRPr="00E444B3">
        <w:t>Funded without restriction in Australia. Indications from TGA</w:t>
      </w:r>
      <w:r>
        <w:t>-</w:t>
      </w:r>
      <w:r w:rsidRPr="00E444B3">
        <w:t>approved product information and eviQ</w:t>
      </w:r>
      <w:r>
        <w:t>.</w:t>
      </w:r>
    </w:p>
    <w:p w14:paraId="7BBDB68C" w14:textId="77777777" w:rsidR="00C338E8" w:rsidRDefault="00B12E4F" w:rsidP="00EC2EFB">
      <w:pPr>
        <w:pStyle w:val="Note"/>
      </w:pPr>
      <w:r>
        <w:t>**</w:t>
      </w:r>
      <w:r>
        <w:tab/>
      </w:r>
      <w:r w:rsidRPr="00E444B3">
        <w:t>No clinical assessment of the relevance of the comparator was made</w:t>
      </w:r>
      <w:r>
        <w:t>.</w:t>
      </w:r>
    </w:p>
    <w:p w14:paraId="38111B3C" w14:textId="77777777" w:rsidR="00C338E8" w:rsidRDefault="00B12E4F" w:rsidP="00EC2EFB">
      <w:pPr>
        <w:pStyle w:val="Note"/>
      </w:pPr>
      <w:r w:rsidRPr="00E444B3">
        <w:t>N/A: not available</w:t>
      </w:r>
      <w:r>
        <w:t>.</w:t>
      </w:r>
    </w:p>
    <w:p w14:paraId="034EA8BD" w14:textId="77777777" w:rsidR="00C338E8" w:rsidRDefault="00C338E8" w:rsidP="00EC2EFB"/>
    <w:p w14:paraId="7BAC0943" w14:textId="77777777" w:rsidR="00C338E8" w:rsidRDefault="006D7F10" w:rsidP="00B521E2">
      <w:pPr>
        <w:pStyle w:val="Heading2"/>
        <w:keepNext w:val="0"/>
        <w:pageBreakBefore/>
        <w:spacing w:before="0"/>
      </w:pPr>
      <w:bookmarkStart w:id="378" w:name="_Toc100739059"/>
      <w:bookmarkStart w:id="379" w:name="_Toc101618175"/>
      <w:r w:rsidRPr="00F3225E">
        <w:lastRenderedPageBreak/>
        <w:t xml:space="preserve">Appendix </w:t>
      </w:r>
      <w:r>
        <w:t>6</w:t>
      </w:r>
      <w:r w:rsidRPr="00F3225E">
        <w:t xml:space="preserve">: Results </w:t>
      </w:r>
      <w:r>
        <w:t xml:space="preserve">table </w:t>
      </w:r>
      <w:r w:rsidRPr="00F3225E">
        <w:t>from comparison with Ontario, Canada</w:t>
      </w:r>
      <w:bookmarkEnd w:id="378"/>
      <w:bookmarkEnd w:id="379"/>
    </w:p>
    <w:p w14:paraId="11EC4ECC" w14:textId="6EF34EBA" w:rsidR="00C338E8" w:rsidRDefault="006D7F10" w:rsidP="00B521E2">
      <w:pPr>
        <w:rPr>
          <w:lang w:eastAsia="en-NZ"/>
        </w:rPr>
      </w:pPr>
      <w:r>
        <w:rPr>
          <w:lang w:eastAsia="en-NZ"/>
        </w:rPr>
        <w:t xml:space="preserve">This appendix provides results from comparing the </w:t>
      </w:r>
      <w:r w:rsidRPr="00523370">
        <w:rPr>
          <w:lang w:eastAsia="en-NZ"/>
        </w:rPr>
        <w:t xml:space="preserve">list of medicine-indication pair gaps </w:t>
      </w:r>
      <w:r w:rsidR="00B75FD5">
        <w:rPr>
          <w:lang w:eastAsia="en-NZ"/>
        </w:rPr>
        <w:t>for solid tumours</w:t>
      </w:r>
      <w:r w:rsidRPr="00523370">
        <w:rPr>
          <w:lang w:eastAsia="en-NZ"/>
        </w:rPr>
        <w:t xml:space="preserve"> </w:t>
      </w:r>
      <w:r>
        <w:rPr>
          <w:lang w:eastAsia="en-NZ"/>
        </w:rPr>
        <w:t xml:space="preserve">in Aotearoa likely to have substantial clinical benefit </w:t>
      </w:r>
      <w:r w:rsidRPr="00523370">
        <w:rPr>
          <w:lang w:eastAsia="en-NZ"/>
        </w:rPr>
        <w:t xml:space="preserve">with </w:t>
      </w:r>
      <w:r>
        <w:rPr>
          <w:lang w:eastAsia="en-NZ"/>
        </w:rPr>
        <w:t>the same</w:t>
      </w:r>
      <w:r w:rsidRPr="00523370">
        <w:rPr>
          <w:lang w:eastAsia="en-NZ"/>
        </w:rPr>
        <w:t xml:space="preserve"> in Ontario, Canada.</w:t>
      </w:r>
      <w:r>
        <w:rPr>
          <w:lang w:eastAsia="en-NZ"/>
        </w:rPr>
        <w:t xml:space="preserve"> </w:t>
      </w:r>
      <w:hyperlink w:anchor="Appendix_6_Table_6point1" w:history="1">
        <w:r w:rsidR="00607890" w:rsidRPr="00607890">
          <w:rPr>
            <w:rStyle w:val="Hyperlink"/>
            <w:lang w:eastAsia="en-NZ"/>
          </w:rPr>
          <w:t>Table 6.1</w:t>
        </w:r>
      </w:hyperlink>
      <w:r>
        <w:rPr>
          <w:lang w:eastAsia="en-NZ"/>
        </w:rPr>
        <w:t xml:space="preserve"> outlines the funding status in Ontario for each gap.</w:t>
      </w:r>
    </w:p>
    <w:p w14:paraId="3197B177" w14:textId="77777777" w:rsidR="00C338E8" w:rsidRDefault="00C338E8" w:rsidP="00B521E2">
      <w:pPr>
        <w:rPr>
          <w:lang w:eastAsia="en-NZ"/>
        </w:rPr>
      </w:pPr>
    </w:p>
    <w:p w14:paraId="237FF567" w14:textId="77777777" w:rsidR="006D7F10" w:rsidRDefault="006D7F10" w:rsidP="00B521E2">
      <w:pPr>
        <w:pStyle w:val="Table"/>
      </w:pPr>
      <w:bookmarkStart w:id="380" w:name="_Toc101365616"/>
      <w:bookmarkStart w:id="381" w:name="Appendix_6_Table_6point1"/>
      <w:r w:rsidRPr="00E444B3">
        <w:t xml:space="preserve">Table </w:t>
      </w:r>
      <w:r>
        <w:t>6.1</w:t>
      </w:r>
      <w:r w:rsidRPr="00E444B3">
        <w:t xml:space="preserve">: </w:t>
      </w:r>
      <w:r>
        <w:t>C</w:t>
      </w:r>
      <w:r w:rsidRPr="00E444B3">
        <w:t>omparison with Ontario, Canada</w:t>
      </w:r>
      <w:bookmarkEnd w:id="38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3119"/>
        <w:gridCol w:w="2480"/>
        <w:gridCol w:w="2481"/>
      </w:tblGrid>
      <w:tr w:rsidR="000374A7" w:rsidRPr="000374A7" w14:paraId="0791778E" w14:textId="77777777" w:rsidTr="002669AD">
        <w:trPr>
          <w:cantSplit/>
          <w:tblHeader/>
        </w:trPr>
        <w:tc>
          <w:tcPr>
            <w:tcW w:w="3119" w:type="dxa"/>
            <w:tcBorders>
              <w:top w:val="nil"/>
              <w:bottom w:val="nil"/>
            </w:tcBorders>
            <w:shd w:val="clear" w:color="auto" w:fill="C2D9BA"/>
          </w:tcPr>
          <w:p w14:paraId="7EF63BB8" w14:textId="77777777" w:rsidR="000374A7" w:rsidRPr="000374A7" w:rsidRDefault="000374A7" w:rsidP="002669AD">
            <w:pPr>
              <w:pStyle w:val="TableText"/>
              <w:ind w:right="113"/>
              <w:rPr>
                <w:rFonts w:ascii="Times New Roman" w:hAnsi="Times New Roman"/>
                <w:b/>
                <w:lang w:eastAsia="en-NZ"/>
              </w:rPr>
            </w:pPr>
            <w:r w:rsidRPr="000374A7">
              <w:rPr>
                <w:b/>
                <w:lang w:eastAsia="en-NZ"/>
              </w:rPr>
              <w:t>Indication</w:t>
            </w:r>
          </w:p>
        </w:tc>
        <w:tc>
          <w:tcPr>
            <w:tcW w:w="2480" w:type="dxa"/>
            <w:tcBorders>
              <w:top w:val="nil"/>
              <w:bottom w:val="nil"/>
            </w:tcBorders>
            <w:shd w:val="clear" w:color="auto" w:fill="C2D9BA"/>
          </w:tcPr>
          <w:p w14:paraId="475DF0BD" w14:textId="77777777" w:rsidR="000374A7" w:rsidRPr="000374A7" w:rsidRDefault="000374A7" w:rsidP="002669AD">
            <w:pPr>
              <w:pStyle w:val="TableText"/>
              <w:ind w:right="113"/>
              <w:rPr>
                <w:rFonts w:ascii="Times New Roman" w:hAnsi="Times New Roman"/>
                <w:b/>
                <w:lang w:eastAsia="en-NZ"/>
              </w:rPr>
            </w:pPr>
            <w:r w:rsidRPr="000374A7">
              <w:rPr>
                <w:b/>
                <w:lang w:eastAsia="en-NZ"/>
              </w:rPr>
              <w:t>Medicine/regimen</w:t>
            </w:r>
          </w:p>
        </w:tc>
        <w:tc>
          <w:tcPr>
            <w:tcW w:w="2481" w:type="dxa"/>
            <w:tcBorders>
              <w:top w:val="nil"/>
              <w:bottom w:val="nil"/>
            </w:tcBorders>
            <w:shd w:val="clear" w:color="auto" w:fill="C2D9BA"/>
          </w:tcPr>
          <w:p w14:paraId="79E955E7" w14:textId="77777777" w:rsidR="000374A7" w:rsidRPr="000374A7" w:rsidRDefault="000374A7" w:rsidP="00181CD3">
            <w:pPr>
              <w:pStyle w:val="TableText"/>
              <w:rPr>
                <w:rFonts w:ascii="Times New Roman" w:hAnsi="Times New Roman"/>
                <w:b/>
                <w:lang w:eastAsia="en-NZ"/>
              </w:rPr>
            </w:pPr>
            <w:r w:rsidRPr="000374A7">
              <w:rPr>
                <w:b/>
                <w:lang w:eastAsia="en-NZ"/>
              </w:rPr>
              <w:t>Ontario funding status</w:t>
            </w:r>
          </w:p>
        </w:tc>
      </w:tr>
      <w:tr w:rsidR="000374A7" w:rsidRPr="00860E6D" w14:paraId="1CCBF7E3" w14:textId="77777777" w:rsidTr="002669AD">
        <w:trPr>
          <w:cantSplit/>
        </w:trPr>
        <w:tc>
          <w:tcPr>
            <w:tcW w:w="3119" w:type="dxa"/>
            <w:tcBorders>
              <w:top w:val="nil"/>
              <w:bottom w:val="single" w:sz="4" w:space="0" w:color="C2D9BA"/>
            </w:tcBorders>
            <w:shd w:val="clear" w:color="auto" w:fill="auto"/>
          </w:tcPr>
          <w:p w14:paraId="72A44724" w14:textId="117572B8" w:rsidR="000374A7" w:rsidRPr="00E444B3" w:rsidRDefault="000374A7" w:rsidP="002669AD">
            <w:pPr>
              <w:pStyle w:val="TableText"/>
              <w:ind w:right="113"/>
              <w:rPr>
                <w:rFonts w:ascii="Calibri" w:hAnsi="Calibri" w:cs="Calibri"/>
                <w:lang w:eastAsia="en-NZ"/>
              </w:rPr>
            </w:pPr>
            <w:r w:rsidRPr="00E444B3">
              <w:t>Breast cancer (early</w:t>
            </w:r>
            <w:r>
              <w:t>-stage, HER</w:t>
            </w:r>
            <w:r w:rsidR="00CE1F24">
              <w:noBreakHyphen/>
            </w:r>
            <w:r>
              <w:t>2</w:t>
            </w:r>
            <w:r w:rsidR="00CA7268">
              <w:t>+</w:t>
            </w:r>
            <w:r>
              <w:t>ve</w:t>
            </w:r>
            <w:r w:rsidRPr="00E444B3">
              <w:t xml:space="preserve">, adjuvant to </w:t>
            </w:r>
            <w:r>
              <w:t xml:space="preserve">neo-adjuvant trastuzumab with chemotherapy and </w:t>
            </w:r>
            <w:r w:rsidRPr="00E444B3">
              <w:t>surgery)</w:t>
            </w:r>
          </w:p>
        </w:tc>
        <w:tc>
          <w:tcPr>
            <w:tcW w:w="2480" w:type="dxa"/>
            <w:tcBorders>
              <w:top w:val="nil"/>
              <w:bottom w:val="single" w:sz="4" w:space="0" w:color="C2D9BA"/>
            </w:tcBorders>
            <w:shd w:val="clear" w:color="auto" w:fill="auto"/>
          </w:tcPr>
          <w:p w14:paraId="234A3800" w14:textId="77777777" w:rsidR="000374A7" w:rsidRPr="00E444B3" w:rsidRDefault="000374A7" w:rsidP="002669AD">
            <w:pPr>
              <w:pStyle w:val="TableText"/>
              <w:ind w:right="113"/>
              <w:rPr>
                <w:lang w:eastAsia="en-NZ"/>
              </w:rPr>
            </w:pPr>
            <w:r w:rsidRPr="00E444B3">
              <w:rPr>
                <w:lang w:eastAsia="en-NZ"/>
              </w:rPr>
              <w:t>Trastuzumab emtansine</w:t>
            </w:r>
          </w:p>
        </w:tc>
        <w:tc>
          <w:tcPr>
            <w:tcW w:w="2481" w:type="dxa"/>
            <w:tcBorders>
              <w:top w:val="nil"/>
              <w:bottom w:val="single" w:sz="4" w:space="0" w:color="C2D9BA"/>
            </w:tcBorders>
            <w:shd w:val="clear" w:color="auto" w:fill="auto"/>
          </w:tcPr>
          <w:p w14:paraId="71531EA8" w14:textId="77777777" w:rsidR="000374A7" w:rsidRPr="00E444B3" w:rsidRDefault="000374A7" w:rsidP="00181CD3">
            <w:pPr>
              <w:pStyle w:val="TableText"/>
              <w:rPr>
                <w:rFonts w:ascii="Times New Roman" w:hAnsi="Times New Roman"/>
                <w:lang w:eastAsia="en-NZ"/>
              </w:rPr>
            </w:pPr>
            <w:r>
              <w:rPr>
                <w:lang w:eastAsia="en-NZ"/>
              </w:rPr>
              <w:t>Funded (universally)</w:t>
            </w:r>
          </w:p>
        </w:tc>
      </w:tr>
      <w:tr w:rsidR="000374A7" w:rsidRPr="00066623" w14:paraId="06A61D71" w14:textId="77777777" w:rsidTr="002669AD">
        <w:trPr>
          <w:cantSplit/>
        </w:trPr>
        <w:tc>
          <w:tcPr>
            <w:tcW w:w="3119" w:type="dxa"/>
            <w:vMerge w:val="restart"/>
            <w:tcBorders>
              <w:top w:val="single" w:sz="4" w:space="0" w:color="C2D9BA"/>
            </w:tcBorders>
            <w:shd w:val="clear" w:color="auto" w:fill="auto"/>
          </w:tcPr>
          <w:p w14:paraId="57F185D2" w14:textId="77777777" w:rsidR="000374A7" w:rsidRPr="00E444B3" w:rsidRDefault="000374A7" w:rsidP="002669AD">
            <w:pPr>
              <w:pStyle w:val="TableText"/>
              <w:ind w:right="113"/>
              <w:rPr>
                <w:rFonts w:ascii="Calibri" w:hAnsi="Calibri" w:cs="Calibri"/>
                <w:lang w:eastAsia="en-NZ"/>
              </w:rPr>
            </w:pPr>
            <w:r w:rsidRPr="00E444B3">
              <w:t>Melanoma (stage III or IV, adjuvant to surgery)</w:t>
            </w:r>
          </w:p>
        </w:tc>
        <w:tc>
          <w:tcPr>
            <w:tcW w:w="2480" w:type="dxa"/>
            <w:tcBorders>
              <w:top w:val="single" w:sz="4" w:space="0" w:color="C2D9BA"/>
              <w:bottom w:val="nil"/>
            </w:tcBorders>
            <w:shd w:val="clear" w:color="auto" w:fill="auto"/>
          </w:tcPr>
          <w:p w14:paraId="67A7B8A1" w14:textId="77777777" w:rsidR="000374A7" w:rsidRDefault="000374A7" w:rsidP="002669AD">
            <w:pPr>
              <w:pStyle w:val="TableText"/>
              <w:ind w:right="113"/>
              <w:rPr>
                <w:lang w:eastAsia="en-NZ"/>
              </w:rPr>
            </w:pPr>
            <w:r w:rsidRPr="00E444B3">
              <w:rPr>
                <w:lang w:eastAsia="en-NZ"/>
              </w:rPr>
              <w:t>Nivolumab</w:t>
            </w:r>
          </w:p>
          <w:p w14:paraId="2862F58C" w14:textId="77777777" w:rsidR="000374A7" w:rsidRPr="00E444B3" w:rsidRDefault="000374A7" w:rsidP="002669AD">
            <w:pPr>
              <w:pStyle w:val="TableText"/>
              <w:ind w:right="113"/>
              <w:rPr>
                <w:lang w:eastAsia="en-NZ"/>
              </w:rPr>
            </w:pPr>
            <w:r>
              <w:rPr>
                <w:lang w:eastAsia="en-NZ"/>
              </w:rPr>
              <w:t>OR</w:t>
            </w:r>
          </w:p>
        </w:tc>
        <w:tc>
          <w:tcPr>
            <w:tcW w:w="2481" w:type="dxa"/>
            <w:tcBorders>
              <w:top w:val="single" w:sz="4" w:space="0" w:color="C2D9BA"/>
              <w:bottom w:val="nil"/>
            </w:tcBorders>
            <w:shd w:val="clear" w:color="auto" w:fill="auto"/>
          </w:tcPr>
          <w:p w14:paraId="7772B567" w14:textId="77777777" w:rsidR="000374A7" w:rsidRPr="00E444B3" w:rsidRDefault="000374A7" w:rsidP="000374A7">
            <w:pPr>
              <w:pStyle w:val="TableText"/>
              <w:rPr>
                <w:lang w:eastAsia="en-NZ"/>
              </w:rPr>
            </w:pPr>
            <w:r w:rsidRPr="00E444B3">
              <w:rPr>
                <w:lang w:eastAsia="en-NZ"/>
              </w:rPr>
              <w:t>Funded (universally)</w:t>
            </w:r>
          </w:p>
        </w:tc>
      </w:tr>
      <w:tr w:rsidR="000374A7" w:rsidRPr="00066623" w14:paraId="1966EB40" w14:textId="77777777" w:rsidTr="002669AD">
        <w:trPr>
          <w:cantSplit/>
        </w:trPr>
        <w:tc>
          <w:tcPr>
            <w:tcW w:w="3119" w:type="dxa"/>
            <w:vMerge/>
            <w:tcBorders>
              <w:bottom w:val="single" w:sz="4" w:space="0" w:color="C2D9BA"/>
            </w:tcBorders>
            <w:shd w:val="clear" w:color="auto" w:fill="auto"/>
          </w:tcPr>
          <w:p w14:paraId="2DC4369E" w14:textId="77777777" w:rsidR="000374A7" w:rsidRPr="00E444B3" w:rsidRDefault="000374A7" w:rsidP="002669AD">
            <w:pPr>
              <w:pStyle w:val="TableText"/>
              <w:ind w:right="113"/>
            </w:pPr>
          </w:p>
        </w:tc>
        <w:tc>
          <w:tcPr>
            <w:tcW w:w="2480" w:type="dxa"/>
            <w:tcBorders>
              <w:top w:val="nil"/>
              <w:bottom w:val="single" w:sz="4" w:space="0" w:color="C2D9BA"/>
            </w:tcBorders>
            <w:shd w:val="clear" w:color="auto" w:fill="auto"/>
          </w:tcPr>
          <w:p w14:paraId="5B701893" w14:textId="77777777" w:rsidR="000374A7" w:rsidRPr="00E444B3" w:rsidRDefault="000374A7" w:rsidP="002669AD">
            <w:pPr>
              <w:pStyle w:val="TableText"/>
              <w:ind w:right="113"/>
              <w:rPr>
                <w:lang w:eastAsia="en-NZ"/>
              </w:rPr>
            </w:pPr>
            <w:r w:rsidRPr="00E444B3">
              <w:rPr>
                <w:lang w:eastAsia="en-NZ"/>
              </w:rPr>
              <w:t>Pembrolizumab</w:t>
            </w:r>
          </w:p>
        </w:tc>
        <w:tc>
          <w:tcPr>
            <w:tcW w:w="2481" w:type="dxa"/>
            <w:tcBorders>
              <w:top w:val="nil"/>
              <w:bottom w:val="single" w:sz="4" w:space="0" w:color="C2D9BA"/>
            </w:tcBorders>
            <w:shd w:val="clear" w:color="auto" w:fill="auto"/>
          </w:tcPr>
          <w:p w14:paraId="766B9CAF" w14:textId="77777777" w:rsidR="000374A7" w:rsidRPr="00E444B3" w:rsidRDefault="000374A7" w:rsidP="000374A7">
            <w:pPr>
              <w:pStyle w:val="TableText"/>
              <w:rPr>
                <w:lang w:eastAsia="en-NZ"/>
              </w:rPr>
            </w:pPr>
            <w:r w:rsidRPr="00E444B3">
              <w:rPr>
                <w:lang w:eastAsia="en-NZ"/>
              </w:rPr>
              <w:t>Funded (universally)</w:t>
            </w:r>
          </w:p>
        </w:tc>
      </w:tr>
      <w:tr w:rsidR="000374A7" w:rsidRPr="00066623" w14:paraId="6C066119" w14:textId="77777777" w:rsidTr="002669AD">
        <w:trPr>
          <w:cantSplit/>
        </w:trPr>
        <w:tc>
          <w:tcPr>
            <w:tcW w:w="3119" w:type="dxa"/>
            <w:tcBorders>
              <w:top w:val="single" w:sz="4" w:space="0" w:color="C2D9BA"/>
              <w:bottom w:val="single" w:sz="4" w:space="0" w:color="C2D9BA"/>
            </w:tcBorders>
            <w:shd w:val="clear" w:color="auto" w:fill="auto"/>
          </w:tcPr>
          <w:p w14:paraId="1C5BAB87" w14:textId="77777777" w:rsidR="000374A7" w:rsidRPr="00E444B3" w:rsidRDefault="000374A7" w:rsidP="002669AD">
            <w:pPr>
              <w:pStyle w:val="TableText"/>
              <w:ind w:right="113"/>
              <w:rPr>
                <w:rFonts w:ascii="Calibri" w:hAnsi="Calibri" w:cs="Calibri"/>
                <w:lang w:eastAsia="en-NZ"/>
              </w:rPr>
            </w:pPr>
            <w:r w:rsidRPr="00E444B3">
              <w:t>Melanoma (stage III, BRAF +ve, adjuvant to surgery)</w:t>
            </w:r>
          </w:p>
        </w:tc>
        <w:tc>
          <w:tcPr>
            <w:tcW w:w="2480" w:type="dxa"/>
            <w:tcBorders>
              <w:top w:val="single" w:sz="4" w:space="0" w:color="C2D9BA"/>
              <w:bottom w:val="single" w:sz="4" w:space="0" w:color="C2D9BA"/>
            </w:tcBorders>
            <w:shd w:val="clear" w:color="auto" w:fill="auto"/>
          </w:tcPr>
          <w:p w14:paraId="03D01324" w14:textId="77777777" w:rsidR="000374A7" w:rsidRPr="00E444B3" w:rsidRDefault="000374A7" w:rsidP="002669AD">
            <w:pPr>
              <w:pStyle w:val="TableText"/>
              <w:ind w:right="113"/>
              <w:rPr>
                <w:lang w:eastAsia="en-NZ"/>
              </w:rPr>
            </w:pPr>
            <w:r w:rsidRPr="00E444B3">
              <w:rPr>
                <w:lang w:eastAsia="en-NZ"/>
              </w:rPr>
              <w:t>Dabrafenib + trametinib</w:t>
            </w:r>
          </w:p>
        </w:tc>
        <w:tc>
          <w:tcPr>
            <w:tcW w:w="2481" w:type="dxa"/>
            <w:tcBorders>
              <w:top w:val="single" w:sz="4" w:space="0" w:color="C2D9BA"/>
              <w:bottom w:val="single" w:sz="4" w:space="0" w:color="C2D9BA"/>
            </w:tcBorders>
            <w:shd w:val="clear" w:color="auto" w:fill="auto"/>
          </w:tcPr>
          <w:p w14:paraId="607B0F4A" w14:textId="77777777" w:rsidR="000374A7" w:rsidRPr="00E444B3" w:rsidRDefault="000374A7" w:rsidP="000374A7">
            <w:pPr>
              <w:pStyle w:val="TableText"/>
              <w:rPr>
                <w:lang w:eastAsia="en-NZ"/>
              </w:rPr>
            </w:pPr>
            <w:r w:rsidRPr="00E444B3">
              <w:rPr>
                <w:lang w:eastAsia="en-NZ"/>
              </w:rPr>
              <w:t>Funded (not universally)</w:t>
            </w:r>
          </w:p>
        </w:tc>
      </w:tr>
      <w:tr w:rsidR="000374A7" w:rsidRPr="00066623" w14:paraId="6E914DC0" w14:textId="77777777" w:rsidTr="002669AD">
        <w:trPr>
          <w:cantSplit/>
        </w:trPr>
        <w:tc>
          <w:tcPr>
            <w:tcW w:w="3119" w:type="dxa"/>
            <w:vMerge w:val="restart"/>
            <w:tcBorders>
              <w:top w:val="single" w:sz="4" w:space="0" w:color="C2D9BA"/>
            </w:tcBorders>
            <w:shd w:val="clear" w:color="auto" w:fill="auto"/>
          </w:tcPr>
          <w:p w14:paraId="4BC7E668" w14:textId="77777777" w:rsidR="000374A7" w:rsidRPr="00E444B3" w:rsidRDefault="000374A7" w:rsidP="002669AD">
            <w:pPr>
              <w:pStyle w:val="TableText"/>
              <w:ind w:right="113"/>
              <w:rPr>
                <w:rFonts w:ascii="Times New Roman" w:hAnsi="Times New Roman"/>
                <w:lang w:eastAsia="en-NZ"/>
              </w:rPr>
            </w:pPr>
            <w:r w:rsidRPr="00E444B3">
              <w:t>Lung cancer (</w:t>
            </w:r>
            <w:r>
              <w:t>non-small cell lung cancer (</w:t>
            </w:r>
            <w:r w:rsidRPr="00E444B3">
              <w:t>NSCLC</w:t>
            </w:r>
            <w:r>
              <w:t>)</w:t>
            </w:r>
            <w:r w:rsidRPr="00E444B3">
              <w:t xml:space="preserve">, stage IV, </w:t>
            </w:r>
            <w:r>
              <w:t>first-line</w:t>
            </w:r>
            <w:r w:rsidRPr="00E444B3">
              <w:t>)</w:t>
            </w:r>
          </w:p>
        </w:tc>
        <w:tc>
          <w:tcPr>
            <w:tcW w:w="2480" w:type="dxa"/>
            <w:tcBorders>
              <w:top w:val="single" w:sz="4" w:space="0" w:color="C2D9BA"/>
              <w:bottom w:val="nil"/>
            </w:tcBorders>
            <w:shd w:val="clear" w:color="auto" w:fill="auto"/>
          </w:tcPr>
          <w:p w14:paraId="4EDEF407" w14:textId="77777777" w:rsidR="000374A7" w:rsidRDefault="000374A7" w:rsidP="002669AD">
            <w:pPr>
              <w:pStyle w:val="TableText"/>
              <w:ind w:right="113"/>
              <w:rPr>
                <w:lang w:eastAsia="en-NZ"/>
              </w:rPr>
            </w:pPr>
            <w:r w:rsidRPr="00E444B3">
              <w:rPr>
                <w:lang w:eastAsia="en-NZ"/>
              </w:rPr>
              <w:t>Atezolizumab + bevacizumab</w:t>
            </w:r>
          </w:p>
          <w:p w14:paraId="5A449EFC" w14:textId="77777777" w:rsidR="000374A7" w:rsidRPr="00E444B3" w:rsidRDefault="000374A7" w:rsidP="002669AD">
            <w:pPr>
              <w:pStyle w:val="TableText"/>
              <w:ind w:right="113"/>
              <w:rPr>
                <w:lang w:eastAsia="en-NZ"/>
              </w:rPr>
            </w:pPr>
            <w:r>
              <w:rPr>
                <w:lang w:eastAsia="en-NZ"/>
              </w:rPr>
              <w:t>OR</w:t>
            </w:r>
          </w:p>
        </w:tc>
        <w:tc>
          <w:tcPr>
            <w:tcW w:w="2481" w:type="dxa"/>
            <w:tcBorders>
              <w:top w:val="single" w:sz="4" w:space="0" w:color="C2D9BA"/>
              <w:bottom w:val="nil"/>
            </w:tcBorders>
            <w:shd w:val="clear" w:color="auto" w:fill="auto"/>
          </w:tcPr>
          <w:p w14:paraId="15941FB6" w14:textId="77777777" w:rsidR="000374A7" w:rsidRPr="00E444B3" w:rsidRDefault="000374A7" w:rsidP="000374A7">
            <w:pPr>
              <w:pStyle w:val="TableText"/>
              <w:rPr>
                <w:lang w:eastAsia="en-NZ"/>
              </w:rPr>
            </w:pPr>
            <w:r w:rsidRPr="00E444B3">
              <w:rPr>
                <w:lang w:eastAsia="en-NZ"/>
              </w:rPr>
              <w:t>Not funded</w:t>
            </w:r>
          </w:p>
        </w:tc>
      </w:tr>
      <w:tr w:rsidR="000374A7" w:rsidRPr="00066623" w14:paraId="7066D793" w14:textId="77777777" w:rsidTr="002669AD">
        <w:trPr>
          <w:cantSplit/>
        </w:trPr>
        <w:tc>
          <w:tcPr>
            <w:tcW w:w="3119" w:type="dxa"/>
            <w:vMerge/>
            <w:shd w:val="clear" w:color="auto" w:fill="auto"/>
          </w:tcPr>
          <w:p w14:paraId="5760A746" w14:textId="77777777" w:rsidR="000374A7" w:rsidRPr="00E444B3" w:rsidRDefault="000374A7" w:rsidP="002669AD">
            <w:pPr>
              <w:pStyle w:val="TableText"/>
              <w:ind w:right="113"/>
            </w:pPr>
          </w:p>
        </w:tc>
        <w:tc>
          <w:tcPr>
            <w:tcW w:w="2480" w:type="dxa"/>
            <w:tcBorders>
              <w:top w:val="nil"/>
              <w:bottom w:val="nil"/>
            </w:tcBorders>
            <w:shd w:val="clear" w:color="auto" w:fill="auto"/>
          </w:tcPr>
          <w:p w14:paraId="31FE1141" w14:textId="77777777" w:rsidR="000374A7" w:rsidRDefault="000374A7" w:rsidP="002669AD">
            <w:pPr>
              <w:pStyle w:val="TableText"/>
              <w:ind w:right="113"/>
              <w:rPr>
                <w:lang w:eastAsia="en-NZ"/>
              </w:rPr>
            </w:pPr>
            <w:r w:rsidRPr="00E444B3">
              <w:rPr>
                <w:lang w:eastAsia="en-NZ"/>
              </w:rPr>
              <w:t>Nivolumab + ipilimumab</w:t>
            </w:r>
          </w:p>
          <w:p w14:paraId="7AE8C8DF" w14:textId="77777777" w:rsidR="000374A7" w:rsidRPr="00E444B3" w:rsidRDefault="000374A7" w:rsidP="002669AD">
            <w:pPr>
              <w:pStyle w:val="TableText"/>
              <w:ind w:right="113"/>
              <w:rPr>
                <w:lang w:eastAsia="en-NZ"/>
              </w:rPr>
            </w:pPr>
            <w:r>
              <w:rPr>
                <w:lang w:eastAsia="en-NZ"/>
              </w:rPr>
              <w:t>OR</w:t>
            </w:r>
          </w:p>
        </w:tc>
        <w:tc>
          <w:tcPr>
            <w:tcW w:w="2481" w:type="dxa"/>
            <w:tcBorders>
              <w:top w:val="nil"/>
              <w:bottom w:val="nil"/>
            </w:tcBorders>
            <w:shd w:val="clear" w:color="auto" w:fill="auto"/>
          </w:tcPr>
          <w:p w14:paraId="4F6F002E" w14:textId="77777777" w:rsidR="000374A7" w:rsidRPr="00E444B3" w:rsidRDefault="000374A7" w:rsidP="000374A7">
            <w:pPr>
              <w:pStyle w:val="TableText"/>
              <w:rPr>
                <w:lang w:eastAsia="en-NZ"/>
              </w:rPr>
            </w:pPr>
            <w:r w:rsidRPr="00E444B3">
              <w:rPr>
                <w:lang w:eastAsia="en-NZ"/>
              </w:rPr>
              <w:t>Not funded (pharmaceutical company provides compassionate supply)</w:t>
            </w:r>
          </w:p>
        </w:tc>
      </w:tr>
      <w:tr w:rsidR="000374A7" w:rsidRPr="00066623" w14:paraId="30D9980F" w14:textId="77777777" w:rsidTr="002669AD">
        <w:trPr>
          <w:cantSplit/>
        </w:trPr>
        <w:tc>
          <w:tcPr>
            <w:tcW w:w="3119" w:type="dxa"/>
            <w:vMerge/>
            <w:tcBorders>
              <w:bottom w:val="single" w:sz="4" w:space="0" w:color="C2D9BA"/>
            </w:tcBorders>
            <w:shd w:val="clear" w:color="auto" w:fill="auto"/>
          </w:tcPr>
          <w:p w14:paraId="34690DB3" w14:textId="77777777" w:rsidR="000374A7" w:rsidRPr="00E444B3" w:rsidRDefault="000374A7" w:rsidP="002669AD">
            <w:pPr>
              <w:pStyle w:val="TableText"/>
              <w:ind w:right="113"/>
            </w:pPr>
          </w:p>
        </w:tc>
        <w:tc>
          <w:tcPr>
            <w:tcW w:w="2480" w:type="dxa"/>
            <w:tcBorders>
              <w:top w:val="nil"/>
              <w:bottom w:val="single" w:sz="4" w:space="0" w:color="C2D9BA"/>
            </w:tcBorders>
            <w:shd w:val="clear" w:color="auto" w:fill="auto"/>
          </w:tcPr>
          <w:p w14:paraId="3D3F6A10" w14:textId="77777777" w:rsidR="000374A7" w:rsidRPr="00E444B3" w:rsidRDefault="000374A7" w:rsidP="002669AD">
            <w:pPr>
              <w:pStyle w:val="TableText"/>
              <w:ind w:right="113"/>
              <w:rPr>
                <w:lang w:eastAsia="en-NZ"/>
              </w:rPr>
            </w:pPr>
            <w:r>
              <w:rPr>
                <w:lang w:eastAsia="en-NZ"/>
              </w:rPr>
              <w:t>Pembrolizumab</w:t>
            </w:r>
          </w:p>
        </w:tc>
        <w:tc>
          <w:tcPr>
            <w:tcW w:w="2481" w:type="dxa"/>
            <w:tcBorders>
              <w:top w:val="nil"/>
              <w:bottom w:val="single" w:sz="4" w:space="0" w:color="C2D9BA"/>
            </w:tcBorders>
            <w:shd w:val="clear" w:color="auto" w:fill="auto"/>
          </w:tcPr>
          <w:p w14:paraId="44D4C014" w14:textId="77777777" w:rsidR="000374A7" w:rsidRPr="00E444B3" w:rsidRDefault="000374A7" w:rsidP="000374A7">
            <w:pPr>
              <w:pStyle w:val="TableText"/>
              <w:rPr>
                <w:lang w:eastAsia="en-NZ"/>
              </w:rPr>
            </w:pPr>
            <w:r>
              <w:rPr>
                <w:lang w:eastAsia="en-NZ"/>
              </w:rPr>
              <w:t>Funded (universally)</w:t>
            </w:r>
          </w:p>
        </w:tc>
      </w:tr>
      <w:tr w:rsidR="000374A7" w:rsidRPr="00066623" w14:paraId="6AA86393" w14:textId="77777777" w:rsidTr="002669AD">
        <w:trPr>
          <w:cantSplit/>
        </w:trPr>
        <w:tc>
          <w:tcPr>
            <w:tcW w:w="3119" w:type="dxa"/>
            <w:tcBorders>
              <w:top w:val="single" w:sz="4" w:space="0" w:color="C2D9BA"/>
              <w:bottom w:val="single" w:sz="4" w:space="0" w:color="C2D9BA"/>
            </w:tcBorders>
            <w:shd w:val="clear" w:color="auto" w:fill="auto"/>
          </w:tcPr>
          <w:p w14:paraId="26AB344B" w14:textId="77777777" w:rsidR="000374A7" w:rsidRPr="00E444B3" w:rsidRDefault="000374A7" w:rsidP="002669AD">
            <w:pPr>
              <w:pStyle w:val="TableText"/>
              <w:ind w:right="113"/>
              <w:rPr>
                <w:rFonts w:ascii="Calibri" w:hAnsi="Calibri" w:cs="Calibri"/>
                <w:lang w:eastAsia="en-NZ"/>
              </w:rPr>
            </w:pPr>
            <w:r w:rsidRPr="00E444B3">
              <w:t>Lung cancer</w:t>
            </w:r>
            <w:r>
              <w:t xml:space="preserve"> (non-small cell lung cancer (NSCLC), s</w:t>
            </w:r>
            <w:r w:rsidRPr="001336C7">
              <w:t>tage III, consolidation after chemo</w:t>
            </w:r>
            <w:r>
              <w:t>radio</w:t>
            </w:r>
            <w:r w:rsidRPr="001336C7">
              <w:t>therapy</w:t>
            </w:r>
            <w:r>
              <w:t>)</w:t>
            </w:r>
          </w:p>
        </w:tc>
        <w:tc>
          <w:tcPr>
            <w:tcW w:w="2480" w:type="dxa"/>
            <w:tcBorders>
              <w:top w:val="single" w:sz="4" w:space="0" w:color="C2D9BA"/>
              <w:bottom w:val="single" w:sz="4" w:space="0" w:color="C2D9BA"/>
            </w:tcBorders>
            <w:shd w:val="clear" w:color="auto" w:fill="auto"/>
          </w:tcPr>
          <w:p w14:paraId="1101E79B" w14:textId="77777777" w:rsidR="000374A7" w:rsidRPr="00E444B3" w:rsidRDefault="000374A7" w:rsidP="002669AD">
            <w:pPr>
              <w:pStyle w:val="TableText"/>
              <w:ind w:right="113"/>
              <w:rPr>
                <w:lang w:eastAsia="en-NZ"/>
              </w:rPr>
            </w:pPr>
            <w:r>
              <w:rPr>
                <w:lang w:eastAsia="en-NZ"/>
              </w:rPr>
              <w:t>Durvalumab</w:t>
            </w:r>
          </w:p>
        </w:tc>
        <w:tc>
          <w:tcPr>
            <w:tcW w:w="2481" w:type="dxa"/>
            <w:tcBorders>
              <w:top w:val="single" w:sz="4" w:space="0" w:color="C2D9BA"/>
              <w:bottom w:val="single" w:sz="4" w:space="0" w:color="C2D9BA"/>
            </w:tcBorders>
            <w:shd w:val="clear" w:color="auto" w:fill="auto"/>
          </w:tcPr>
          <w:p w14:paraId="111EEE4B" w14:textId="77777777" w:rsidR="000374A7" w:rsidRPr="00E444B3" w:rsidRDefault="000374A7" w:rsidP="000374A7">
            <w:pPr>
              <w:pStyle w:val="TableText"/>
              <w:rPr>
                <w:lang w:eastAsia="en-NZ"/>
              </w:rPr>
            </w:pPr>
            <w:r w:rsidRPr="00E444B3">
              <w:rPr>
                <w:lang w:eastAsia="en-NZ"/>
              </w:rPr>
              <w:t>Funded (universally)</w:t>
            </w:r>
          </w:p>
        </w:tc>
      </w:tr>
      <w:tr w:rsidR="000374A7" w:rsidRPr="00066623" w14:paraId="6A61453C" w14:textId="77777777" w:rsidTr="002669AD">
        <w:trPr>
          <w:cantSplit/>
        </w:trPr>
        <w:tc>
          <w:tcPr>
            <w:tcW w:w="3119" w:type="dxa"/>
            <w:vMerge w:val="restart"/>
            <w:tcBorders>
              <w:top w:val="single" w:sz="4" w:space="0" w:color="C2D9BA"/>
            </w:tcBorders>
            <w:shd w:val="clear" w:color="auto" w:fill="auto"/>
          </w:tcPr>
          <w:p w14:paraId="5900DE4F" w14:textId="77777777" w:rsidR="000374A7" w:rsidRPr="00E444B3" w:rsidRDefault="000374A7" w:rsidP="002669AD">
            <w:pPr>
              <w:pStyle w:val="TableText"/>
              <w:ind w:right="113"/>
              <w:rPr>
                <w:rFonts w:ascii="Times New Roman" w:hAnsi="Times New Roman"/>
                <w:lang w:eastAsia="en-NZ"/>
              </w:rPr>
            </w:pPr>
            <w:r w:rsidRPr="00E444B3">
              <w:t>Lung cancer (</w:t>
            </w:r>
            <w:r>
              <w:t>non-small cell lung cancer (</w:t>
            </w:r>
            <w:r w:rsidRPr="00E444B3">
              <w:t>NSCLC</w:t>
            </w:r>
            <w:r>
              <w:t>)</w:t>
            </w:r>
            <w:r w:rsidRPr="00E444B3">
              <w:t>, locally advanced or metastatic,</w:t>
            </w:r>
            <w:r>
              <w:t xml:space="preserve"> second-line</w:t>
            </w:r>
            <w:r w:rsidRPr="00E444B3">
              <w:t>)</w:t>
            </w:r>
          </w:p>
        </w:tc>
        <w:tc>
          <w:tcPr>
            <w:tcW w:w="2480" w:type="dxa"/>
            <w:tcBorders>
              <w:top w:val="single" w:sz="4" w:space="0" w:color="C2D9BA"/>
              <w:bottom w:val="nil"/>
            </w:tcBorders>
            <w:shd w:val="clear" w:color="auto" w:fill="auto"/>
          </w:tcPr>
          <w:p w14:paraId="115D69B9" w14:textId="77777777" w:rsidR="000374A7" w:rsidRPr="00E444B3" w:rsidRDefault="000374A7" w:rsidP="002669AD">
            <w:pPr>
              <w:pStyle w:val="TableText"/>
              <w:ind w:right="113"/>
              <w:rPr>
                <w:rFonts w:ascii="Times New Roman" w:hAnsi="Times New Roman"/>
                <w:lang w:eastAsia="en-NZ"/>
              </w:rPr>
            </w:pPr>
            <w:r w:rsidRPr="00E444B3">
              <w:rPr>
                <w:lang w:eastAsia="en-NZ"/>
              </w:rPr>
              <w:t>Atezolizumab</w:t>
            </w:r>
          </w:p>
        </w:tc>
        <w:tc>
          <w:tcPr>
            <w:tcW w:w="2481" w:type="dxa"/>
            <w:tcBorders>
              <w:top w:val="single" w:sz="4" w:space="0" w:color="C2D9BA"/>
              <w:bottom w:val="nil"/>
            </w:tcBorders>
            <w:shd w:val="clear" w:color="auto" w:fill="auto"/>
          </w:tcPr>
          <w:p w14:paraId="47AD9CB2" w14:textId="77777777" w:rsidR="000374A7" w:rsidRPr="00E444B3" w:rsidRDefault="000374A7" w:rsidP="000374A7">
            <w:pPr>
              <w:pStyle w:val="TableText"/>
              <w:rPr>
                <w:rFonts w:ascii="Times New Roman" w:hAnsi="Times New Roman"/>
                <w:lang w:eastAsia="en-NZ"/>
              </w:rPr>
            </w:pPr>
            <w:r w:rsidRPr="00E444B3">
              <w:rPr>
                <w:lang w:eastAsia="en-NZ"/>
              </w:rPr>
              <w:t>Funded (universally)</w:t>
            </w:r>
          </w:p>
        </w:tc>
      </w:tr>
      <w:tr w:rsidR="000374A7" w:rsidRPr="00066623" w14:paraId="36B2C344" w14:textId="77777777" w:rsidTr="002669AD">
        <w:trPr>
          <w:cantSplit/>
        </w:trPr>
        <w:tc>
          <w:tcPr>
            <w:tcW w:w="3119" w:type="dxa"/>
            <w:vMerge/>
            <w:tcBorders>
              <w:bottom w:val="single" w:sz="4" w:space="0" w:color="C2D9BA"/>
            </w:tcBorders>
            <w:shd w:val="clear" w:color="auto" w:fill="auto"/>
          </w:tcPr>
          <w:p w14:paraId="30A9F034" w14:textId="77777777" w:rsidR="000374A7" w:rsidRPr="00E444B3" w:rsidRDefault="000374A7" w:rsidP="002669AD">
            <w:pPr>
              <w:pStyle w:val="TableText"/>
              <w:ind w:right="113"/>
            </w:pPr>
          </w:p>
        </w:tc>
        <w:tc>
          <w:tcPr>
            <w:tcW w:w="2480" w:type="dxa"/>
            <w:tcBorders>
              <w:top w:val="nil"/>
              <w:bottom w:val="single" w:sz="4" w:space="0" w:color="C2D9BA"/>
            </w:tcBorders>
            <w:shd w:val="clear" w:color="auto" w:fill="auto"/>
          </w:tcPr>
          <w:p w14:paraId="0270D9D4" w14:textId="77777777" w:rsidR="000374A7" w:rsidRPr="00E444B3" w:rsidRDefault="000374A7" w:rsidP="002669AD">
            <w:pPr>
              <w:pStyle w:val="TableText"/>
              <w:ind w:right="113"/>
              <w:rPr>
                <w:lang w:eastAsia="en-NZ"/>
              </w:rPr>
            </w:pPr>
            <w:r>
              <w:rPr>
                <w:lang w:eastAsia="en-NZ"/>
              </w:rPr>
              <w:t>Nivolumab</w:t>
            </w:r>
          </w:p>
        </w:tc>
        <w:tc>
          <w:tcPr>
            <w:tcW w:w="2481" w:type="dxa"/>
            <w:tcBorders>
              <w:top w:val="nil"/>
              <w:bottom w:val="single" w:sz="4" w:space="0" w:color="C2D9BA"/>
            </w:tcBorders>
            <w:shd w:val="clear" w:color="auto" w:fill="auto"/>
          </w:tcPr>
          <w:p w14:paraId="3E6152D0" w14:textId="77777777" w:rsidR="000374A7" w:rsidRPr="00E444B3" w:rsidRDefault="000374A7" w:rsidP="000374A7">
            <w:pPr>
              <w:pStyle w:val="TableText"/>
              <w:rPr>
                <w:lang w:eastAsia="en-NZ"/>
              </w:rPr>
            </w:pPr>
            <w:r>
              <w:rPr>
                <w:lang w:eastAsia="en-NZ"/>
              </w:rPr>
              <w:t>Funded (universally)</w:t>
            </w:r>
          </w:p>
        </w:tc>
      </w:tr>
      <w:tr w:rsidR="000374A7" w:rsidRPr="00066623" w14:paraId="44DE0E43" w14:textId="77777777" w:rsidTr="002669AD">
        <w:trPr>
          <w:cantSplit/>
        </w:trPr>
        <w:tc>
          <w:tcPr>
            <w:tcW w:w="3119" w:type="dxa"/>
            <w:tcBorders>
              <w:top w:val="single" w:sz="4" w:space="0" w:color="C2D9BA"/>
              <w:bottom w:val="single" w:sz="4" w:space="0" w:color="C2D9BA"/>
            </w:tcBorders>
            <w:shd w:val="clear" w:color="auto" w:fill="auto"/>
          </w:tcPr>
          <w:p w14:paraId="02F9E00C" w14:textId="77777777" w:rsidR="000374A7" w:rsidRPr="00E444B3" w:rsidRDefault="000374A7" w:rsidP="002669AD">
            <w:pPr>
              <w:pStyle w:val="TableText"/>
              <w:ind w:right="113"/>
              <w:rPr>
                <w:rFonts w:ascii="Calibri" w:hAnsi="Calibri" w:cs="Calibri"/>
                <w:lang w:eastAsia="en-NZ"/>
              </w:rPr>
            </w:pPr>
            <w:r w:rsidRPr="00E444B3">
              <w:t>Lung cancer (</w:t>
            </w:r>
            <w:r>
              <w:t>non-small cell lung cancer (NSCLC), stage IIIb or IV, EGFR+ve, first-line</w:t>
            </w:r>
            <w:r w:rsidRPr="00E444B3">
              <w:t>)</w:t>
            </w:r>
          </w:p>
        </w:tc>
        <w:tc>
          <w:tcPr>
            <w:tcW w:w="2480" w:type="dxa"/>
            <w:tcBorders>
              <w:top w:val="single" w:sz="4" w:space="0" w:color="C2D9BA"/>
              <w:bottom w:val="single" w:sz="4" w:space="0" w:color="C2D9BA"/>
            </w:tcBorders>
            <w:shd w:val="clear" w:color="auto" w:fill="auto"/>
          </w:tcPr>
          <w:p w14:paraId="4714E5C1" w14:textId="77777777" w:rsidR="000374A7" w:rsidRPr="00E444B3" w:rsidRDefault="000374A7" w:rsidP="002669AD">
            <w:pPr>
              <w:pStyle w:val="TableText"/>
              <w:ind w:right="113"/>
              <w:rPr>
                <w:lang w:eastAsia="en-NZ"/>
              </w:rPr>
            </w:pPr>
            <w:r w:rsidRPr="00E444B3">
              <w:rPr>
                <w:lang w:eastAsia="en-NZ"/>
              </w:rPr>
              <w:t>Osimertinib</w:t>
            </w:r>
          </w:p>
        </w:tc>
        <w:tc>
          <w:tcPr>
            <w:tcW w:w="2481" w:type="dxa"/>
            <w:tcBorders>
              <w:top w:val="single" w:sz="4" w:space="0" w:color="C2D9BA"/>
              <w:bottom w:val="single" w:sz="4" w:space="0" w:color="C2D9BA"/>
            </w:tcBorders>
            <w:shd w:val="clear" w:color="auto" w:fill="auto"/>
          </w:tcPr>
          <w:p w14:paraId="07BEFC34" w14:textId="77777777" w:rsidR="000374A7" w:rsidRPr="00E444B3" w:rsidRDefault="000374A7" w:rsidP="000374A7">
            <w:pPr>
              <w:pStyle w:val="TableText"/>
              <w:rPr>
                <w:lang w:eastAsia="en-NZ"/>
              </w:rPr>
            </w:pPr>
            <w:r w:rsidRPr="00E444B3">
              <w:rPr>
                <w:lang w:eastAsia="en-NZ"/>
              </w:rPr>
              <w:t>Funded (not universally)</w:t>
            </w:r>
          </w:p>
        </w:tc>
      </w:tr>
      <w:tr w:rsidR="000374A7" w:rsidRPr="00066623" w14:paraId="533256A0" w14:textId="77777777" w:rsidTr="002669AD">
        <w:trPr>
          <w:cantSplit/>
        </w:trPr>
        <w:tc>
          <w:tcPr>
            <w:tcW w:w="3119" w:type="dxa"/>
            <w:tcBorders>
              <w:top w:val="single" w:sz="4" w:space="0" w:color="C2D9BA"/>
              <w:bottom w:val="single" w:sz="4" w:space="0" w:color="C2D9BA"/>
            </w:tcBorders>
            <w:shd w:val="clear" w:color="auto" w:fill="auto"/>
          </w:tcPr>
          <w:p w14:paraId="15D60319" w14:textId="77777777" w:rsidR="000374A7" w:rsidRPr="00E444B3" w:rsidRDefault="000374A7" w:rsidP="002669AD">
            <w:pPr>
              <w:pStyle w:val="TableText"/>
              <w:ind w:right="113"/>
              <w:rPr>
                <w:rFonts w:ascii="Calibri" w:hAnsi="Calibri" w:cs="Calibri"/>
                <w:lang w:eastAsia="en-NZ"/>
              </w:rPr>
            </w:pPr>
            <w:r w:rsidRPr="00E444B3">
              <w:t>Lung cancer (</w:t>
            </w:r>
            <w:r>
              <w:t>non-small cell lung cancer (NSCLC), stage IIIb or IV, EGFR+ve T790M mutation, second-line</w:t>
            </w:r>
            <w:r w:rsidRPr="00E444B3">
              <w:t>)</w:t>
            </w:r>
          </w:p>
        </w:tc>
        <w:tc>
          <w:tcPr>
            <w:tcW w:w="2480" w:type="dxa"/>
            <w:tcBorders>
              <w:top w:val="single" w:sz="4" w:space="0" w:color="C2D9BA"/>
              <w:bottom w:val="single" w:sz="4" w:space="0" w:color="C2D9BA"/>
            </w:tcBorders>
            <w:shd w:val="clear" w:color="auto" w:fill="auto"/>
          </w:tcPr>
          <w:p w14:paraId="4E4198FE" w14:textId="77777777" w:rsidR="000374A7" w:rsidRPr="00E444B3" w:rsidRDefault="000374A7" w:rsidP="002669AD">
            <w:pPr>
              <w:pStyle w:val="TableText"/>
              <w:ind w:right="113"/>
              <w:rPr>
                <w:lang w:eastAsia="en-NZ"/>
              </w:rPr>
            </w:pPr>
            <w:r w:rsidRPr="00E444B3">
              <w:rPr>
                <w:lang w:eastAsia="en-NZ"/>
              </w:rPr>
              <w:t>Osimertinib</w:t>
            </w:r>
          </w:p>
        </w:tc>
        <w:tc>
          <w:tcPr>
            <w:tcW w:w="2481" w:type="dxa"/>
            <w:tcBorders>
              <w:top w:val="single" w:sz="4" w:space="0" w:color="C2D9BA"/>
              <w:bottom w:val="single" w:sz="4" w:space="0" w:color="C2D9BA"/>
            </w:tcBorders>
            <w:shd w:val="clear" w:color="auto" w:fill="auto"/>
          </w:tcPr>
          <w:p w14:paraId="459729FB" w14:textId="77777777" w:rsidR="000374A7" w:rsidRPr="00E444B3" w:rsidRDefault="000374A7" w:rsidP="000374A7">
            <w:pPr>
              <w:pStyle w:val="TableText"/>
              <w:rPr>
                <w:lang w:eastAsia="en-NZ"/>
              </w:rPr>
            </w:pPr>
            <w:r w:rsidRPr="00E444B3">
              <w:rPr>
                <w:lang w:eastAsia="en-NZ"/>
              </w:rPr>
              <w:t>Funded (not universally)</w:t>
            </w:r>
          </w:p>
        </w:tc>
      </w:tr>
      <w:tr w:rsidR="002909C4" w:rsidRPr="00066623" w14:paraId="13E0BD4D" w14:textId="77777777" w:rsidTr="002669AD">
        <w:trPr>
          <w:cantSplit/>
        </w:trPr>
        <w:tc>
          <w:tcPr>
            <w:tcW w:w="3119" w:type="dxa"/>
            <w:vMerge w:val="restart"/>
            <w:tcBorders>
              <w:top w:val="single" w:sz="4" w:space="0" w:color="C2D9BA"/>
            </w:tcBorders>
            <w:shd w:val="clear" w:color="auto" w:fill="auto"/>
          </w:tcPr>
          <w:p w14:paraId="4D322D2A" w14:textId="77777777" w:rsidR="002909C4" w:rsidRPr="00E444B3" w:rsidRDefault="002909C4" w:rsidP="002669AD">
            <w:pPr>
              <w:pStyle w:val="TableText"/>
              <w:ind w:right="113"/>
              <w:rPr>
                <w:rFonts w:ascii="Calibri" w:hAnsi="Calibri" w:cs="Calibri"/>
                <w:lang w:eastAsia="en-NZ"/>
              </w:rPr>
            </w:pPr>
            <w:r>
              <w:t>Bowel cancer (colorectal cancer (CRC), metastatic, RAS wild-type, first-line</w:t>
            </w:r>
          </w:p>
        </w:tc>
        <w:tc>
          <w:tcPr>
            <w:tcW w:w="2480" w:type="dxa"/>
            <w:tcBorders>
              <w:top w:val="single" w:sz="4" w:space="0" w:color="C2D9BA"/>
              <w:bottom w:val="nil"/>
            </w:tcBorders>
            <w:shd w:val="clear" w:color="auto" w:fill="auto"/>
          </w:tcPr>
          <w:p w14:paraId="18FB7376" w14:textId="77777777" w:rsidR="002909C4" w:rsidRPr="002909C4" w:rsidRDefault="002909C4" w:rsidP="002669AD">
            <w:pPr>
              <w:pStyle w:val="TableText"/>
              <w:ind w:right="113"/>
            </w:pPr>
            <w:r w:rsidRPr="00E444B3">
              <w:rPr>
                <w:lang w:eastAsia="en-NZ"/>
              </w:rPr>
              <w:t>Cetuximab</w:t>
            </w:r>
          </w:p>
          <w:p w14:paraId="0189291F" w14:textId="77777777" w:rsidR="002909C4" w:rsidRPr="00E444B3" w:rsidRDefault="002909C4" w:rsidP="002669AD">
            <w:pPr>
              <w:pStyle w:val="TableText"/>
              <w:ind w:right="113"/>
              <w:rPr>
                <w:rFonts w:ascii="Times New Roman" w:hAnsi="Times New Roman"/>
                <w:lang w:eastAsia="en-NZ"/>
              </w:rPr>
            </w:pPr>
            <w:r>
              <w:rPr>
                <w:lang w:eastAsia="en-NZ"/>
              </w:rPr>
              <w:t>OR</w:t>
            </w:r>
          </w:p>
        </w:tc>
        <w:tc>
          <w:tcPr>
            <w:tcW w:w="2481" w:type="dxa"/>
            <w:tcBorders>
              <w:top w:val="single" w:sz="4" w:space="0" w:color="C2D9BA"/>
              <w:bottom w:val="nil"/>
            </w:tcBorders>
            <w:shd w:val="clear" w:color="auto" w:fill="auto"/>
          </w:tcPr>
          <w:p w14:paraId="05FB4708" w14:textId="77777777" w:rsidR="002909C4" w:rsidRPr="00E444B3" w:rsidRDefault="002909C4" w:rsidP="002909C4">
            <w:pPr>
              <w:pStyle w:val="TableText"/>
              <w:rPr>
                <w:lang w:eastAsia="en-NZ"/>
              </w:rPr>
            </w:pPr>
            <w:r w:rsidRPr="00E444B3">
              <w:rPr>
                <w:lang w:eastAsia="en-NZ"/>
              </w:rPr>
              <w:t>Not funded</w:t>
            </w:r>
          </w:p>
        </w:tc>
      </w:tr>
      <w:tr w:rsidR="002909C4" w:rsidRPr="00066623" w14:paraId="463BC213" w14:textId="77777777" w:rsidTr="002669AD">
        <w:trPr>
          <w:cantSplit/>
        </w:trPr>
        <w:tc>
          <w:tcPr>
            <w:tcW w:w="3119" w:type="dxa"/>
            <w:vMerge/>
            <w:tcBorders>
              <w:bottom w:val="single" w:sz="4" w:space="0" w:color="C2D9BA"/>
            </w:tcBorders>
            <w:shd w:val="clear" w:color="auto" w:fill="auto"/>
          </w:tcPr>
          <w:p w14:paraId="2FCAE535" w14:textId="77777777" w:rsidR="002909C4" w:rsidRDefault="002909C4" w:rsidP="002669AD">
            <w:pPr>
              <w:pStyle w:val="TableText"/>
              <w:ind w:right="113"/>
            </w:pPr>
          </w:p>
        </w:tc>
        <w:tc>
          <w:tcPr>
            <w:tcW w:w="2480" w:type="dxa"/>
            <w:tcBorders>
              <w:top w:val="nil"/>
              <w:bottom w:val="single" w:sz="4" w:space="0" w:color="C2D9BA"/>
            </w:tcBorders>
            <w:shd w:val="clear" w:color="auto" w:fill="auto"/>
          </w:tcPr>
          <w:p w14:paraId="15C7FF99" w14:textId="77777777" w:rsidR="002909C4" w:rsidRPr="00E444B3" w:rsidRDefault="002909C4" w:rsidP="002669AD">
            <w:pPr>
              <w:pStyle w:val="TableText"/>
              <w:ind w:right="113"/>
              <w:rPr>
                <w:lang w:eastAsia="en-NZ"/>
              </w:rPr>
            </w:pPr>
            <w:r w:rsidRPr="00E444B3">
              <w:rPr>
                <w:lang w:eastAsia="en-NZ"/>
              </w:rPr>
              <w:t>Panitumumab</w:t>
            </w:r>
          </w:p>
        </w:tc>
        <w:tc>
          <w:tcPr>
            <w:tcW w:w="2481" w:type="dxa"/>
            <w:tcBorders>
              <w:top w:val="nil"/>
              <w:bottom w:val="single" w:sz="4" w:space="0" w:color="C2D9BA"/>
            </w:tcBorders>
            <w:shd w:val="clear" w:color="auto" w:fill="auto"/>
          </w:tcPr>
          <w:p w14:paraId="34A5585D" w14:textId="77777777" w:rsidR="002909C4" w:rsidRPr="00E444B3" w:rsidRDefault="002909C4" w:rsidP="002909C4">
            <w:pPr>
              <w:pStyle w:val="TableText"/>
              <w:rPr>
                <w:lang w:eastAsia="en-NZ"/>
              </w:rPr>
            </w:pPr>
            <w:r w:rsidRPr="00E444B3">
              <w:rPr>
                <w:lang w:eastAsia="en-NZ"/>
              </w:rPr>
              <w:t>Not funded</w:t>
            </w:r>
          </w:p>
        </w:tc>
      </w:tr>
      <w:tr w:rsidR="000374A7" w:rsidRPr="00066623" w14:paraId="2DCCAE69" w14:textId="77777777" w:rsidTr="002669AD">
        <w:trPr>
          <w:cantSplit/>
        </w:trPr>
        <w:tc>
          <w:tcPr>
            <w:tcW w:w="3119" w:type="dxa"/>
            <w:tcBorders>
              <w:top w:val="single" w:sz="4" w:space="0" w:color="C2D9BA"/>
              <w:bottom w:val="single" w:sz="4" w:space="0" w:color="C2D9BA"/>
            </w:tcBorders>
            <w:shd w:val="clear" w:color="auto" w:fill="auto"/>
          </w:tcPr>
          <w:p w14:paraId="7D912804" w14:textId="77777777" w:rsidR="000374A7" w:rsidRPr="0037436A" w:rsidRDefault="000374A7" w:rsidP="002669AD">
            <w:pPr>
              <w:pStyle w:val="TableText"/>
              <w:keepNext/>
              <w:keepLines/>
              <w:ind w:right="113"/>
            </w:pPr>
            <w:r>
              <w:lastRenderedPageBreak/>
              <w:t>Bowel cancer (colorectal cancer (CRC), metastatic, RAS wild-type, second-line)</w:t>
            </w:r>
          </w:p>
        </w:tc>
        <w:tc>
          <w:tcPr>
            <w:tcW w:w="2480" w:type="dxa"/>
            <w:tcBorders>
              <w:top w:val="single" w:sz="4" w:space="0" w:color="C2D9BA"/>
              <w:bottom w:val="single" w:sz="4" w:space="0" w:color="C2D9BA"/>
            </w:tcBorders>
            <w:shd w:val="clear" w:color="auto" w:fill="auto"/>
          </w:tcPr>
          <w:p w14:paraId="44B92ED8" w14:textId="77777777" w:rsidR="000374A7" w:rsidRPr="00E444B3" w:rsidRDefault="000374A7" w:rsidP="002669AD">
            <w:pPr>
              <w:pStyle w:val="TableText"/>
              <w:keepNext/>
              <w:keepLines/>
              <w:ind w:right="113"/>
              <w:rPr>
                <w:lang w:eastAsia="en-NZ"/>
              </w:rPr>
            </w:pPr>
            <w:r>
              <w:rPr>
                <w:lang w:eastAsia="en-NZ"/>
              </w:rPr>
              <w:t>Cetuximab</w:t>
            </w:r>
          </w:p>
        </w:tc>
        <w:tc>
          <w:tcPr>
            <w:tcW w:w="2481" w:type="dxa"/>
            <w:tcBorders>
              <w:top w:val="single" w:sz="4" w:space="0" w:color="C2D9BA"/>
              <w:bottom w:val="single" w:sz="4" w:space="0" w:color="C2D9BA"/>
            </w:tcBorders>
            <w:shd w:val="clear" w:color="auto" w:fill="auto"/>
          </w:tcPr>
          <w:p w14:paraId="0F46E505" w14:textId="77777777" w:rsidR="000374A7" w:rsidRPr="00E444B3" w:rsidRDefault="000374A7" w:rsidP="002669AD">
            <w:pPr>
              <w:pStyle w:val="TableText"/>
              <w:keepNext/>
              <w:keepLines/>
              <w:rPr>
                <w:lang w:eastAsia="en-NZ"/>
              </w:rPr>
            </w:pPr>
            <w:r w:rsidRPr="00E444B3">
              <w:rPr>
                <w:lang w:eastAsia="en-NZ"/>
              </w:rPr>
              <w:t>Funded (universally) – only after 2 prior lines of treatment (ie</w:t>
            </w:r>
            <w:r w:rsidR="002909C4">
              <w:rPr>
                <w:lang w:eastAsia="en-NZ"/>
              </w:rPr>
              <w:t>,</w:t>
            </w:r>
            <w:r w:rsidRPr="00E444B3">
              <w:rPr>
                <w:lang w:eastAsia="en-NZ"/>
              </w:rPr>
              <w:t xml:space="preserve"> 3</w:t>
            </w:r>
            <w:r w:rsidR="002909C4">
              <w:rPr>
                <w:lang w:eastAsia="en-NZ"/>
              </w:rPr>
              <w:t>rd</w:t>
            </w:r>
            <w:r w:rsidRPr="00E444B3">
              <w:rPr>
                <w:lang w:eastAsia="en-NZ"/>
              </w:rPr>
              <w:t xml:space="preserve"> line)</w:t>
            </w:r>
          </w:p>
        </w:tc>
      </w:tr>
      <w:tr w:rsidR="000374A7" w:rsidRPr="00066623" w14:paraId="10322FBF" w14:textId="77777777" w:rsidTr="002669AD">
        <w:trPr>
          <w:cantSplit/>
        </w:trPr>
        <w:tc>
          <w:tcPr>
            <w:tcW w:w="3119" w:type="dxa"/>
            <w:tcBorders>
              <w:top w:val="single" w:sz="4" w:space="0" w:color="C2D9BA"/>
              <w:bottom w:val="single" w:sz="4" w:space="0" w:color="C2D9BA"/>
            </w:tcBorders>
            <w:shd w:val="clear" w:color="auto" w:fill="auto"/>
          </w:tcPr>
          <w:p w14:paraId="204BB176" w14:textId="77777777" w:rsidR="000374A7" w:rsidRPr="00E444B3" w:rsidRDefault="000374A7" w:rsidP="002669AD">
            <w:pPr>
              <w:pStyle w:val="TableText"/>
              <w:ind w:right="113"/>
              <w:rPr>
                <w:rFonts w:ascii="Calibri" w:hAnsi="Calibri" w:cs="Calibri"/>
                <w:lang w:eastAsia="en-NZ"/>
              </w:rPr>
            </w:pPr>
            <w:r>
              <w:t>Liver cancer (h</w:t>
            </w:r>
            <w:r w:rsidRPr="00E444B3">
              <w:t>epatocellular carcinoma (</w:t>
            </w:r>
            <w:r>
              <w:t>HCC), a</w:t>
            </w:r>
            <w:r w:rsidRPr="00C30F81">
              <w:t>dvanced</w:t>
            </w:r>
            <w:r>
              <w:t xml:space="preserve"> (unresectable),</w:t>
            </w:r>
            <w:r w:rsidRPr="00C30F81">
              <w:t xml:space="preserve"> Barcelona Clinic Liver Cancer </w:t>
            </w:r>
            <w:proofErr w:type="gramStart"/>
            <w:r>
              <w:t>s</w:t>
            </w:r>
            <w:r w:rsidRPr="00C30F81">
              <w:t>tage</w:t>
            </w:r>
            <w:proofErr w:type="gramEnd"/>
            <w:r w:rsidRPr="00C30F81">
              <w:t xml:space="preserve"> B</w:t>
            </w:r>
            <w:r>
              <w:t xml:space="preserve"> or </w:t>
            </w:r>
            <w:r w:rsidRPr="00C30F81">
              <w:t>C</w:t>
            </w:r>
            <w:r>
              <w:t>, first-line</w:t>
            </w:r>
            <w:r w:rsidRPr="00E444B3">
              <w:t>)</w:t>
            </w:r>
          </w:p>
        </w:tc>
        <w:tc>
          <w:tcPr>
            <w:tcW w:w="2480" w:type="dxa"/>
            <w:tcBorders>
              <w:top w:val="single" w:sz="4" w:space="0" w:color="C2D9BA"/>
              <w:bottom w:val="single" w:sz="4" w:space="0" w:color="C2D9BA"/>
            </w:tcBorders>
            <w:shd w:val="clear" w:color="auto" w:fill="auto"/>
          </w:tcPr>
          <w:p w14:paraId="12E3C201" w14:textId="77777777" w:rsidR="000374A7" w:rsidRPr="00E444B3" w:rsidRDefault="000374A7" w:rsidP="002669AD">
            <w:pPr>
              <w:pStyle w:val="TableText"/>
              <w:ind w:right="113"/>
              <w:rPr>
                <w:lang w:eastAsia="en-NZ"/>
              </w:rPr>
            </w:pPr>
            <w:r w:rsidRPr="00E444B3">
              <w:rPr>
                <w:lang w:eastAsia="en-NZ"/>
              </w:rPr>
              <w:t>Atezolizumab + bevacizumab</w:t>
            </w:r>
          </w:p>
        </w:tc>
        <w:tc>
          <w:tcPr>
            <w:tcW w:w="2481" w:type="dxa"/>
            <w:tcBorders>
              <w:top w:val="single" w:sz="4" w:space="0" w:color="C2D9BA"/>
              <w:bottom w:val="single" w:sz="4" w:space="0" w:color="C2D9BA"/>
            </w:tcBorders>
            <w:shd w:val="clear" w:color="auto" w:fill="auto"/>
          </w:tcPr>
          <w:p w14:paraId="46965470" w14:textId="77777777" w:rsidR="000374A7" w:rsidRPr="00E444B3" w:rsidRDefault="002669AD" w:rsidP="00181CD3">
            <w:pPr>
              <w:pStyle w:val="TableText"/>
              <w:rPr>
                <w:lang w:eastAsia="en-NZ"/>
              </w:rPr>
            </w:pPr>
            <w:r>
              <w:rPr>
                <w:lang w:eastAsia="en-NZ"/>
              </w:rPr>
              <w:t>Not funded</w:t>
            </w:r>
          </w:p>
        </w:tc>
      </w:tr>
      <w:tr w:rsidR="000374A7" w:rsidRPr="00066623" w14:paraId="726D8E5F" w14:textId="77777777" w:rsidTr="002669AD">
        <w:trPr>
          <w:cantSplit/>
        </w:trPr>
        <w:tc>
          <w:tcPr>
            <w:tcW w:w="3119" w:type="dxa"/>
            <w:tcBorders>
              <w:top w:val="single" w:sz="4" w:space="0" w:color="C2D9BA"/>
              <w:bottom w:val="single" w:sz="4" w:space="0" w:color="C2D9BA"/>
            </w:tcBorders>
            <w:shd w:val="clear" w:color="auto" w:fill="auto"/>
          </w:tcPr>
          <w:p w14:paraId="705E6ACE" w14:textId="77777777" w:rsidR="000374A7" w:rsidRPr="00E444B3" w:rsidRDefault="000374A7" w:rsidP="002669AD">
            <w:pPr>
              <w:pStyle w:val="TableText"/>
              <w:ind w:right="113"/>
              <w:rPr>
                <w:rFonts w:ascii="Calibri" w:hAnsi="Calibri" w:cs="Calibri"/>
                <w:lang w:eastAsia="en-NZ"/>
              </w:rPr>
            </w:pPr>
            <w:r>
              <w:t>Kidney cancer</w:t>
            </w:r>
            <w:r w:rsidRPr="00E444B3">
              <w:t xml:space="preserve"> (</w:t>
            </w:r>
            <w:r>
              <w:t>renal cell carcinoma (RCC), clear cell variant, stage IV, intermediate/poor risk, first</w:t>
            </w:r>
            <w:r w:rsidR="002669AD">
              <w:noBreakHyphen/>
            </w:r>
            <w:r>
              <w:t>line</w:t>
            </w:r>
            <w:r w:rsidRPr="00E444B3">
              <w:t>)</w:t>
            </w:r>
          </w:p>
        </w:tc>
        <w:tc>
          <w:tcPr>
            <w:tcW w:w="2480" w:type="dxa"/>
            <w:tcBorders>
              <w:top w:val="single" w:sz="4" w:space="0" w:color="C2D9BA"/>
              <w:bottom w:val="single" w:sz="4" w:space="0" w:color="C2D9BA"/>
            </w:tcBorders>
            <w:shd w:val="clear" w:color="auto" w:fill="auto"/>
          </w:tcPr>
          <w:p w14:paraId="7134586B" w14:textId="77777777" w:rsidR="000374A7" w:rsidRPr="00E444B3" w:rsidRDefault="002669AD" w:rsidP="002669AD">
            <w:pPr>
              <w:pStyle w:val="TableText"/>
              <w:ind w:right="113"/>
              <w:rPr>
                <w:lang w:eastAsia="en-NZ"/>
              </w:rPr>
            </w:pPr>
            <w:r>
              <w:rPr>
                <w:lang w:eastAsia="en-NZ"/>
              </w:rPr>
              <w:t>Nivolumab + ipilimumab</w:t>
            </w:r>
          </w:p>
        </w:tc>
        <w:tc>
          <w:tcPr>
            <w:tcW w:w="2481" w:type="dxa"/>
            <w:tcBorders>
              <w:top w:val="single" w:sz="4" w:space="0" w:color="C2D9BA"/>
              <w:bottom w:val="single" w:sz="4" w:space="0" w:color="C2D9BA"/>
            </w:tcBorders>
            <w:shd w:val="clear" w:color="auto" w:fill="auto"/>
          </w:tcPr>
          <w:p w14:paraId="0030FD2E" w14:textId="77777777" w:rsidR="000374A7" w:rsidRPr="00E444B3" w:rsidRDefault="000374A7" w:rsidP="002669AD">
            <w:pPr>
              <w:pStyle w:val="TableText"/>
              <w:rPr>
                <w:lang w:eastAsia="en-NZ"/>
              </w:rPr>
            </w:pPr>
            <w:r w:rsidRPr="00E444B3">
              <w:rPr>
                <w:lang w:eastAsia="en-NZ"/>
              </w:rPr>
              <w:t>Funded (universally)</w:t>
            </w:r>
          </w:p>
        </w:tc>
      </w:tr>
      <w:tr w:rsidR="000374A7" w:rsidRPr="00066623" w14:paraId="1C1B72B6" w14:textId="77777777" w:rsidTr="002669AD">
        <w:trPr>
          <w:cantSplit/>
        </w:trPr>
        <w:tc>
          <w:tcPr>
            <w:tcW w:w="3119" w:type="dxa"/>
            <w:tcBorders>
              <w:top w:val="single" w:sz="4" w:space="0" w:color="C2D9BA"/>
              <w:bottom w:val="single" w:sz="4" w:space="0" w:color="C2D9BA"/>
            </w:tcBorders>
            <w:shd w:val="clear" w:color="auto" w:fill="auto"/>
          </w:tcPr>
          <w:p w14:paraId="6FFBC959" w14:textId="77777777" w:rsidR="000374A7" w:rsidRPr="00E444B3" w:rsidRDefault="000374A7" w:rsidP="002669AD">
            <w:pPr>
              <w:pStyle w:val="TableText"/>
              <w:ind w:right="113"/>
              <w:rPr>
                <w:rFonts w:ascii="Calibri" w:hAnsi="Calibri" w:cs="Calibri"/>
                <w:lang w:eastAsia="en-NZ"/>
              </w:rPr>
            </w:pPr>
            <w:r>
              <w:t>Kidney cancer (r</w:t>
            </w:r>
            <w:r w:rsidRPr="00E444B3">
              <w:t>enal cell carcinoma</w:t>
            </w:r>
            <w:r>
              <w:t xml:space="preserve"> (RCC) clear cell variant</w:t>
            </w:r>
            <w:r w:rsidRPr="00E444B3">
              <w:t xml:space="preserve">, </w:t>
            </w:r>
            <w:r>
              <w:t>stage IV, second-line</w:t>
            </w:r>
            <w:r w:rsidRPr="00E444B3">
              <w:t>)</w:t>
            </w:r>
          </w:p>
        </w:tc>
        <w:tc>
          <w:tcPr>
            <w:tcW w:w="2480" w:type="dxa"/>
            <w:tcBorders>
              <w:top w:val="single" w:sz="4" w:space="0" w:color="C2D9BA"/>
              <w:bottom w:val="single" w:sz="4" w:space="0" w:color="C2D9BA"/>
            </w:tcBorders>
            <w:shd w:val="clear" w:color="auto" w:fill="auto"/>
          </w:tcPr>
          <w:p w14:paraId="296846B5" w14:textId="77777777" w:rsidR="000374A7" w:rsidRPr="00E444B3" w:rsidRDefault="002669AD" w:rsidP="002669AD">
            <w:pPr>
              <w:pStyle w:val="TableText"/>
              <w:ind w:right="113"/>
              <w:rPr>
                <w:lang w:eastAsia="en-NZ"/>
              </w:rPr>
            </w:pPr>
            <w:r>
              <w:rPr>
                <w:lang w:eastAsia="en-NZ"/>
              </w:rPr>
              <w:t>Nivolumab</w:t>
            </w:r>
          </w:p>
        </w:tc>
        <w:tc>
          <w:tcPr>
            <w:tcW w:w="2481" w:type="dxa"/>
            <w:tcBorders>
              <w:top w:val="single" w:sz="4" w:space="0" w:color="C2D9BA"/>
              <w:bottom w:val="single" w:sz="4" w:space="0" w:color="C2D9BA"/>
            </w:tcBorders>
            <w:shd w:val="clear" w:color="auto" w:fill="auto"/>
          </w:tcPr>
          <w:p w14:paraId="206D4C79" w14:textId="77777777" w:rsidR="000374A7" w:rsidRPr="00E444B3" w:rsidRDefault="002669AD" w:rsidP="00181CD3">
            <w:pPr>
              <w:pStyle w:val="TableText"/>
              <w:rPr>
                <w:lang w:eastAsia="en-NZ"/>
              </w:rPr>
            </w:pPr>
            <w:r>
              <w:rPr>
                <w:lang w:eastAsia="en-NZ"/>
              </w:rPr>
              <w:t>Funded (universally)</w:t>
            </w:r>
          </w:p>
        </w:tc>
      </w:tr>
      <w:tr w:rsidR="000374A7" w:rsidRPr="00066623" w14:paraId="5B6DE097" w14:textId="77777777" w:rsidTr="002669AD">
        <w:trPr>
          <w:cantSplit/>
        </w:trPr>
        <w:tc>
          <w:tcPr>
            <w:tcW w:w="3119" w:type="dxa"/>
            <w:tcBorders>
              <w:top w:val="single" w:sz="4" w:space="0" w:color="C2D9BA"/>
              <w:bottom w:val="single" w:sz="4" w:space="0" w:color="C2D9BA"/>
            </w:tcBorders>
            <w:shd w:val="clear" w:color="auto" w:fill="auto"/>
          </w:tcPr>
          <w:p w14:paraId="640C5ECC" w14:textId="77777777" w:rsidR="000374A7" w:rsidRPr="00E444B3" w:rsidRDefault="000374A7" w:rsidP="002669AD">
            <w:pPr>
              <w:pStyle w:val="TableText"/>
              <w:ind w:right="113"/>
              <w:rPr>
                <w:rFonts w:ascii="Calibri" w:hAnsi="Calibri" w:cs="Calibri"/>
                <w:lang w:eastAsia="en-NZ"/>
              </w:rPr>
            </w:pPr>
            <w:r>
              <w:t>Kidney cancer (r</w:t>
            </w:r>
            <w:r w:rsidRPr="00E444B3">
              <w:t>enal cell carcinoma</w:t>
            </w:r>
            <w:r>
              <w:t xml:space="preserve"> (RCC), clear cell variant, stage IV, second-line)</w:t>
            </w:r>
          </w:p>
        </w:tc>
        <w:tc>
          <w:tcPr>
            <w:tcW w:w="2480" w:type="dxa"/>
            <w:tcBorders>
              <w:top w:val="single" w:sz="4" w:space="0" w:color="C2D9BA"/>
              <w:bottom w:val="single" w:sz="4" w:space="0" w:color="C2D9BA"/>
            </w:tcBorders>
            <w:shd w:val="clear" w:color="auto" w:fill="auto"/>
          </w:tcPr>
          <w:p w14:paraId="499D982B" w14:textId="77777777" w:rsidR="000374A7" w:rsidRPr="00E444B3" w:rsidRDefault="002669AD" w:rsidP="002669AD">
            <w:pPr>
              <w:pStyle w:val="TableText"/>
              <w:ind w:right="113"/>
              <w:rPr>
                <w:lang w:eastAsia="en-NZ"/>
              </w:rPr>
            </w:pPr>
            <w:r>
              <w:rPr>
                <w:lang w:eastAsia="en-NZ"/>
              </w:rPr>
              <w:t>Axitinib</w:t>
            </w:r>
          </w:p>
        </w:tc>
        <w:tc>
          <w:tcPr>
            <w:tcW w:w="2481" w:type="dxa"/>
            <w:tcBorders>
              <w:top w:val="single" w:sz="4" w:space="0" w:color="C2D9BA"/>
              <w:bottom w:val="single" w:sz="4" w:space="0" w:color="C2D9BA"/>
            </w:tcBorders>
            <w:shd w:val="clear" w:color="auto" w:fill="auto"/>
          </w:tcPr>
          <w:p w14:paraId="3DE37E37" w14:textId="77777777" w:rsidR="000374A7" w:rsidRPr="00E444B3" w:rsidRDefault="000374A7" w:rsidP="002669AD">
            <w:pPr>
              <w:pStyle w:val="TableText"/>
              <w:rPr>
                <w:lang w:eastAsia="en-NZ"/>
              </w:rPr>
            </w:pPr>
            <w:r w:rsidRPr="00E444B3">
              <w:rPr>
                <w:lang w:eastAsia="en-NZ"/>
              </w:rPr>
              <w:t>Funded (not universally)</w:t>
            </w:r>
          </w:p>
        </w:tc>
      </w:tr>
      <w:tr w:rsidR="000374A7" w:rsidRPr="00066623" w14:paraId="41C505CC" w14:textId="77777777" w:rsidTr="002669AD">
        <w:trPr>
          <w:cantSplit/>
        </w:trPr>
        <w:tc>
          <w:tcPr>
            <w:tcW w:w="3119" w:type="dxa"/>
            <w:tcBorders>
              <w:top w:val="single" w:sz="4" w:space="0" w:color="C2D9BA"/>
              <w:bottom w:val="single" w:sz="4" w:space="0" w:color="C2D9BA"/>
            </w:tcBorders>
            <w:shd w:val="clear" w:color="auto" w:fill="auto"/>
          </w:tcPr>
          <w:p w14:paraId="214DEE2E" w14:textId="77777777" w:rsidR="000374A7" w:rsidRPr="00E444B3" w:rsidRDefault="000374A7" w:rsidP="002669AD">
            <w:pPr>
              <w:pStyle w:val="TableText"/>
              <w:ind w:right="113"/>
              <w:rPr>
                <w:rFonts w:ascii="Times New Roman" w:hAnsi="Times New Roman"/>
                <w:lang w:eastAsia="en-NZ"/>
              </w:rPr>
            </w:pPr>
            <w:r>
              <w:t>Ovarian cancer (</w:t>
            </w:r>
            <w:r w:rsidRPr="00E444B3">
              <w:t>Epithelial ovarian, fallopian tube or primary peritoneal cancer, BRCA +ve</w:t>
            </w:r>
            <w:r>
              <w:t xml:space="preserve"> [germline and/or somatic], first-lineline maintenance</w:t>
            </w:r>
            <w:r w:rsidRPr="00E444B3">
              <w:t>)</w:t>
            </w:r>
          </w:p>
        </w:tc>
        <w:tc>
          <w:tcPr>
            <w:tcW w:w="2480" w:type="dxa"/>
            <w:tcBorders>
              <w:top w:val="single" w:sz="4" w:space="0" w:color="C2D9BA"/>
              <w:bottom w:val="single" w:sz="4" w:space="0" w:color="C2D9BA"/>
            </w:tcBorders>
            <w:shd w:val="clear" w:color="auto" w:fill="auto"/>
          </w:tcPr>
          <w:p w14:paraId="45B70EB6" w14:textId="77777777" w:rsidR="000374A7" w:rsidRPr="00E444B3" w:rsidRDefault="002669AD" w:rsidP="002669AD">
            <w:pPr>
              <w:pStyle w:val="TableText"/>
              <w:ind w:right="113"/>
              <w:rPr>
                <w:rFonts w:ascii="Times New Roman" w:hAnsi="Times New Roman"/>
                <w:lang w:eastAsia="en-NZ"/>
              </w:rPr>
            </w:pPr>
            <w:r>
              <w:rPr>
                <w:lang w:eastAsia="en-NZ"/>
              </w:rPr>
              <w:t>Olaparib</w:t>
            </w:r>
          </w:p>
        </w:tc>
        <w:tc>
          <w:tcPr>
            <w:tcW w:w="2481" w:type="dxa"/>
            <w:tcBorders>
              <w:top w:val="single" w:sz="4" w:space="0" w:color="C2D9BA"/>
              <w:bottom w:val="single" w:sz="4" w:space="0" w:color="C2D9BA"/>
            </w:tcBorders>
            <w:shd w:val="clear" w:color="auto" w:fill="auto"/>
          </w:tcPr>
          <w:p w14:paraId="1ABC3835" w14:textId="77777777" w:rsidR="000374A7" w:rsidRPr="00E444B3" w:rsidRDefault="000374A7" w:rsidP="002669AD">
            <w:pPr>
              <w:pStyle w:val="TableText"/>
              <w:rPr>
                <w:rFonts w:ascii="Times New Roman" w:hAnsi="Times New Roman"/>
                <w:lang w:eastAsia="en-NZ"/>
              </w:rPr>
            </w:pPr>
            <w:r w:rsidRPr="00E444B3">
              <w:rPr>
                <w:lang w:eastAsia="en-NZ"/>
              </w:rPr>
              <w:t>Funded (not universally)</w:t>
            </w:r>
          </w:p>
        </w:tc>
      </w:tr>
      <w:tr w:rsidR="000374A7" w:rsidRPr="00066623" w14:paraId="32BBAC04" w14:textId="77777777" w:rsidTr="002669AD">
        <w:trPr>
          <w:cantSplit/>
        </w:trPr>
        <w:tc>
          <w:tcPr>
            <w:tcW w:w="3119" w:type="dxa"/>
            <w:tcBorders>
              <w:top w:val="single" w:sz="4" w:space="0" w:color="C2D9BA"/>
              <w:bottom w:val="single" w:sz="4" w:space="0" w:color="C2D9BA"/>
            </w:tcBorders>
            <w:shd w:val="clear" w:color="auto" w:fill="auto"/>
          </w:tcPr>
          <w:p w14:paraId="3E7C33F5" w14:textId="77777777" w:rsidR="000374A7" w:rsidRPr="00E444B3" w:rsidRDefault="000374A7" w:rsidP="002669AD">
            <w:pPr>
              <w:pStyle w:val="TableText"/>
              <w:ind w:right="113"/>
              <w:rPr>
                <w:rFonts w:ascii="Calibri" w:hAnsi="Calibri" w:cs="Calibri"/>
                <w:lang w:eastAsia="en-NZ"/>
              </w:rPr>
            </w:pPr>
            <w:r>
              <w:t>Ovarian cancer (e</w:t>
            </w:r>
            <w:r w:rsidRPr="00E444B3">
              <w:t>pithelial ovarian, fallopian tube or primary peritoneal cancer</w:t>
            </w:r>
            <w:r>
              <w:t>, second-line)</w:t>
            </w:r>
          </w:p>
        </w:tc>
        <w:tc>
          <w:tcPr>
            <w:tcW w:w="2480" w:type="dxa"/>
            <w:tcBorders>
              <w:top w:val="single" w:sz="4" w:space="0" w:color="C2D9BA"/>
              <w:bottom w:val="single" w:sz="4" w:space="0" w:color="C2D9BA"/>
            </w:tcBorders>
            <w:shd w:val="clear" w:color="auto" w:fill="auto"/>
          </w:tcPr>
          <w:p w14:paraId="3DE21778" w14:textId="77777777" w:rsidR="000374A7" w:rsidRPr="00E444B3" w:rsidRDefault="000374A7" w:rsidP="002669AD">
            <w:pPr>
              <w:pStyle w:val="TableText"/>
              <w:ind w:right="113"/>
              <w:rPr>
                <w:lang w:eastAsia="en-NZ"/>
              </w:rPr>
            </w:pPr>
            <w:r w:rsidRPr="00E444B3">
              <w:rPr>
                <w:lang w:eastAsia="en-NZ"/>
              </w:rPr>
              <w:t>Bevacizumab</w:t>
            </w:r>
          </w:p>
        </w:tc>
        <w:tc>
          <w:tcPr>
            <w:tcW w:w="2481" w:type="dxa"/>
            <w:tcBorders>
              <w:top w:val="single" w:sz="4" w:space="0" w:color="C2D9BA"/>
              <w:bottom w:val="single" w:sz="4" w:space="0" w:color="C2D9BA"/>
            </w:tcBorders>
            <w:shd w:val="clear" w:color="auto" w:fill="auto"/>
          </w:tcPr>
          <w:p w14:paraId="25AB2BCA" w14:textId="77777777" w:rsidR="000374A7" w:rsidRPr="00E444B3" w:rsidRDefault="002669AD" w:rsidP="00181CD3">
            <w:pPr>
              <w:pStyle w:val="TableText"/>
              <w:rPr>
                <w:lang w:eastAsia="en-NZ"/>
              </w:rPr>
            </w:pPr>
            <w:r>
              <w:rPr>
                <w:lang w:eastAsia="en-NZ"/>
              </w:rPr>
              <w:t>Funded (universally)</w:t>
            </w:r>
          </w:p>
        </w:tc>
      </w:tr>
      <w:tr w:rsidR="000374A7" w:rsidRPr="00066623" w14:paraId="06171B92" w14:textId="77777777" w:rsidTr="002669AD">
        <w:trPr>
          <w:cantSplit/>
        </w:trPr>
        <w:tc>
          <w:tcPr>
            <w:tcW w:w="3119" w:type="dxa"/>
            <w:tcBorders>
              <w:top w:val="single" w:sz="4" w:space="0" w:color="C2D9BA"/>
              <w:bottom w:val="single" w:sz="4" w:space="0" w:color="C2D9BA"/>
            </w:tcBorders>
            <w:shd w:val="clear" w:color="auto" w:fill="auto"/>
          </w:tcPr>
          <w:p w14:paraId="64C2E1CE" w14:textId="77777777" w:rsidR="000374A7" w:rsidRPr="00E444B3" w:rsidRDefault="000374A7" w:rsidP="002669AD">
            <w:pPr>
              <w:pStyle w:val="TableText"/>
              <w:ind w:right="113"/>
              <w:rPr>
                <w:rFonts w:ascii="Times New Roman" w:hAnsi="Times New Roman"/>
                <w:lang w:eastAsia="en-NZ"/>
              </w:rPr>
            </w:pPr>
            <w:r>
              <w:t>Bladder cancer (u</w:t>
            </w:r>
            <w:r w:rsidRPr="00E444B3">
              <w:t>rothelial cancer</w:t>
            </w:r>
            <w:r>
              <w:t>, locally advanced or metastatic, second-line)</w:t>
            </w:r>
          </w:p>
        </w:tc>
        <w:tc>
          <w:tcPr>
            <w:tcW w:w="2480" w:type="dxa"/>
            <w:tcBorders>
              <w:top w:val="single" w:sz="4" w:space="0" w:color="C2D9BA"/>
              <w:bottom w:val="single" w:sz="4" w:space="0" w:color="C2D9BA"/>
            </w:tcBorders>
            <w:shd w:val="clear" w:color="auto" w:fill="auto"/>
          </w:tcPr>
          <w:p w14:paraId="235D7933" w14:textId="77777777" w:rsidR="000374A7" w:rsidRPr="00E444B3" w:rsidRDefault="002669AD" w:rsidP="002669AD">
            <w:pPr>
              <w:pStyle w:val="TableText"/>
              <w:ind w:right="113"/>
              <w:rPr>
                <w:rFonts w:ascii="Times New Roman" w:hAnsi="Times New Roman"/>
                <w:lang w:eastAsia="en-NZ"/>
              </w:rPr>
            </w:pPr>
            <w:r>
              <w:rPr>
                <w:lang w:eastAsia="en-NZ"/>
              </w:rPr>
              <w:t>Pembrolizumab</w:t>
            </w:r>
          </w:p>
        </w:tc>
        <w:tc>
          <w:tcPr>
            <w:tcW w:w="2481" w:type="dxa"/>
            <w:tcBorders>
              <w:top w:val="single" w:sz="4" w:space="0" w:color="C2D9BA"/>
              <w:bottom w:val="single" w:sz="4" w:space="0" w:color="C2D9BA"/>
            </w:tcBorders>
            <w:shd w:val="clear" w:color="auto" w:fill="auto"/>
          </w:tcPr>
          <w:p w14:paraId="53FF5971" w14:textId="77777777" w:rsidR="000374A7" w:rsidRPr="00E444B3" w:rsidRDefault="000374A7" w:rsidP="002669AD">
            <w:pPr>
              <w:pStyle w:val="TableText"/>
              <w:rPr>
                <w:rFonts w:ascii="Times New Roman" w:hAnsi="Times New Roman"/>
                <w:lang w:eastAsia="en-NZ"/>
              </w:rPr>
            </w:pPr>
            <w:r w:rsidRPr="00E444B3">
              <w:rPr>
                <w:lang w:eastAsia="en-NZ"/>
              </w:rPr>
              <w:t>Funded (universally)</w:t>
            </w:r>
          </w:p>
        </w:tc>
      </w:tr>
      <w:tr w:rsidR="000374A7" w:rsidRPr="00066623" w14:paraId="27405D67" w14:textId="77777777" w:rsidTr="002669AD">
        <w:trPr>
          <w:cantSplit/>
        </w:trPr>
        <w:tc>
          <w:tcPr>
            <w:tcW w:w="3119" w:type="dxa"/>
            <w:tcBorders>
              <w:top w:val="single" w:sz="4" w:space="0" w:color="C2D9BA"/>
              <w:bottom w:val="single" w:sz="4" w:space="0" w:color="C2D9BA"/>
            </w:tcBorders>
            <w:shd w:val="clear" w:color="auto" w:fill="auto"/>
          </w:tcPr>
          <w:p w14:paraId="3F896982" w14:textId="77777777" w:rsidR="000374A7" w:rsidRPr="00E444B3" w:rsidRDefault="000374A7" w:rsidP="002669AD">
            <w:pPr>
              <w:pStyle w:val="TableText"/>
              <w:ind w:right="113"/>
              <w:rPr>
                <w:rFonts w:ascii="Times New Roman" w:hAnsi="Times New Roman"/>
                <w:lang w:eastAsia="en-NZ"/>
              </w:rPr>
            </w:pPr>
            <w:r w:rsidRPr="00E444B3">
              <w:t>Head and neck cancer</w:t>
            </w:r>
            <w:r>
              <w:t xml:space="preserve"> (head and neck squamous cell carcinoma (HNSCC), locally recurrent or metastatic, second-line)</w:t>
            </w:r>
          </w:p>
        </w:tc>
        <w:tc>
          <w:tcPr>
            <w:tcW w:w="2480" w:type="dxa"/>
            <w:tcBorders>
              <w:top w:val="single" w:sz="4" w:space="0" w:color="C2D9BA"/>
              <w:bottom w:val="single" w:sz="4" w:space="0" w:color="C2D9BA"/>
            </w:tcBorders>
            <w:shd w:val="clear" w:color="auto" w:fill="auto"/>
          </w:tcPr>
          <w:p w14:paraId="15A18648" w14:textId="77777777" w:rsidR="000374A7" w:rsidRPr="00E444B3" w:rsidRDefault="002669AD" w:rsidP="002669AD">
            <w:pPr>
              <w:pStyle w:val="TableText"/>
              <w:ind w:right="113"/>
              <w:rPr>
                <w:rFonts w:ascii="Times New Roman" w:hAnsi="Times New Roman"/>
                <w:lang w:eastAsia="en-NZ"/>
              </w:rPr>
            </w:pPr>
            <w:r>
              <w:rPr>
                <w:lang w:eastAsia="en-NZ"/>
              </w:rPr>
              <w:t>Nivolumab</w:t>
            </w:r>
          </w:p>
        </w:tc>
        <w:tc>
          <w:tcPr>
            <w:tcW w:w="2481" w:type="dxa"/>
            <w:tcBorders>
              <w:top w:val="single" w:sz="4" w:space="0" w:color="C2D9BA"/>
              <w:bottom w:val="single" w:sz="4" w:space="0" w:color="C2D9BA"/>
            </w:tcBorders>
            <w:shd w:val="clear" w:color="auto" w:fill="auto"/>
          </w:tcPr>
          <w:p w14:paraId="70A93AC4" w14:textId="77777777" w:rsidR="000374A7" w:rsidRPr="00E444B3" w:rsidRDefault="000374A7" w:rsidP="002669AD">
            <w:pPr>
              <w:pStyle w:val="TableText"/>
              <w:rPr>
                <w:rFonts w:ascii="Times New Roman" w:hAnsi="Times New Roman"/>
                <w:lang w:eastAsia="en-NZ"/>
              </w:rPr>
            </w:pPr>
            <w:r w:rsidRPr="00E444B3">
              <w:rPr>
                <w:lang w:eastAsia="en-NZ"/>
              </w:rPr>
              <w:t>Funded (universally)</w:t>
            </w:r>
          </w:p>
        </w:tc>
      </w:tr>
      <w:tr w:rsidR="002669AD" w:rsidRPr="00066623" w14:paraId="50D6DCD3" w14:textId="77777777" w:rsidTr="002669AD">
        <w:trPr>
          <w:cantSplit/>
        </w:trPr>
        <w:tc>
          <w:tcPr>
            <w:tcW w:w="3119" w:type="dxa"/>
            <w:vMerge w:val="restart"/>
            <w:tcBorders>
              <w:top w:val="single" w:sz="4" w:space="0" w:color="C2D9BA"/>
            </w:tcBorders>
            <w:shd w:val="clear" w:color="auto" w:fill="auto"/>
          </w:tcPr>
          <w:p w14:paraId="6B4BF6FB" w14:textId="77777777" w:rsidR="002669AD" w:rsidRPr="00E444B3" w:rsidRDefault="002669AD" w:rsidP="002669AD">
            <w:pPr>
              <w:pStyle w:val="TableText"/>
              <w:ind w:right="113"/>
              <w:rPr>
                <w:rFonts w:ascii="Times New Roman" w:hAnsi="Times New Roman"/>
                <w:lang w:eastAsia="en-NZ"/>
              </w:rPr>
            </w:pPr>
            <w:r w:rsidRPr="00E444B3">
              <w:t xml:space="preserve">Melanoma (stage III or IV, </w:t>
            </w:r>
            <w:r>
              <w:t xml:space="preserve">BRAF +ve, </w:t>
            </w:r>
            <w:r w:rsidRPr="00E444B3">
              <w:t>unresectable)</w:t>
            </w:r>
          </w:p>
        </w:tc>
        <w:tc>
          <w:tcPr>
            <w:tcW w:w="2480" w:type="dxa"/>
            <w:tcBorders>
              <w:top w:val="single" w:sz="4" w:space="0" w:color="C2D9BA"/>
              <w:bottom w:val="single" w:sz="4" w:space="0" w:color="C2D9BA"/>
            </w:tcBorders>
            <w:shd w:val="clear" w:color="auto" w:fill="auto"/>
          </w:tcPr>
          <w:p w14:paraId="5C4EEEB9" w14:textId="77777777" w:rsidR="002669AD" w:rsidRPr="00E444B3" w:rsidRDefault="002669AD" w:rsidP="002669AD">
            <w:pPr>
              <w:pStyle w:val="TableText"/>
              <w:ind w:right="113"/>
              <w:rPr>
                <w:lang w:eastAsia="en-NZ"/>
              </w:rPr>
            </w:pPr>
            <w:r w:rsidRPr="00E444B3">
              <w:rPr>
                <w:lang w:eastAsia="en-NZ"/>
              </w:rPr>
              <w:t xml:space="preserve">Dabrafenib </w:t>
            </w:r>
            <w:r>
              <w:rPr>
                <w:lang w:eastAsia="en-NZ"/>
              </w:rPr>
              <w:t>and</w:t>
            </w:r>
            <w:r w:rsidRPr="00E444B3">
              <w:rPr>
                <w:lang w:eastAsia="en-NZ"/>
              </w:rPr>
              <w:t xml:space="preserve"> trametinib</w:t>
            </w:r>
          </w:p>
        </w:tc>
        <w:tc>
          <w:tcPr>
            <w:tcW w:w="2481" w:type="dxa"/>
            <w:tcBorders>
              <w:top w:val="single" w:sz="4" w:space="0" w:color="C2D9BA"/>
              <w:bottom w:val="single" w:sz="4" w:space="0" w:color="C2D9BA"/>
            </w:tcBorders>
            <w:shd w:val="clear" w:color="auto" w:fill="auto"/>
          </w:tcPr>
          <w:p w14:paraId="5B290CA4" w14:textId="77777777" w:rsidR="002669AD" w:rsidRPr="00E444B3" w:rsidRDefault="002669AD" w:rsidP="002669AD">
            <w:pPr>
              <w:pStyle w:val="TableText"/>
              <w:rPr>
                <w:lang w:eastAsia="en-NZ"/>
              </w:rPr>
            </w:pPr>
            <w:r w:rsidRPr="00E444B3">
              <w:rPr>
                <w:lang w:eastAsia="en-NZ"/>
              </w:rPr>
              <w:t>Funded (not universally)</w:t>
            </w:r>
          </w:p>
        </w:tc>
      </w:tr>
      <w:tr w:rsidR="002669AD" w:rsidRPr="00066623" w14:paraId="2A52B0A0" w14:textId="77777777" w:rsidTr="002669AD">
        <w:trPr>
          <w:cantSplit/>
        </w:trPr>
        <w:tc>
          <w:tcPr>
            <w:tcW w:w="3119" w:type="dxa"/>
            <w:vMerge/>
            <w:shd w:val="clear" w:color="auto" w:fill="auto"/>
          </w:tcPr>
          <w:p w14:paraId="5DE25E0C" w14:textId="77777777" w:rsidR="002669AD" w:rsidRPr="00E444B3" w:rsidRDefault="002669AD" w:rsidP="002669AD">
            <w:pPr>
              <w:pStyle w:val="TableText"/>
              <w:ind w:right="113"/>
            </w:pPr>
          </w:p>
        </w:tc>
        <w:tc>
          <w:tcPr>
            <w:tcW w:w="2480" w:type="dxa"/>
            <w:tcBorders>
              <w:top w:val="single" w:sz="4" w:space="0" w:color="C2D9BA"/>
              <w:bottom w:val="single" w:sz="4" w:space="0" w:color="C2D9BA"/>
            </w:tcBorders>
            <w:shd w:val="clear" w:color="auto" w:fill="auto"/>
          </w:tcPr>
          <w:p w14:paraId="503ED291" w14:textId="77777777" w:rsidR="002669AD" w:rsidRPr="00E444B3" w:rsidRDefault="002669AD" w:rsidP="002669AD">
            <w:pPr>
              <w:pStyle w:val="TableText"/>
              <w:ind w:right="113"/>
              <w:rPr>
                <w:lang w:eastAsia="en-NZ"/>
              </w:rPr>
            </w:pPr>
            <w:r w:rsidRPr="00E444B3">
              <w:rPr>
                <w:lang w:eastAsia="en-NZ"/>
              </w:rPr>
              <w:t>Encorafenib + binimetinib</w:t>
            </w:r>
          </w:p>
        </w:tc>
        <w:tc>
          <w:tcPr>
            <w:tcW w:w="2481" w:type="dxa"/>
            <w:tcBorders>
              <w:top w:val="single" w:sz="4" w:space="0" w:color="C2D9BA"/>
              <w:bottom w:val="single" w:sz="4" w:space="0" w:color="C2D9BA"/>
            </w:tcBorders>
            <w:shd w:val="clear" w:color="auto" w:fill="auto"/>
          </w:tcPr>
          <w:p w14:paraId="1520E736" w14:textId="77777777" w:rsidR="002669AD" w:rsidRPr="00E444B3" w:rsidRDefault="002669AD" w:rsidP="002669AD">
            <w:pPr>
              <w:pStyle w:val="TableText"/>
              <w:rPr>
                <w:lang w:eastAsia="en-NZ"/>
              </w:rPr>
            </w:pPr>
            <w:r w:rsidRPr="00E444B3">
              <w:rPr>
                <w:lang w:eastAsia="en-NZ"/>
              </w:rPr>
              <w:t>Not funded</w:t>
            </w:r>
          </w:p>
        </w:tc>
      </w:tr>
      <w:tr w:rsidR="002669AD" w:rsidRPr="00066623" w14:paraId="2041365C" w14:textId="77777777" w:rsidTr="002669AD">
        <w:trPr>
          <w:cantSplit/>
        </w:trPr>
        <w:tc>
          <w:tcPr>
            <w:tcW w:w="3119" w:type="dxa"/>
            <w:vMerge/>
            <w:tcBorders>
              <w:bottom w:val="single" w:sz="4" w:space="0" w:color="C2D9BA"/>
            </w:tcBorders>
            <w:shd w:val="clear" w:color="auto" w:fill="auto"/>
          </w:tcPr>
          <w:p w14:paraId="414EB1D5" w14:textId="77777777" w:rsidR="002669AD" w:rsidRPr="00E444B3" w:rsidRDefault="002669AD" w:rsidP="002669AD">
            <w:pPr>
              <w:pStyle w:val="TableText"/>
              <w:ind w:right="113"/>
            </w:pPr>
          </w:p>
        </w:tc>
        <w:tc>
          <w:tcPr>
            <w:tcW w:w="2480" w:type="dxa"/>
            <w:tcBorders>
              <w:top w:val="single" w:sz="4" w:space="0" w:color="C2D9BA"/>
              <w:bottom w:val="single" w:sz="4" w:space="0" w:color="C2D9BA"/>
            </w:tcBorders>
            <w:shd w:val="clear" w:color="auto" w:fill="auto"/>
          </w:tcPr>
          <w:p w14:paraId="03090BB4" w14:textId="77777777" w:rsidR="002669AD" w:rsidRPr="00E444B3" w:rsidRDefault="002669AD" w:rsidP="002669AD">
            <w:pPr>
              <w:pStyle w:val="TableText"/>
              <w:ind w:right="113"/>
              <w:rPr>
                <w:lang w:eastAsia="en-NZ"/>
              </w:rPr>
            </w:pPr>
            <w:r w:rsidRPr="00E444B3">
              <w:rPr>
                <w:lang w:eastAsia="en-NZ"/>
              </w:rPr>
              <w:t>Vemurafenib +cobimetinib</w:t>
            </w:r>
          </w:p>
        </w:tc>
        <w:tc>
          <w:tcPr>
            <w:tcW w:w="2481" w:type="dxa"/>
            <w:tcBorders>
              <w:top w:val="single" w:sz="4" w:space="0" w:color="C2D9BA"/>
              <w:bottom w:val="single" w:sz="4" w:space="0" w:color="C2D9BA"/>
            </w:tcBorders>
            <w:shd w:val="clear" w:color="auto" w:fill="auto"/>
          </w:tcPr>
          <w:p w14:paraId="0D12AB45" w14:textId="77777777" w:rsidR="002669AD" w:rsidRPr="00E444B3" w:rsidRDefault="002669AD" w:rsidP="002669AD">
            <w:pPr>
              <w:pStyle w:val="TableText"/>
              <w:rPr>
                <w:lang w:eastAsia="en-NZ"/>
              </w:rPr>
            </w:pPr>
            <w:r w:rsidRPr="00E444B3">
              <w:rPr>
                <w:lang w:eastAsia="en-NZ"/>
              </w:rPr>
              <w:t>Funded (not universally)</w:t>
            </w:r>
          </w:p>
        </w:tc>
      </w:tr>
      <w:tr w:rsidR="000374A7" w:rsidRPr="00066623" w14:paraId="4B717F3D" w14:textId="77777777" w:rsidTr="002669AD">
        <w:trPr>
          <w:cantSplit/>
        </w:trPr>
        <w:tc>
          <w:tcPr>
            <w:tcW w:w="3119" w:type="dxa"/>
            <w:tcBorders>
              <w:top w:val="single" w:sz="4" w:space="0" w:color="C2D9BA"/>
              <w:bottom w:val="single" w:sz="4" w:space="0" w:color="C2D9BA"/>
            </w:tcBorders>
            <w:shd w:val="clear" w:color="auto" w:fill="auto"/>
          </w:tcPr>
          <w:p w14:paraId="00CF2C0D" w14:textId="77777777" w:rsidR="000374A7" w:rsidRPr="00E444B3" w:rsidRDefault="000374A7" w:rsidP="002669AD">
            <w:pPr>
              <w:pStyle w:val="TableText"/>
              <w:ind w:right="113"/>
              <w:rPr>
                <w:rFonts w:ascii="Calibri" w:hAnsi="Calibri" w:cs="Calibri"/>
                <w:lang w:eastAsia="en-NZ"/>
              </w:rPr>
            </w:pPr>
            <w:r w:rsidRPr="00E444B3">
              <w:t xml:space="preserve">Melanoma (stage III or IV, unresectable, </w:t>
            </w:r>
            <w:r>
              <w:t xml:space="preserve">first-line </w:t>
            </w:r>
            <w:r w:rsidRPr="00E444B3">
              <w:t>induction)</w:t>
            </w:r>
          </w:p>
        </w:tc>
        <w:tc>
          <w:tcPr>
            <w:tcW w:w="2480" w:type="dxa"/>
            <w:tcBorders>
              <w:top w:val="single" w:sz="4" w:space="0" w:color="C2D9BA"/>
              <w:bottom w:val="single" w:sz="4" w:space="0" w:color="C2D9BA"/>
            </w:tcBorders>
            <w:shd w:val="clear" w:color="auto" w:fill="auto"/>
          </w:tcPr>
          <w:p w14:paraId="26D9A1A3" w14:textId="77777777" w:rsidR="000374A7" w:rsidRPr="00E444B3" w:rsidRDefault="000374A7" w:rsidP="002669AD">
            <w:pPr>
              <w:pStyle w:val="TableText"/>
              <w:ind w:right="113"/>
              <w:rPr>
                <w:lang w:eastAsia="en-NZ"/>
              </w:rPr>
            </w:pPr>
            <w:r w:rsidRPr="00E444B3">
              <w:rPr>
                <w:lang w:eastAsia="en-NZ"/>
              </w:rPr>
              <w:t>Nivolumab + ipilimumab</w:t>
            </w:r>
          </w:p>
        </w:tc>
        <w:tc>
          <w:tcPr>
            <w:tcW w:w="2481" w:type="dxa"/>
            <w:tcBorders>
              <w:top w:val="single" w:sz="4" w:space="0" w:color="C2D9BA"/>
              <w:bottom w:val="single" w:sz="4" w:space="0" w:color="C2D9BA"/>
            </w:tcBorders>
            <w:shd w:val="clear" w:color="auto" w:fill="auto"/>
          </w:tcPr>
          <w:p w14:paraId="061AC12D" w14:textId="77777777" w:rsidR="000374A7" w:rsidRPr="00E444B3" w:rsidRDefault="000374A7" w:rsidP="00181CD3">
            <w:pPr>
              <w:pStyle w:val="TableText"/>
              <w:rPr>
                <w:lang w:eastAsia="en-NZ"/>
              </w:rPr>
            </w:pPr>
            <w:r w:rsidRPr="00E444B3">
              <w:rPr>
                <w:lang w:eastAsia="en-NZ"/>
              </w:rPr>
              <w:t>Funded (universally)</w:t>
            </w:r>
          </w:p>
        </w:tc>
      </w:tr>
    </w:tbl>
    <w:bookmarkEnd w:id="381"/>
    <w:p w14:paraId="5C2B2139" w14:textId="77777777" w:rsidR="00C338E8" w:rsidRDefault="006D7F10" w:rsidP="002669AD">
      <w:pPr>
        <w:pStyle w:val="Note"/>
        <w:keepNext/>
        <w:keepLines/>
        <w:ind w:left="0" w:firstLine="0"/>
        <w:rPr>
          <w:shd w:val="clear" w:color="auto" w:fill="FFFFFF"/>
        </w:rPr>
      </w:pPr>
      <w:r w:rsidRPr="00E444B3">
        <w:rPr>
          <w:b/>
          <w:shd w:val="clear" w:color="auto" w:fill="FFFFFF"/>
        </w:rPr>
        <w:lastRenderedPageBreak/>
        <w:t xml:space="preserve">Funded (not universally) </w:t>
      </w:r>
      <w:r w:rsidRPr="00E444B3">
        <w:rPr>
          <w:shd w:val="clear" w:color="auto" w:fill="FFFFFF"/>
        </w:rPr>
        <w:t xml:space="preserve">= </w:t>
      </w:r>
      <w:r>
        <w:rPr>
          <w:shd w:val="clear" w:color="auto" w:fill="FFFFFF"/>
        </w:rPr>
        <w:t>M</w:t>
      </w:r>
      <w:r w:rsidRPr="00E444B3">
        <w:rPr>
          <w:shd w:val="clear" w:color="auto" w:fill="FFFFFF"/>
        </w:rPr>
        <w:t xml:space="preserve">edicines funded only for those eligible for the Ontario Drug Benefit (ODB) </w:t>
      </w:r>
      <w:r>
        <w:rPr>
          <w:shd w:val="clear" w:color="auto" w:fill="FFFFFF"/>
        </w:rPr>
        <w:t>p</w:t>
      </w:r>
      <w:r w:rsidRPr="00E444B3">
        <w:rPr>
          <w:shd w:val="clear" w:color="auto" w:fill="FFFFFF"/>
        </w:rPr>
        <w:t>rogram</w:t>
      </w:r>
      <w:r>
        <w:rPr>
          <w:shd w:val="clear" w:color="auto" w:fill="FFFFFF"/>
        </w:rPr>
        <w:t>me</w:t>
      </w:r>
      <w:r w:rsidRPr="00E444B3">
        <w:rPr>
          <w:shd w:val="clear" w:color="auto" w:fill="FFFFFF"/>
        </w:rPr>
        <w:t>.</w:t>
      </w:r>
    </w:p>
    <w:p w14:paraId="7DA66E48" w14:textId="77777777" w:rsidR="00C338E8" w:rsidRDefault="006D7F10" w:rsidP="002669AD">
      <w:pPr>
        <w:pStyle w:val="Note"/>
        <w:keepNext/>
        <w:keepLines/>
        <w:ind w:left="0" w:firstLine="0"/>
        <w:rPr>
          <w:shd w:val="clear" w:color="auto" w:fill="FFFFFF"/>
        </w:rPr>
      </w:pPr>
      <w:r w:rsidRPr="00E444B3">
        <w:rPr>
          <w:shd w:val="clear" w:color="auto" w:fill="FFFFFF"/>
        </w:rPr>
        <w:t xml:space="preserve">ODB eligible: Ontarians aged 65 </w:t>
      </w:r>
      <w:r>
        <w:rPr>
          <w:shd w:val="clear" w:color="auto" w:fill="FFFFFF"/>
        </w:rPr>
        <w:t xml:space="preserve">years </w:t>
      </w:r>
      <w:r w:rsidRPr="00E444B3">
        <w:rPr>
          <w:shd w:val="clear" w:color="auto" w:fill="FFFFFF"/>
        </w:rPr>
        <w:t xml:space="preserve">and older, residents of long-term care homes and homes for special care, recipients of professional home services and social assistance and recipients of </w:t>
      </w:r>
      <w:r>
        <w:rPr>
          <w:shd w:val="clear" w:color="auto" w:fill="FFFFFF"/>
        </w:rPr>
        <w:t>Ontario</w:t>
      </w:r>
      <w:r w:rsidR="00D34911">
        <w:rPr>
          <w:shd w:val="clear" w:color="auto" w:fill="FFFFFF"/>
        </w:rPr>
        <w:t>’</w:t>
      </w:r>
      <w:r>
        <w:rPr>
          <w:shd w:val="clear" w:color="auto" w:fill="FFFFFF"/>
        </w:rPr>
        <w:t xml:space="preserve">s </w:t>
      </w:r>
      <w:r w:rsidRPr="00E444B3">
        <w:rPr>
          <w:shd w:val="clear" w:color="auto" w:fill="FFFFFF"/>
        </w:rPr>
        <w:t>Trillium Drug Program</w:t>
      </w:r>
      <w:r>
        <w:rPr>
          <w:shd w:val="clear" w:color="auto" w:fill="FFFFFF"/>
        </w:rPr>
        <w:t xml:space="preserve"> (TDP)</w:t>
      </w:r>
      <w:r w:rsidRPr="00E444B3">
        <w:rPr>
          <w:shd w:val="clear" w:color="auto" w:fill="FFFFFF"/>
        </w:rPr>
        <w:t xml:space="preserve"> (ie</w:t>
      </w:r>
      <w:r>
        <w:rPr>
          <w:shd w:val="clear" w:color="auto" w:fill="FFFFFF"/>
        </w:rPr>
        <w:t>,</w:t>
      </w:r>
      <w:r w:rsidRPr="00E444B3">
        <w:rPr>
          <w:shd w:val="clear" w:color="auto" w:fill="FFFFFF"/>
        </w:rPr>
        <w:t xml:space="preserve"> Ontario residents </w:t>
      </w:r>
      <w:r>
        <w:rPr>
          <w:shd w:val="clear" w:color="auto" w:fill="FFFFFF"/>
        </w:rPr>
        <w:t>who</w:t>
      </w:r>
      <w:r w:rsidRPr="00E444B3">
        <w:rPr>
          <w:shd w:val="clear" w:color="auto" w:fill="FFFFFF"/>
        </w:rPr>
        <w:t xml:space="preserve"> have high drug costs in relation to their household income</w:t>
      </w:r>
      <w:r>
        <w:rPr>
          <w:shd w:val="clear" w:color="auto" w:fill="FFFFFF"/>
        </w:rPr>
        <w:t>).</w:t>
      </w:r>
    </w:p>
    <w:p w14:paraId="74E1B38B" w14:textId="77777777" w:rsidR="00C338E8" w:rsidRDefault="006D7F10" w:rsidP="002669AD">
      <w:pPr>
        <w:pStyle w:val="Note"/>
        <w:keepNext/>
        <w:keepLines/>
        <w:ind w:left="0" w:firstLine="0"/>
        <w:rPr>
          <w:shd w:val="clear" w:color="auto" w:fill="FFFFFF"/>
        </w:rPr>
      </w:pPr>
      <w:r w:rsidRPr="00E444B3">
        <w:rPr>
          <w:b/>
          <w:shd w:val="clear" w:color="auto" w:fill="FFFFFF"/>
        </w:rPr>
        <w:t>Funded (universally) =</w:t>
      </w:r>
      <w:r w:rsidRPr="00E444B3">
        <w:rPr>
          <w:shd w:val="clear" w:color="auto" w:fill="FFFFFF"/>
        </w:rPr>
        <w:t xml:space="preserve"> </w:t>
      </w:r>
      <w:r>
        <w:rPr>
          <w:shd w:val="clear" w:color="auto" w:fill="FFFFFF"/>
        </w:rPr>
        <w:t>M</w:t>
      </w:r>
      <w:r w:rsidRPr="00E444B3">
        <w:rPr>
          <w:shd w:val="clear" w:color="auto" w:fill="FFFFFF"/>
        </w:rPr>
        <w:t xml:space="preserve">edicines funded via </w:t>
      </w:r>
      <w:r>
        <w:rPr>
          <w:shd w:val="clear" w:color="auto" w:fill="FFFFFF"/>
        </w:rPr>
        <w:t>Ontario</w:t>
      </w:r>
      <w:r w:rsidR="00D34911">
        <w:rPr>
          <w:shd w:val="clear" w:color="auto" w:fill="FFFFFF"/>
        </w:rPr>
        <w:t>’</w:t>
      </w:r>
      <w:r>
        <w:rPr>
          <w:shd w:val="clear" w:color="auto" w:fill="FFFFFF"/>
        </w:rPr>
        <w:t>s</w:t>
      </w:r>
      <w:r w:rsidRPr="00E444B3">
        <w:rPr>
          <w:shd w:val="clear" w:color="auto" w:fill="FFFFFF"/>
        </w:rPr>
        <w:t xml:space="preserve"> New Drug Funding Program for Cancer Care</w:t>
      </w:r>
      <w:r>
        <w:rPr>
          <w:shd w:val="clear" w:color="auto" w:fill="FFFFFF"/>
        </w:rPr>
        <w:t>.</w:t>
      </w:r>
    </w:p>
    <w:p w14:paraId="11B1D136" w14:textId="77777777" w:rsidR="00C338E8" w:rsidRDefault="006D7F10" w:rsidP="002669AD">
      <w:pPr>
        <w:pStyle w:val="Note"/>
        <w:keepNext/>
        <w:keepLines/>
        <w:ind w:left="0" w:firstLine="0"/>
        <w:rPr>
          <w:shd w:val="clear" w:color="auto" w:fill="FFFFFF"/>
        </w:rPr>
      </w:pPr>
      <w:r w:rsidRPr="00E444B3">
        <w:rPr>
          <w:shd w:val="clear" w:color="auto" w:fill="FFFFFF"/>
        </w:rPr>
        <w:t xml:space="preserve">New Drug Funding Program for Cancer Care: </w:t>
      </w:r>
      <w:r>
        <w:rPr>
          <w:shd w:val="clear" w:color="auto" w:fill="FFFFFF"/>
        </w:rPr>
        <w:t>D</w:t>
      </w:r>
      <w:r w:rsidRPr="00E444B3">
        <w:rPr>
          <w:shd w:val="clear" w:color="auto" w:fill="FFFFFF"/>
        </w:rPr>
        <w:t xml:space="preserve">rug benefits for newer, intravenous drugs, typically administered in hospitals and cancer care facilities. The </w:t>
      </w:r>
      <w:r>
        <w:rPr>
          <w:shd w:val="clear" w:color="auto" w:fill="FFFFFF"/>
        </w:rPr>
        <w:t xml:space="preserve">Ontario </w:t>
      </w:r>
      <w:r w:rsidRPr="00E444B3">
        <w:rPr>
          <w:shd w:val="clear" w:color="auto" w:fill="FFFFFF"/>
        </w:rPr>
        <w:t xml:space="preserve">Ministry </w:t>
      </w:r>
      <w:r>
        <w:rPr>
          <w:shd w:val="clear" w:color="auto" w:fill="FFFFFF"/>
        </w:rPr>
        <w:t xml:space="preserve">of Health </w:t>
      </w:r>
      <w:r w:rsidRPr="00E444B3">
        <w:rPr>
          <w:shd w:val="clear" w:color="auto" w:fill="FFFFFF"/>
        </w:rPr>
        <w:t>provides about 75</w:t>
      </w:r>
      <w:r w:rsidR="00F64599">
        <w:rPr>
          <w:shd w:val="clear" w:color="auto" w:fill="FFFFFF"/>
        </w:rPr>
        <w:t> percent</w:t>
      </w:r>
      <w:r w:rsidRPr="00E444B3">
        <w:rPr>
          <w:shd w:val="clear" w:color="auto" w:fill="FFFFFF"/>
        </w:rPr>
        <w:t xml:space="preserve"> of the overall funding for intravenous cancer drugs in Ontario</w:t>
      </w:r>
      <w:r>
        <w:rPr>
          <w:shd w:val="clear" w:color="auto" w:fill="FFFFFF"/>
        </w:rPr>
        <w:t>,</w:t>
      </w:r>
      <w:r w:rsidRPr="00E444B3">
        <w:rPr>
          <w:shd w:val="clear" w:color="auto" w:fill="FFFFFF"/>
        </w:rPr>
        <w:t xml:space="preserve"> and hospitals fund the remaining 25</w:t>
      </w:r>
      <w:r w:rsidR="00F64599">
        <w:rPr>
          <w:shd w:val="clear" w:color="auto" w:fill="FFFFFF"/>
        </w:rPr>
        <w:t> percent</w:t>
      </w:r>
      <w:r w:rsidRPr="00E444B3">
        <w:rPr>
          <w:shd w:val="clear" w:color="auto" w:fill="FFFFFF"/>
        </w:rPr>
        <w:t xml:space="preserve"> through their operating budgets.</w:t>
      </w:r>
    </w:p>
    <w:p w14:paraId="6DB3C5E1" w14:textId="77777777" w:rsidR="00C338E8" w:rsidRDefault="006D7F10" w:rsidP="002669AD">
      <w:pPr>
        <w:pStyle w:val="Note"/>
        <w:keepNext/>
        <w:keepLines/>
        <w:ind w:left="0" w:firstLine="0"/>
        <w:rPr>
          <w:shd w:val="clear" w:color="auto" w:fill="FFFFFF"/>
        </w:rPr>
      </w:pPr>
      <w:r w:rsidRPr="00E444B3">
        <w:rPr>
          <w:b/>
          <w:shd w:val="clear" w:color="auto" w:fill="FFFFFF"/>
        </w:rPr>
        <w:t>Not funded =</w:t>
      </w:r>
      <w:r w:rsidRPr="00E444B3">
        <w:rPr>
          <w:shd w:val="clear" w:color="auto" w:fill="FFFFFF"/>
        </w:rPr>
        <w:t xml:space="preserve"> </w:t>
      </w:r>
      <w:r>
        <w:rPr>
          <w:shd w:val="clear" w:color="auto" w:fill="FFFFFF"/>
        </w:rPr>
        <w:t>N</w:t>
      </w:r>
      <w:r w:rsidRPr="00E444B3">
        <w:rPr>
          <w:shd w:val="clear" w:color="auto" w:fill="FFFFFF"/>
        </w:rPr>
        <w:t>o public funding available</w:t>
      </w:r>
      <w:r>
        <w:rPr>
          <w:shd w:val="clear" w:color="auto" w:fill="FFFFFF"/>
        </w:rPr>
        <w:t>.</w:t>
      </w:r>
    </w:p>
    <w:p w14:paraId="24BB2A99" w14:textId="77777777" w:rsidR="00C338E8" w:rsidRDefault="00C338E8" w:rsidP="00B521E2">
      <w:pPr>
        <w:rPr>
          <w:shd w:val="clear" w:color="auto" w:fill="FFFFFF"/>
        </w:rPr>
      </w:pPr>
    </w:p>
    <w:p w14:paraId="3B5DEBC0" w14:textId="77777777" w:rsidR="00C338E8" w:rsidRDefault="006D7F10" w:rsidP="006D7F10">
      <w:r>
        <w:t xml:space="preserve">For more information, see the Ontario Public Drug Programs webpage on the Ontario Ministry of Health, Ministry of Long-Term Care website at: </w:t>
      </w:r>
      <w:hyperlink r:id="rId75" w:history="1">
        <w:r w:rsidRPr="005E48E7">
          <w:rPr>
            <w:rStyle w:val="Hyperlink"/>
            <w:rFonts w:eastAsia="MS Gothic"/>
          </w:rPr>
          <w:t>www.health.gov.on.ca/en/pro/programs/drugs/funded_drug/funded_drug.aspx</w:t>
        </w:r>
      </w:hyperlink>
      <w:r w:rsidR="00B521E2" w:rsidRPr="00B521E2">
        <w:rPr>
          <w:rFonts w:eastAsia="MS Gothic"/>
        </w:rPr>
        <w:t>.</w:t>
      </w:r>
    </w:p>
    <w:p w14:paraId="1D29F91F" w14:textId="77777777" w:rsidR="00C338E8" w:rsidRDefault="00C338E8" w:rsidP="002669AD"/>
    <w:p w14:paraId="6E46E1F7" w14:textId="77777777" w:rsidR="00C338E8" w:rsidRDefault="006D7F10" w:rsidP="00B521E2">
      <w:pPr>
        <w:pStyle w:val="Heading2"/>
        <w:keepNext w:val="0"/>
        <w:pageBreakBefore/>
        <w:spacing w:before="0"/>
      </w:pPr>
      <w:bookmarkStart w:id="382" w:name="_Toc100739060"/>
      <w:bookmarkStart w:id="383" w:name="_Toc101618176"/>
      <w:bookmarkStart w:id="384" w:name="Appendix_7"/>
      <w:r>
        <w:lastRenderedPageBreak/>
        <w:t>Appendix 7</w:t>
      </w:r>
      <w:r w:rsidRPr="007C6F6B">
        <w:t xml:space="preserve">: </w:t>
      </w:r>
      <w:r>
        <w:t>D</w:t>
      </w:r>
      <w:r w:rsidRPr="007C6F6B">
        <w:t>etailed description</w:t>
      </w:r>
      <w:r>
        <w:t>s</w:t>
      </w:r>
      <w:r w:rsidRPr="007C6F6B">
        <w:t xml:space="preserve"> of each identified gap associated with substantial </w:t>
      </w:r>
      <w:r>
        <w:t xml:space="preserve">clinical </w:t>
      </w:r>
      <w:r w:rsidRPr="007C6F6B">
        <w:t>benefit</w:t>
      </w:r>
      <w:bookmarkEnd w:id="382"/>
      <w:bookmarkEnd w:id="383"/>
    </w:p>
    <w:bookmarkEnd w:id="384"/>
    <w:p w14:paraId="3057BA6A" w14:textId="77777777" w:rsidR="00C338E8" w:rsidRDefault="006D7F10" w:rsidP="00181CD3">
      <w:r>
        <w:t>For each identified gap associated with substantial clinical benefit, this appendix provides a detailed description, organised by type of cancer. The table for each medicine-indication gap includes:</w:t>
      </w:r>
    </w:p>
    <w:p w14:paraId="30974DC0" w14:textId="77777777" w:rsidR="00C338E8" w:rsidRDefault="006D7F10" w:rsidP="00181CD3">
      <w:pPr>
        <w:pStyle w:val="Bullet"/>
      </w:pPr>
      <w:r>
        <w:t>the medicine class</w:t>
      </w:r>
    </w:p>
    <w:p w14:paraId="378E7F0A" w14:textId="77777777" w:rsidR="00C338E8" w:rsidRDefault="006D7F10" w:rsidP="00181CD3">
      <w:pPr>
        <w:pStyle w:val="Bullet"/>
      </w:pPr>
      <w:r>
        <w:t>intent of treatment (whether curative or non-curative)</w:t>
      </w:r>
    </w:p>
    <w:p w14:paraId="70AC76A0" w14:textId="77777777" w:rsidR="00C338E8" w:rsidRDefault="006D7F10" w:rsidP="00181CD3">
      <w:pPr>
        <w:pStyle w:val="Bullet"/>
      </w:pPr>
      <w:r>
        <w:t>where the gap is in the pipeline of Pharmac</w:t>
      </w:r>
      <w:r w:rsidR="00D34911">
        <w:t>’</w:t>
      </w:r>
      <w:r>
        <w:t>s assessment</w:t>
      </w:r>
    </w:p>
    <w:p w14:paraId="234FC9B8" w14:textId="77777777" w:rsidR="00C338E8" w:rsidRDefault="006D7F10" w:rsidP="00181CD3">
      <w:pPr>
        <w:pStyle w:val="Bullet"/>
      </w:pPr>
      <w:r>
        <w:t>the associated ESMO-MCBS score for the gap</w:t>
      </w:r>
    </w:p>
    <w:p w14:paraId="46FA5968" w14:textId="77777777" w:rsidR="00C338E8" w:rsidRDefault="006D7F10" w:rsidP="00181CD3">
      <w:pPr>
        <w:pStyle w:val="Bullet"/>
      </w:pPr>
      <w:r>
        <w:t>how filling the gap would change current clinical practices</w:t>
      </w:r>
    </w:p>
    <w:p w14:paraId="0D44C227" w14:textId="77777777" w:rsidR="00C338E8" w:rsidRDefault="006D7F10" w:rsidP="00181CD3">
      <w:pPr>
        <w:pStyle w:val="Bullet"/>
      </w:pPr>
      <w:r>
        <w:t>the estimated size of the eligible population (if readily available)</w:t>
      </w:r>
    </w:p>
    <w:p w14:paraId="21D8FDB4" w14:textId="77777777" w:rsidR="00C338E8" w:rsidRDefault="006D7F10" w:rsidP="00181CD3">
      <w:pPr>
        <w:pStyle w:val="Bullet"/>
      </w:pPr>
      <w:r>
        <w:t>how the medicine would be given</w:t>
      </w:r>
    </w:p>
    <w:p w14:paraId="1C89AA53" w14:textId="77777777" w:rsidR="00C338E8" w:rsidRDefault="006D7F10" w:rsidP="00181CD3">
      <w:pPr>
        <w:pStyle w:val="Bullet"/>
      </w:pPr>
      <w:r>
        <w:t>additional considerations for patients, whānau and the health system.</w:t>
      </w:r>
    </w:p>
    <w:p w14:paraId="6857F403" w14:textId="77777777" w:rsidR="00C338E8" w:rsidRDefault="00C338E8" w:rsidP="00181CD3"/>
    <w:p w14:paraId="11390A55" w14:textId="77777777" w:rsidR="00C338E8" w:rsidRDefault="006D7F10" w:rsidP="00181CD3">
      <w:r>
        <w:t>For each type of cancer where there were identified gaps, a broad population-level snapshot of the epidemiology of that cancer (its overall incidence, survival, mortality and known inequities across these aspects) is also provided.</w:t>
      </w:r>
    </w:p>
    <w:p w14:paraId="544E204A" w14:textId="77777777" w:rsidR="00C338E8" w:rsidRDefault="00C338E8" w:rsidP="00181CD3"/>
    <w:p w14:paraId="5439A6AD" w14:textId="77777777" w:rsidR="00C338E8" w:rsidRDefault="006D7F10" w:rsidP="009B6B07">
      <w:pPr>
        <w:pStyle w:val="Heading3"/>
      </w:pPr>
      <w:bookmarkStart w:id="385" w:name="_Toc100739061"/>
      <w:r>
        <w:t>Lung cancer</w:t>
      </w:r>
      <w:bookmarkEnd w:id="385"/>
    </w:p>
    <w:p w14:paraId="42BC14FD" w14:textId="77777777" w:rsidR="006D7F10" w:rsidRDefault="006D7F10" w:rsidP="009B6B07">
      <w:pPr>
        <w:pStyle w:val="Table"/>
      </w:pPr>
      <w:bookmarkStart w:id="386" w:name="_Toc101365617"/>
      <w:bookmarkStart w:id="387" w:name="Appendix_7_Table_7point1"/>
      <w:r>
        <w:t>Table</w:t>
      </w:r>
      <w:r w:rsidR="009B6B07">
        <w:t> </w:t>
      </w:r>
      <w:r>
        <w:t>7.1: Immunotherapy/immunochemotherapy for lung cancer – first-line therapy</w:t>
      </w:r>
      <w:bookmarkEnd w:id="38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1808"/>
        <w:gridCol w:w="425"/>
        <w:gridCol w:w="3827"/>
      </w:tblGrid>
      <w:tr w:rsidR="00181CD3" w:rsidRPr="003D59BB" w14:paraId="50B75FDC" w14:textId="77777777" w:rsidTr="00181CD3">
        <w:trPr>
          <w:cantSplit/>
        </w:trPr>
        <w:tc>
          <w:tcPr>
            <w:tcW w:w="2020" w:type="dxa"/>
            <w:tcBorders>
              <w:top w:val="nil"/>
              <w:bottom w:val="nil"/>
            </w:tcBorders>
            <w:shd w:val="clear" w:color="auto" w:fill="C2D9BA"/>
          </w:tcPr>
          <w:p w14:paraId="447DF518" w14:textId="77777777" w:rsidR="00181CD3" w:rsidRPr="00181CD3" w:rsidRDefault="00181CD3" w:rsidP="0038658B">
            <w:pPr>
              <w:pStyle w:val="TableText"/>
              <w:ind w:right="113"/>
              <w:rPr>
                <w:b/>
              </w:rPr>
            </w:pPr>
            <w:r w:rsidRPr="00181CD3">
              <w:rPr>
                <w:b/>
              </w:rPr>
              <w:t>Indication description</w:t>
            </w:r>
          </w:p>
        </w:tc>
        <w:tc>
          <w:tcPr>
            <w:tcW w:w="6060" w:type="dxa"/>
            <w:gridSpan w:val="3"/>
            <w:tcBorders>
              <w:top w:val="nil"/>
              <w:bottom w:val="nil"/>
            </w:tcBorders>
            <w:shd w:val="clear" w:color="auto" w:fill="C2D9BA"/>
          </w:tcPr>
          <w:p w14:paraId="2F3062A0" w14:textId="77777777" w:rsidR="00181CD3" w:rsidRDefault="00181CD3" w:rsidP="00181CD3">
            <w:pPr>
              <w:pStyle w:val="TableText"/>
            </w:pPr>
            <w:r w:rsidRPr="00614693">
              <w:t>Non-small cell lung cancer, locally advanced or metastatic, as first-line therapy</w:t>
            </w:r>
          </w:p>
          <w:p w14:paraId="6E4463D9" w14:textId="77777777" w:rsidR="00181CD3" w:rsidRDefault="00181CD3" w:rsidP="00181CD3">
            <w:pPr>
              <w:pStyle w:val="TableText"/>
            </w:pPr>
            <w:r>
              <w:t>Note: PBS funding criteria do not mention PD-L1 status^</w:t>
            </w:r>
          </w:p>
        </w:tc>
      </w:tr>
      <w:tr w:rsidR="00181CD3" w14:paraId="4F471D95" w14:textId="77777777" w:rsidTr="00181CD3">
        <w:trPr>
          <w:cantSplit/>
        </w:trPr>
        <w:tc>
          <w:tcPr>
            <w:tcW w:w="2020" w:type="dxa"/>
            <w:tcBorders>
              <w:top w:val="single" w:sz="4" w:space="0" w:color="C2D9BA"/>
              <w:bottom w:val="single" w:sz="4" w:space="0" w:color="C2D9BA"/>
            </w:tcBorders>
            <w:shd w:val="clear" w:color="auto" w:fill="E7F0E3"/>
          </w:tcPr>
          <w:p w14:paraId="25E567A5" w14:textId="77777777" w:rsidR="00181CD3" w:rsidRPr="00181CD3" w:rsidRDefault="00181CD3" w:rsidP="0038658B">
            <w:pPr>
              <w:pStyle w:val="TableText"/>
              <w:ind w:right="113"/>
              <w:rPr>
                <w:b/>
              </w:rPr>
            </w:pPr>
            <w:r w:rsidRPr="00181CD3">
              <w:rPr>
                <w:b/>
              </w:rPr>
              <w:t>Medicine options to fill the gap</w:t>
            </w:r>
          </w:p>
        </w:tc>
        <w:tc>
          <w:tcPr>
            <w:tcW w:w="6060" w:type="dxa"/>
            <w:gridSpan w:val="3"/>
            <w:tcBorders>
              <w:top w:val="single" w:sz="4" w:space="0" w:color="C2D9BA"/>
              <w:bottom w:val="single" w:sz="4" w:space="0" w:color="C2D9BA"/>
            </w:tcBorders>
            <w:shd w:val="clear" w:color="auto" w:fill="E7F0E3"/>
          </w:tcPr>
          <w:p w14:paraId="6CC5EDEB" w14:textId="77777777" w:rsidR="00181CD3" w:rsidRDefault="00181CD3" w:rsidP="00181CD3">
            <w:pPr>
              <w:pStyle w:val="TableText"/>
            </w:pPr>
            <w:r>
              <w:t>Atezolizumab with bevacizumab (used with chemotherapy)</w:t>
            </w:r>
          </w:p>
          <w:p w14:paraId="00454D6E" w14:textId="77777777" w:rsidR="00181CD3" w:rsidRDefault="00181CD3" w:rsidP="00181CD3">
            <w:pPr>
              <w:pStyle w:val="TableText"/>
            </w:pPr>
            <w:r>
              <w:t>OR</w:t>
            </w:r>
          </w:p>
          <w:p w14:paraId="7DB82E94" w14:textId="77777777" w:rsidR="00181CD3" w:rsidRDefault="00181CD3" w:rsidP="00181CD3">
            <w:pPr>
              <w:pStyle w:val="TableText"/>
            </w:pPr>
            <w:r>
              <w:t>Nivolumab with ipilimumab (used with chemotherapy)</w:t>
            </w:r>
          </w:p>
          <w:p w14:paraId="1DDFD7C2" w14:textId="77777777" w:rsidR="00181CD3" w:rsidRDefault="00181CD3" w:rsidP="00181CD3">
            <w:pPr>
              <w:pStyle w:val="TableText"/>
            </w:pPr>
            <w:r>
              <w:t>OR</w:t>
            </w:r>
          </w:p>
          <w:p w14:paraId="2F64F63C" w14:textId="77777777" w:rsidR="00181CD3" w:rsidRDefault="00181CD3" w:rsidP="00181CD3">
            <w:pPr>
              <w:pStyle w:val="TableText"/>
            </w:pPr>
            <w:r>
              <w:t>Pembrolizumab (used with or without chemotherapy)</w:t>
            </w:r>
          </w:p>
        </w:tc>
      </w:tr>
      <w:tr w:rsidR="00181CD3" w14:paraId="1D3C6BF1" w14:textId="77777777" w:rsidTr="00181CD3">
        <w:trPr>
          <w:cantSplit/>
        </w:trPr>
        <w:tc>
          <w:tcPr>
            <w:tcW w:w="2020" w:type="dxa"/>
            <w:tcBorders>
              <w:top w:val="single" w:sz="4" w:space="0" w:color="C2D9BA"/>
              <w:bottom w:val="single" w:sz="4" w:space="0" w:color="C2D9BA"/>
            </w:tcBorders>
            <w:shd w:val="clear" w:color="auto" w:fill="auto"/>
          </w:tcPr>
          <w:p w14:paraId="7646C966" w14:textId="77777777" w:rsidR="00181CD3" w:rsidRPr="00181CD3" w:rsidRDefault="00181CD3" w:rsidP="0038658B">
            <w:pPr>
              <w:pStyle w:val="TableText"/>
              <w:ind w:right="113"/>
              <w:rPr>
                <w:b/>
              </w:rPr>
            </w:pPr>
            <w:r w:rsidRPr="00181CD3">
              <w:rPr>
                <w:b/>
              </w:rPr>
              <w:t>Description of medicine class’</w:t>
            </w:r>
          </w:p>
        </w:tc>
        <w:tc>
          <w:tcPr>
            <w:tcW w:w="6060" w:type="dxa"/>
            <w:gridSpan w:val="3"/>
            <w:tcBorders>
              <w:top w:val="single" w:sz="4" w:space="0" w:color="C2D9BA"/>
              <w:bottom w:val="single" w:sz="4" w:space="0" w:color="C2D9BA"/>
            </w:tcBorders>
            <w:shd w:val="clear" w:color="auto" w:fill="auto"/>
          </w:tcPr>
          <w:p w14:paraId="14A939F4" w14:textId="77777777" w:rsidR="00181CD3" w:rsidRDefault="00181CD3" w:rsidP="00181CD3">
            <w:pPr>
              <w:pStyle w:val="TableText"/>
            </w:pPr>
            <w:r>
              <w:t>Atezolizumab, nivolumab and pembrolizumab: immune checkpoint inhibitors (monoclonal antibodies targeting PD-1/PD-L1 proteins)</w:t>
            </w:r>
          </w:p>
          <w:p w14:paraId="3B210EB2" w14:textId="77777777" w:rsidR="00181CD3" w:rsidRDefault="00181CD3" w:rsidP="00181CD3">
            <w:pPr>
              <w:pStyle w:val="TableText"/>
            </w:pPr>
            <w:r>
              <w:t>Ipilimumab: immune checkpoint inhibitor (monoclonal antibody targeting CTLA-4 protein)</w:t>
            </w:r>
          </w:p>
          <w:p w14:paraId="7E3DA052" w14:textId="77777777" w:rsidR="00181CD3" w:rsidRDefault="00181CD3" w:rsidP="00181CD3">
            <w:pPr>
              <w:pStyle w:val="TableText"/>
            </w:pPr>
            <w:r>
              <w:t>Bevacizumab: targeted treatment (monoclonal antibody targeting VEGF protein)</w:t>
            </w:r>
          </w:p>
        </w:tc>
      </w:tr>
      <w:tr w:rsidR="00181CD3" w14:paraId="238A4CBA" w14:textId="77777777" w:rsidTr="00181CD3">
        <w:trPr>
          <w:cantSplit/>
        </w:trPr>
        <w:tc>
          <w:tcPr>
            <w:tcW w:w="2020" w:type="dxa"/>
            <w:tcBorders>
              <w:top w:val="single" w:sz="4" w:space="0" w:color="C2D9BA"/>
              <w:bottom w:val="single" w:sz="4" w:space="0" w:color="C2D9BA"/>
            </w:tcBorders>
            <w:shd w:val="clear" w:color="auto" w:fill="auto"/>
          </w:tcPr>
          <w:p w14:paraId="3205C3A9" w14:textId="77777777" w:rsidR="00181CD3" w:rsidRPr="00181CD3" w:rsidRDefault="00181CD3" w:rsidP="0038658B">
            <w:pPr>
              <w:pStyle w:val="TableText"/>
              <w:ind w:right="113"/>
              <w:rPr>
                <w:b/>
              </w:rPr>
            </w:pPr>
            <w:r w:rsidRPr="00181CD3">
              <w:rPr>
                <w:b/>
              </w:rPr>
              <w:t>Intent of treatment</w:t>
            </w:r>
          </w:p>
        </w:tc>
        <w:tc>
          <w:tcPr>
            <w:tcW w:w="6060" w:type="dxa"/>
            <w:gridSpan w:val="3"/>
            <w:tcBorders>
              <w:top w:val="single" w:sz="4" w:space="0" w:color="C2D9BA"/>
              <w:bottom w:val="single" w:sz="4" w:space="0" w:color="C2D9BA"/>
            </w:tcBorders>
            <w:shd w:val="clear" w:color="auto" w:fill="auto"/>
          </w:tcPr>
          <w:p w14:paraId="222FEC55" w14:textId="77777777" w:rsidR="00181CD3" w:rsidRDefault="00181CD3" w:rsidP="00181CD3">
            <w:pPr>
              <w:pStyle w:val="TableText"/>
            </w:pPr>
            <w:r>
              <w:t>Non-curative</w:t>
            </w:r>
          </w:p>
        </w:tc>
      </w:tr>
      <w:tr w:rsidR="00181CD3" w14:paraId="52E9B4A7" w14:textId="77777777" w:rsidTr="00181CD3">
        <w:trPr>
          <w:cantSplit/>
        </w:trPr>
        <w:tc>
          <w:tcPr>
            <w:tcW w:w="2020" w:type="dxa"/>
            <w:vMerge w:val="restart"/>
            <w:tcBorders>
              <w:top w:val="single" w:sz="4" w:space="0" w:color="C2D9BA"/>
            </w:tcBorders>
            <w:shd w:val="clear" w:color="auto" w:fill="auto"/>
          </w:tcPr>
          <w:p w14:paraId="0BAE38DD" w14:textId="77777777" w:rsidR="00181CD3" w:rsidRPr="00181CD3" w:rsidRDefault="00181CD3" w:rsidP="0038658B">
            <w:pPr>
              <w:pStyle w:val="TableText"/>
              <w:ind w:right="113"/>
              <w:rPr>
                <w:b/>
              </w:rPr>
            </w:pPr>
            <w:r w:rsidRPr="00181CD3">
              <w:rPr>
                <w:b/>
              </w:rPr>
              <w:lastRenderedPageBreak/>
              <w:t>Pharmac status at time of analysis</w:t>
            </w:r>
          </w:p>
        </w:tc>
        <w:tc>
          <w:tcPr>
            <w:tcW w:w="6060" w:type="dxa"/>
            <w:gridSpan w:val="3"/>
            <w:tcBorders>
              <w:top w:val="single" w:sz="4" w:space="0" w:color="C2D9BA"/>
              <w:bottom w:val="single" w:sz="4" w:space="0" w:color="C2D9BA"/>
            </w:tcBorders>
            <w:shd w:val="clear" w:color="auto" w:fill="auto"/>
          </w:tcPr>
          <w:p w14:paraId="35C84017" w14:textId="77777777" w:rsidR="00181CD3" w:rsidRPr="00181CD3" w:rsidRDefault="00181CD3" w:rsidP="00181CD3">
            <w:pPr>
              <w:pStyle w:val="TableText"/>
              <w:rPr>
                <w:u w:val="single"/>
              </w:rPr>
            </w:pPr>
            <w:r w:rsidRPr="00181CD3">
              <w:rPr>
                <w:b/>
              </w:rPr>
              <w:t>Atezolizumab with bevacizumab</w:t>
            </w:r>
            <w:r w:rsidRPr="00181CD3">
              <w:t xml:space="preserve"> (used with chemotherapy)</w:t>
            </w:r>
          </w:p>
          <w:p w14:paraId="5E4F88F9" w14:textId="77777777" w:rsidR="00181CD3" w:rsidRDefault="00181CD3" w:rsidP="00181CD3">
            <w:pPr>
              <w:pStyle w:val="TableText"/>
            </w:pPr>
            <w:r>
              <w:t>Application received November 2018</w:t>
            </w:r>
          </w:p>
          <w:p w14:paraId="2C469166" w14:textId="77777777" w:rsidR="00181CD3" w:rsidRPr="00181CD3" w:rsidRDefault="00181CD3" w:rsidP="00181CD3">
            <w:pPr>
              <w:pStyle w:val="TableText"/>
            </w:pPr>
            <w:r>
              <w:t>Ranked as an option for decline – this means this option</w:t>
            </w:r>
            <w:r w:rsidRPr="00181CD3">
              <w:t xml:space="preserve"> would not be funded, even if budget allowed, unless new information came to light.</w:t>
            </w:r>
          </w:p>
          <w:p w14:paraId="2A44C0D6" w14:textId="77777777" w:rsidR="00181CD3" w:rsidRDefault="00181CD3" w:rsidP="00181CD3">
            <w:pPr>
              <w:pStyle w:val="TableText"/>
            </w:pPr>
            <w:r>
              <w:t>Note: At the time of publication, Pharmac had updated the status of this application to seeking clinical advice. This means Pharmac is seeking further expert advice before it assesses and (re)ranks this application.</w:t>
            </w:r>
          </w:p>
          <w:p w14:paraId="2AA68FDC" w14:textId="77777777" w:rsidR="00181CD3" w:rsidRDefault="0056499C" w:rsidP="00181CD3">
            <w:pPr>
              <w:pStyle w:val="TableText"/>
            </w:pPr>
            <w:hyperlink r:id="rId76" w:history="1">
              <w:r w:rsidR="00181CD3" w:rsidRPr="00EF75E5">
                <w:rPr>
                  <w:rStyle w:val="Hyperlink"/>
                  <w:rFonts w:eastAsia="MS Gothic"/>
                </w:rPr>
                <w:t>https://connect.pharmac.govt.nz/apptracker/s/application-public/a102P000008puFH/p000836</w:t>
              </w:r>
            </w:hyperlink>
          </w:p>
        </w:tc>
      </w:tr>
      <w:tr w:rsidR="00181CD3" w14:paraId="10238691" w14:textId="77777777" w:rsidTr="00181CD3">
        <w:trPr>
          <w:cantSplit/>
        </w:trPr>
        <w:tc>
          <w:tcPr>
            <w:tcW w:w="2020" w:type="dxa"/>
            <w:vMerge/>
            <w:shd w:val="clear" w:color="auto" w:fill="auto"/>
          </w:tcPr>
          <w:p w14:paraId="6AC43A51" w14:textId="77777777" w:rsidR="00181CD3" w:rsidRPr="00181CD3" w:rsidRDefault="00181CD3" w:rsidP="00181CD3">
            <w:pPr>
              <w:pStyle w:val="TableText"/>
              <w:rPr>
                <w:b/>
              </w:rPr>
            </w:pPr>
          </w:p>
        </w:tc>
        <w:tc>
          <w:tcPr>
            <w:tcW w:w="6060" w:type="dxa"/>
            <w:gridSpan w:val="3"/>
            <w:tcBorders>
              <w:top w:val="single" w:sz="4" w:space="0" w:color="C2D9BA"/>
              <w:bottom w:val="single" w:sz="4" w:space="0" w:color="C2D9BA"/>
            </w:tcBorders>
            <w:shd w:val="clear" w:color="auto" w:fill="auto"/>
          </w:tcPr>
          <w:p w14:paraId="04FE127E" w14:textId="77777777" w:rsidR="00181CD3" w:rsidRPr="00CE5715" w:rsidRDefault="00181CD3" w:rsidP="00181CD3">
            <w:pPr>
              <w:pStyle w:val="TableText"/>
            </w:pPr>
            <w:r w:rsidRPr="00181CD3">
              <w:rPr>
                <w:b/>
              </w:rPr>
              <w:t>Nivolumab with ipilimumab</w:t>
            </w:r>
            <w:r w:rsidRPr="00181CD3">
              <w:t xml:space="preserve"> (used with chemotherapy)</w:t>
            </w:r>
          </w:p>
          <w:p w14:paraId="22180FD1" w14:textId="77777777" w:rsidR="00181CD3" w:rsidRPr="005C7CC8" w:rsidRDefault="00181CD3" w:rsidP="00181CD3">
            <w:pPr>
              <w:pStyle w:val="TableText"/>
              <w:rPr>
                <w:u w:val="single"/>
              </w:rPr>
            </w:pPr>
            <w:r>
              <w:t>Pharmac has not received a funding application.</w:t>
            </w:r>
          </w:p>
        </w:tc>
      </w:tr>
      <w:tr w:rsidR="00181CD3" w14:paraId="3F5FD186" w14:textId="77777777" w:rsidTr="00181CD3">
        <w:trPr>
          <w:cantSplit/>
        </w:trPr>
        <w:tc>
          <w:tcPr>
            <w:tcW w:w="2020" w:type="dxa"/>
            <w:vMerge/>
            <w:shd w:val="clear" w:color="auto" w:fill="auto"/>
          </w:tcPr>
          <w:p w14:paraId="3DEE20A6" w14:textId="77777777" w:rsidR="00181CD3" w:rsidRPr="00181CD3" w:rsidRDefault="00181CD3" w:rsidP="00181CD3">
            <w:pPr>
              <w:pStyle w:val="TableText"/>
              <w:rPr>
                <w:b/>
              </w:rPr>
            </w:pPr>
          </w:p>
        </w:tc>
        <w:tc>
          <w:tcPr>
            <w:tcW w:w="6060" w:type="dxa"/>
            <w:gridSpan w:val="3"/>
            <w:tcBorders>
              <w:top w:val="single" w:sz="4" w:space="0" w:color="C2D9BA"/>
              <w:bottom w:val="single" w:sz="4" w:space="0" w:color="C2D9BA"/>
            </w:tcBorders>
            <w:shd w:val="clear" w:color="auto" w:fill="auto"/>
          </w:tcPr>
          <w:p w14:paraId="73674E14" w14:textId="77777777" w:rsidR="00181CD3" w:rsidRPr="00181CD3" w:rsidRDefault="00181CD3" w:rsidP="00181CD3">
            <w:pPr>
              <w:pStyle w:val="TableText"/>
            </w:pPr>
            <w:r w:rsidRPr="00181CD3">
              <w:rPr>
                <w:b/>
              </w:rPr>
              <w:t>Pembrolizumab</w:t>
            </w:r>
            <w:r w:rsidRPr="00181CD3">
              <w:t xml:space="preserve"> (used without chemotherapy in patients with ‘PD-L1 high’ cancer)</w:t>
            </w:r>
          </w:p>
          <w:p w14:paraId="5D2B43EF" w14:textId="77777777" w:rsidR="00181CD3" w:rsidRDefault="00181CD3" w:rsidP="00181CD3">
            <w:pPr>
              <w:pStyle w:val="TableText"/>
            </w:pPr>
            <w:r>
              <w:t>Application received February 2017</w:t>
            </w:r>
          </w:p>
          <w:p w14:paraId="5FDA0C9A" w14:textId="77777777" w:rsidR="00181CD3" w:rsidRPr="00181CD3" w:rsidRDefault="00181CD3" w:rsidP="00181CD3">
            <w:pPr>
              <w:pStyle w:val="TableText"/>
            </w:pPr>
            <w:r>
              <w:t xml:space="preserve">Ranked as an option for </w:t>
            </w:r>
            <w:r w:rsidRPr="00181CD3">
              <w:t>investment – this means that this option would be funded if the budget allowed.</w:t>
            </w:r>
          </w:p>
          <w:p w14:paraId="4B22558C" w14:textId="77777777" w:rsidR="00181CD3" w:rsidRDefault="00181CD3" w:rsidP="00181CD3">
            <w:pPr>
              <w:pStyle w:val="TableText"/>
            </w:pPr>
            <w:r>
              <w:t>Note: At the time of publication, Pharmac had updated the status of this application to seeking clinical advice. This means Pharmac is seeking further expert advice before it assesses and (re)ranks this application.</w:t>
            </w:r>
          </w:p>
          <w:p w14:paraId="7F38C162" w14:textId="77777777" w:rsidR="00181CD3" w:rsidRPr="005C7CC8" w:rsidRDefault="0056499C" w:rsidP="00181CD3">
            <w:pPr>
              <w:pStyle w:val="TableText"/>
              <w:rPr>
                <w:u w:val="single"/>
              </w:rPr>
            </w:pPr>
            <w:hyperlink r:id="rId77" w:history="1">
              <w:r w:rsidR="00181CD3" w:rsidRPr="00EF75E5">
                <w:rPr>
                  <w:rStyle w:val="Hyperlink"/>
                  <w:rFonts w:eastAsia="MS Gothic"/>
                </w:rPr>
                <w:t>https://connect.pharmac.govt.nz/apptracker/s/application-public/a102P000008pu56/p000583</w:t>
              </w:r>
            </w:hyperlink>
          </w:p>
        </w:tc>
      </w:tr>
      <w:tr w:rsidR="00181CD3" w14:paraId="71049AC4" w14:textId="77777777" w:rsidTr="00181CD3">
        <w:trPr>
          <w:cantSplit/>
        </w:trPr>
        <w:tc>
          <w:tcPr>
            <w:tcW w:w="2020" w:type="dxa"/>
            <w:vMerge/>
            <w:tcBorders>
              <w:bottom w:val="single" w:sz="4" w:space="0" w:color="C2D9BA"/>
            </w:tcBorders>
            <w:shd w:val="clear" w:color="auto" w:fill="auto"/>
          </w:tcPr>
          <w:p w14:paraId="59F5E482" w14:textId="77777777" w:rsidR="00181CD3" w:rsidRPr="00181CD3" w:rsidRDefault="00181CD3" w:rsidP="00181CD3">
            <w:pPr>
              <w:pStyle w:val="TableText"/>
              <w:rPr>
                <w:b/>
              </w:rPr>
            </w:pPr>
          </w:p>
        </w:tc>
        <w:tc>
          <w:tcPr>
            <w:tcW w:w="6060" w:type="dxa"/>
            <w:gridSpan w:val="3"/>
            <w:tcBorders>
              <w:top w:val="single" w:sz="4" w:space="0" w:color="C2D9BA"/>
              <w:bottom w:val="single" w:sz="4" w:space="0" w:color="C2D9BA"/>
            </w:tcBorders>
            <w:shd w:val="clear" w:color="auto" w:fill="auto"/>
          </w:tcPr>
          <w:p w14:paraId="494C3F78" w14:textId="77777777" w:rsidR="00181CD3" w:rsidRPr="00181CD3" w:rsidRDefault="00181CD3" w:rsidP="00181CD3">
            <w:pPr>
              <w:pStyle w:val="TableText"/>
            </w:pPr>
            <w:r w:rsidRPr="00181CD3">
              <w:rPr>
                <w:b/>
              </w:rPr>
              <w:t>Pembrolizumab</w:t>
            </w:r>
            <w:r w:rsidRPr="00181CD3">
              <w:t xml:space="preserve"> (used with chemotherapy in ‘regardless of PD-L1’ patient population)</w:t>
            </w:r>
          </w:p>
          <w:p w14:paraId="0D2BBC2F" w14:textId="77777777" w:rsidR="00181CD3" w:rsidRDefault="00181CD3" w:rsidP="00181CD3">
            <w:pPr>
              <w:pStyle w:val="TableText"/>
            </w:pPr>
            <w:r>
              <w:t>Application received August 2018.</w:t>
            </w:r>
          </w:p>
          <w:p w14:paraId="61DF0587" w14:textId="77777777" w:rsidR="00181CD3" w:rsidRPr="00181CD3" w:rsidRDefault="00181CD3" w:rsidP="00181CD3">
            <w:pPr>
              <w:pStyle w:val="TableText"/>
            </w:pPr>
            <w:r>
              <w:t xml:space="preserve">Ranked as an option for investment </w:t>
            </w:r>
            <w:r w:rsidRPr="00181CD3">
              <w:t>– this means that this option would be funded if the budget allowed.</w:t>
            </w:r>
          </w:p>
          <w:p w14:paraId="43E3FD8F" w14:textId="77777777" w:rsidR="00181CD3" w:rsidRDefault="00181CD3" w:rsidP="00181CD3">
            <w:pPr>
              <w:pStyle w:val="TableText"/>
            </w:pPr>
            <w:r>
              <w:t>Note: At the time of publication, Pharmac had updated the status of this application to seeking clinical advice. This means Pharmac is seeking further expert advice before it assesses and (re)ranks this application.</w:t>
            </w:r>
          </w:p>
          <w:p w14:paraId="1C8337E9" w14:textId="77777777" w:rsidR="00181CD3" w:rsidRPr="00181CD3" w:rsidRDefault="0056499C" w:rsidP="00181CD3">
            <w:pPr>
              <w:pStyle w:val="TableText"/>
              <w:rPr>
                <w:b/>
              </w:rPr>
            </w:pPr>
            <w:hyperlink r:id="rId78" w:history="1">
              <w:r w:rsidR="00181CD3" w:rsidRPr="00EF75E5">
                <w:rPr>
                  <w:rStyle w:val="Hyperlink"/>
                  <w:rFonts w:eastAsia="MS Gothic"/>
                </w:rPr>
                <w:t>https://connect.pharmac.govt.nz/apptracker/s/application-public/a102P000008puL2/p000911</w:t>
              </w:r>
            </w:hyperlink>
          </w:p>
        </w:tc>
      </w:tr>
      <w:tr w:rsidR="00333F5A" w14:paraId="2F88CEE3" w14:textId="77777777" w:rsidTr="00290AF3">
        <w:trPr>
          <w:cantSplit/>
        </w:trPr>
        <w:tc>
          <w:tcPr>
            <w:tcW w:w="2020" w:type="dxa"/>
            <w:vMerge w:val="restart"/>
            <w:tcBorders>
              <w:top w:val="single" w:sz="4" w:space="0" w:color="C2D9BA"/>
            </w:tcBorders>
            <w:shd w:val="clear" w:color="auto" w:fill="auto"/>
          </w:tcPr>
          <w:p w14:paraId="58B24916" w14:textId="77777777" w:rsidR="00333F5A" w:rsidRPr="0038658B" w:rsidRDefault="00333F5A" w:rsidP="0038658B">
            <w:pPr>
              <w:pStyle w:val="TableText"/>
              <w:ind w:right="113"/>
              <w:rPr>
                <w:b/>
              </w:rPr>
            </w:pPr>
            <w:r w:rsidRPr="0038658B">
              <w:rPr>
                <w:b/>
              </w:rPr>
              <w:lastRenderedPageBreak/>
              <w:t>ESMO-MCBS clinical benefit score and summary of data informing the score</w:t>
            </w:r>
          </w:p>
        </w:tc>
        <w:tc>
          <w:tcPr>
            <w:tcW w:w="1808" w:type="dxa"/>
            <w:tcBorders>
              <w:top w:val="single" w:sz="4" w:space="0" w:color="C2D9BA"/>
              <w:bottom w:val="single" w:sz="4" w:space="0" w:color="C2D9BA"/>
            </w:tcBorders>
            <w:shd w:val="clear" w:color="auto" w:fill="auto"/>
          </w:tcPr>
          <w:p w14:paraId="4AAAC2CF" w14:textId="77777777" w:rsidR="00333F5A" w:rsidRDefault="00333F5A" w:rsidP="00181CD3">
            <w:pPr>
              <w:pStyle w:val="TableText"/>
            </w:pPr>
            <w:r>
              <w:t>Atezolizumab with bevacizumab (used with chemotherapy</w:t>
            </w:r>
          </w:p>
        </w:tc>
        <w:tc>
          <w:tcPr>
            <w:tcW w:w="425" w:type="dxa"/>
            <w:tcBorders>
              <w:top w:val="single" w:sz="4" w:space="0" w:color="C2D9BA"/>
              <w:bottom w:val="single" w:sz="4" w:space="0" w:color="C2D9BA"/>
            </w:tcBorders>
            <w:shd w:val="clear" w:color="auto" w:fill="auto"/>
          </w:tcPr>
          <w:p w14:paraId="140055AB" w14:textId="77777777" w:rsidR="00333F5A" w:rsidRDefault="00333F5A" w:rsidP="00181CD3">
            <w:pPr>
              <w:pStyle w:val="TableText"/>
              <w:jc w:val="center"/>
            </w:pPr>
            <w:r>
              <w:t>3</w:t>
            </w:r>
          </w:p>
        </w:tc>
        <w:tc>
          <w:tcPr>
            <w:tcW w:w="3827" w:type="dxa"/>
            <w:tcBorders>
              <w:top w:val="single" w:sz="4" w:space="0" w:color="C2D9BA"/>
              <w:bottom w:val="single" w:sz="4" w:space="0" w:color="C2D9BA"/>
            </w:tcBorders>
            <w:shd w:val="clear" w:color="auto" w:fill="auto"/>
          </w:tcPr>
          <w:p w14:paraId="6BE34C1F" w14:textId="77777777" w:rsidR="00333F5A" w:rsidRDefault="00333F5A" w:rsidP="00181CD3">
            <w:pPr>
              <w:pStyle w:val="TableText"/>
            </w:pPr>
            <w:r>
              <w:t>Compared with bevacizumab (used with chemotherapy):</w:t>
            </w:r>
          </w:p>
          <w:p w14:paraId="09EC3AA6" w14:textId="77777777" w:rsidR="00333F5A" w:rsidRDefault="00333F5A" w:rsidP="00181CD3">
            <w:pPr>
              <w:pStyle w:val="TableText"/>
            </w:pPr>
            <w:r w:rsidRPr="00614693">
              <w:t xml:space="preserve">Gain in </w:t>
            </w:r>
            <w:r>
              <w:t xml:space="preserve">median </w:t>
            </w:r>
            <w:r w:rsidRPr="00614693">
              <w:t>overall survival of 4.5</w:t>
            </w:r>
            <w:r>
              <w:t> </w:t>
            </w:r>
            <w:r w:rsidRPr="00614693">
              <w:t>months</w:t>
            </w:r>
          </w:p>
          <w:p w14:paraId="4692AFAC" w14:textId="77777777" w:rsidR="00333F5A" w:rsidRDefault="00333F5A" w:rsidP="00181CD3">
            <w:pPr>
              <w:pStyle w:val="TableText"/>
            </w:pPr>
            <w:r>
              <w:t>Gain in median progression-free survival of 1.5 months</w:t>
            </w:r>
          </w:p>
          <w:p w14:paraId="046A2A43" w14:textId="77777777" w:rsidR="00333F5A" w:rsidRDefault="00333F5A" w:rsidP="00181CD3">
            <w:pPr>
              <w:pStyle w:val="TableText"/>
            </w:pPr>
            <w:r>
              <w:t>Similar toxicities were noted – these did not contribute to the score.</w:t>
            </w:r>
          </w:p>
          <w:p w14:paraId="77E3F878" w14:textId="77777777" w:rsidR="00333F5A" w:rsidRDefault="00333F5A" w:rsidP="00181CD3">
            <w:pPr>
              <w:pStyle w:val="TableText"/>
            </w:pPr>
            <w:r>
              <w:t>Quality-of-life results did not contribute to the score.</w:t>
            </w:r>
          </w:p>
          <w:p w14:paraId="7FC01345" w14:textId="77777777" w:rsidR="00333F5A" w:rsidRDefault="00333F5A" w:rsidP="00181CD3">
            <w:pPr>
              <w:pStyle w:val="TableText"/>
            </w:pPr>
            <w:r w:rsidRPr="00614693">
              <w:t xml:space="preserve">Note: </w:t>
            </w:r>
            <w:r>
              <w:t xml:space="preserve">These were the results in a comparison against </w:t>
            </w:r>
            <w:r w:rsidRPr="00614693">
              <w:t>bevacizumab</w:t>
            </w:r>
            <w:r>
              <w:t>,</w:t>
            </w:r>
            <w:r w:rsidRPr="00614693">
              <w:t xml:space="preserve"> </w:t>
            </w:r>
            <w:r>
              <w:t xml:space="preserve">which </w:t>
            </w:r>
            <w:r w:rsidRPr="00614693">
              <w:t>is not funded in Aotearoa</w:t>
            </w:r>
            <w:r>
              <w:t>. The</w:t>
            </w:r>
            <w:r w:rsidRPr="00614693">
              <w:t xml:space="preserve"> </w:t>
            </w:r>
            <w:r>
              <w:t>relevant comparator</w:t>
            </w:r>
            <w:r w:rsidRPr="00614693">
              <w:t xml:space="preserve"> </w:t>
            </w:r>
            <w:r>
              <w:t xml:space="preserve">for Aotearoa </w:t>
            </w:r>
            <w:r w:rsidRPr="00614693">
              <w:t>would be chemotherapy alone.</w:t>
            </w:r>
            <w:r>
              <w:t xml:space="preserve"> Bevacizumab has been shown to improve overall survival by up to around two months when added to chemotherapy alone </w:t>
            </w:r>
            <w:r>
              <w:rPr>
                <w:noProof/>
              </w:rPr>
              <w:t>(Soria et al 2013)</w:t>
            </w:r>
            <w:r>
              <w:t>. Therefore, this regimen was categorised as likely to score at least 4 in the Aotearoa setting.</w:t>
            </w:r>
          </w:p>
          <w:p w14:paraId="06B02BB1" w14:textId="77777777" w:rsidR="00333F5A" w:rsidRDefault="0056499C" w:rsidP="00181CD3">
            <w:pPr>
              <w:pStyle w:val="TableText"/>
            </w:pPr>
            <w:hyperlink r:id="rId79" w:history="1">
              <w:r w:rsidR="00333F5A" w:rsidRPr="00333377">
                <w:rPr>
                  <w:rStyle w:val="Hyperlink"/>
                  <w:rFonts w:eastAsia="MS Gothic"/>
                </w:rPr>
                <w:t>www.esmo.org/guidelines/esmo-mcbs/esmo-mcbs-scorecards/scorecard-155-1</w:t>
              </w:r>
            </w:hyperlink>
          </w:p>
        </w:tc>
      </w:tr>
      <w:tr w:rsidR="00333F5A" w14:paraId="62BEBE75" w14:textId="77777777" w:rsidTr="00290AF3">
        <w:trPr>
          <w:cantSplit/>
        </w:trPr>
        <w:tc>
          <w:tcPr>
            <w:tcW w:w="2020" w:type="dxa"/>
            <w:vMerge/>
            <w:shd w:val="clear" w:color="auto" w:fill="auto"/>
          </w:tcPr>
          <w:p w14:paraId="2E75AD0A" w14:textId="77777777" w:rsidR="00333F5A" w:rsidRPr="0074040F" w:rsidRDefault="00333F5A" w:rsidP="00181CD3">
            <w:pPr>
              <w:pStyle w:val="TableText"/>
            </w:pPr>
          </w:p>
        </w:tc>
        <w:tc>
          <w:tcPr>
            <w:tcW w:w="1808" w:type="dxa"/>
            <w:tcBorders>
              <w:top w:val="single" w:sz="4" w:space="0" w:color="C2D9BA"/>
              <w:bottom w:val="single" w:sz="4" w:space="0" w:color="C2D9BA"/>
            </w:tcBorders>
            <w:shd w:val="clear" w:color="auto" w:fill="auto"/>
          </w:tcPr>
          <w:p w14:paraId="737C128D" w14:textId="77777777" w:rsidR="00333F5A" w:rsidRDefault="00333F5A" w:rsidP="00181CD3">
            <w:pPr>
              <w:pStyle w:val="TableText"/>
            </w:pPr>
            <w:r>
              <w:t>Nivolumab with ipilimumab (used with chemotherapy)</w:t>
            </w:r>
          </w:p>
        </w:tc>
        <w:tc>
          <w:tcPr>
            <w:tcW w:w="425" w:type="dxa"/>
            <w:tcBorders>
              <w:top w:val="single" w:sz="4" w:space="0" w:color="C2D9BA"/>
              <w:bottom w:val="single" w:sz="4" w:space="0" w:color="C2D9BA"/>
            </w:tcBorders>
            <w:shd w:val="clear" w:color="auto" w:fill="auto"/>
          </w:tcPr>
          <w:p w14:paraId="79E094B8" w14:textId="77777777" w:rsidR="00333F5A" w:rsidRDefault="00333F5A" w:rsidP="00181CD3">
            <w:pPr>
              <w:pStyle w:val="TableText"/>
              <w:jc w:val="center"/>
            </w:pPr>
            <w:r>
              <w:t>4</w:t>
            </w:r>
          </w:p>
        </w:tc>
        <w:tc>
          <w:tcPr>
            <w:tcW w:w="3827" w:type="dxa"/>
            <w:tcBorders>
              <w:top w:val="single" w:sz="4" w:space="0" w:color="C2D9BA"/>
              <w:bottom w:val="single" w:sz="4" w:space="0" w:color="C2D9BA"/>
            </w:tcBorders>
            <w:shd w:val="clear" w:color="auto" w:fill="auto"/>
          </w:tcPr>
          <w:p w14:paraId="37B64D75" w14:textId="77777777" w:rsidR="00333F5A" w:rsidRDefault="00333F5A" w:rsidP="00181CD3">
            <w:pPr>
              <w:pStyle w:val="TableText"/>
            </w:pPr>
            <w:r>
              <w:t>Compared with standard chemotherapy:</w:t>
            </w:r>
          </w:p>
          <w:p w14:paraId="67C649A8" w14:textId="77777777" w:rsidR="00333F5A" w:rsidRDefault="00333F5A" w:rsidP="00181CD3">
            <w:pPr>
              <w:pStyle w:val="TableText"/>
            </w:pPr>
            <w:r w:rsidRPr="00614693">
              <w:t xml:space="preserve">Gain in </w:t>
            </w:r>
            <w:r>
              <w:t xml:space="preserve">median </w:t>
            </w:r>
            <w:r w:rsidRPr="00614693">
              <w:t>overall survival of 4.7</w:t>
            </w:r>
            <w:r>
              <w:t> </w:t>
            </w:r>
            <w:r w:rsidRPr="00614693">
              <w:t>months</w:t>
            </w:r>
          </w:p>
          <w:p w14:paraId="3D04AF29" w14:textId="77777777" w:rsidR="00333F5A" w:rsidRDefault="00333F5A" w:rsidP="00181CD3">
            <w:pPr>
              <w:pStyle w:val="TableText"/>
            </w:pPr>
            <w:r>
              <w:t>Progression-free survival results did not contribute to the score.</w:t>
            </w:r>
          </w:p>
          <w:p w14:paraId="77C09EC5" w14:textId="77777777" w:rsidR="00333F5A" w:rsidRDefault="00333F5A" w:rsidP="00181CD3">
            <w:pPr>
              <w:pStyle w:val="TableText"/>
            </w:pPr>
            <w:r>
              <w:t>Quality-of-life and toxicity results did not contribute to the score.</w:t>
            </w:r>
          </w:p>
          <w:p w14:paraId="3397D478" w14:textId="77777777" w:rsidR="00333F5A" w:rsidRDefault="0056499C" w:rsidP="00181CD3">
            <w:pPr>
              <w:pStyle w:val="TableText"/>
            </w:pPr>
            <w:hyperlink r:id="rId80" w:history="1">
              <w:r w:rsidR="00333F5A" w:rsidRPr="00333377">
                <w:rPr>
                  <w:rStyle w:val="Hyperlink"/>
                  <w:rFonts w:eastAsia="MS Gothic"/>
                </w:rPr>
                <w:t>www.esmo.org/guidelines/esmo-mcbs/esmo-mcbs-scorecards/scorecard-257-1</w:t>
              </w:r>
            </w:hyperlink>
          </w:p>
        </w:tc>
      </w:tr>
      <w:tr w:rsidR="00333F5A" w14:paraId="4C85DA67" w14:textId="77777777" w:rsidTr="00290AF3">
        <w:trPr>
          <w:cantSplit/>
        </w:trPr>
        <w:tc>
          <w:tcPr>
            <w:tcW w:w="2020" w:type="dxa"/>
            <w:vMerge/>
            <w:tcBorders>
              <w:bottom w:val="single" w:sz="4" w:space="0" w:color="C2D9BA"/>
            </w:tcBorders>
            <w:shd w:val="clear" w:color="auto" w:fill="auto"/>
          </w:tcPr>
          <w:p w14:paraId="4A9D778E" w14:textId="77777777" w:rsidR="00333F5A" w:rsidRPr="0074040F" w:rsidRDefault="00333F5A" w:rsidP="00181CD3">
            <w:pPr>
              <w:pStyle w:val="TableText"/>
            </w:pPr>
          </w:p>
        </w:tc>
        <w:tc>
          <w:tcPr>
            <w:tcW w:w="1808" w:type="dxa"/>
            <w:tcBorders>
              <w:top w:val="single" w:sz="4" w:space="0" w:color="C2D9BA"/>
              <w:bottom w:val="single" w:sz="4" w:space="0" w:color="C2D9BA"/>
            </w:tcBorders>
            <w:shd w:val="clear" w:color="auto" w:fill="auto"/>
          </w:tcPr>
          <w:p w14:paraId="16004F64" w14:textId="77777777" w:rsidR="00333F5A" w:rsidRDefault="00333F5A" w:rsidP="00181CD3">
            <w:pPr>
              <w:pStyle w:val="TableText"/>
            </w:pPr>
            <w:r>
              <w:t>Pembrolizumab (used without chemotherapy in patients with ‘PD-L1 high’ cancer)</w:t>
            </w:r>
          </w:p>
        </w:tc>
        <w:tc>
          <w:tcPr>
            <w:tcW w:w="425" w:type="dxa"/>
            <w:tcBorders>
              <w:top w:val="single" w:sz="4" w:space="0" w:color="C2D9BA"/>
              <w:bottom w:val="single" w:sz="4" w:space="0" w:color="C2D9BA"/>
            </w:tcBorders>
            <w:shd w:val="clear" w:color="auto" w:fill="auto"/>
          </w:tcPr>
          <w:p w14:paraId="24F269C6" w14:textId="77777777" w:rsidR="00333F5A" w:rsidRDefault="00333F5A" w:rsidP="00181CD3">
            <w:pPr>
              <w:pStyle w:val="TableText"/>
              <w:jc w:val="center"/>
            </w:pPr>
            <w:r>
              <w:t>5</w:t>
            </w:r>
          </w:p>
        </w:tc>
        <w:tc>
          <w:tcPr>
            <w:tcW w:w="3827" w:type="dxa"/>
            <w:tcBorders>
              <w:top w:val="single" w:sz="4" w:space="0" w:color="C2D9BA"/>
              <w:bottom w:val="single" w:sz="4" w:space="0" w:color="C2D9BA"/>
            </w:tcBorders>
            <w:shd w:val="clear" w:color="auto" w:fill="auto"/>
          </w:tcPr>
          <w:p w14:paraId="02D09E7C" w14:textId="77777777" w:rsidR="00333F5A" w:rsidRDefault="00333F5A" w:rsidP="00181CD3">
            <w:pPr>
              <w:pStyle w:val="TableText"/>
            </w:pPr>
            <w:r>
              <w:t>Compared with standard chemotherapy:</w:t>
            </w:r>
          </w:p>
          <w:p w14:paraId="185CAE73" w14:textId="77777777" w:rsidR="00333F5A" w:rsidRDefault="00333F5A" w:rsidP="00181CD3">
            <w:pPr>
              <w:pStyle w:val="TableText"/>
            </w:pPr>
            <w:r w:rsidRPr="00614693">
              <w:t xml:space="preserve">Gain in </w:t>
            </w:r>
            <w:r>
              <w:t xml:space="preserve">median </w:t>
            </w:r>
            <w:r w:rsidRPr="00614693">
              <w:t>overall survival of 15.8</w:t>
            </w:r>
            <w:r>
              <w:t> </w:t>
            </w:r>
            <w:r w:rsidRPr="00614693">
              <w:t>months</w:t>
            </w:r>
          </w:p>
          <w:p w14:paraId="369D3C7C" w14:textId="77777777" w:rsidR="00333F5A" w:rsidRDefault="00333F5A" w:rsidP="00181CD3">
            <w:pPr>
              <w:pStyle w:val="TableText"/>
            </w:pPr>
            <w:r>
              <w:t>Gain in median progression-free survival of 4.3 months</w:t>
            </w:r>
          </w:p>
          <w:p w14:paraId="49262F32" w14:textId="77777777" w:rsidR="00333F5A" w:rsidRDefault="00333F5A" w:rsidP="00181CD3">
            <w:pPr>
              <w:pStyle w:val="TableText"/>
            </w:pPr>
            <w:r>
              <w:t>I</w:t>
            </w:r>
            <w:r w:rsidRPr="00614693">
              <w:t>mproved toxicity profile</w:t>
            </w:r>
            <w:r>
              <w:t xml:space="preserve"> contributed to the score.</w:t>
            </w:r>
          </w:p>
          <w:p w14:paraId="58ED7C4F" w14:textId="77777777" w:rsidR="00333F5A" w:rsidRDefault="00333F5A" w:rsidP="00181CD3">
            <w:pPr>
              <w:pStyle w:val="TableText"/>
            </w:pPr>
            <w:r>
              <w:t>Quality-of-life results did not contribute to the score.</w:t>
            </w:r>
          </w:p>
          <w:p w14:paraId="29C6D92A" w14:textId="77777777" w:rsidR="00333F5A" w:rsidRPr="00181CD3" w:rsidRDefault="0056499C" w:rsidP="00181CD3">
            <w:pPr>
              <w:pStyle w:val="TableText"/>
              <w:rPr>
                <w:spacing w:val="-2"/>
              </w:rPr>
            </w:pPr>
            <w:hyperlink r:id="rId81" w:history="1">
              <w:r w:rsidR="00333F5A" w:rsidRPr="00181CD3">
                <w:rPr>
                  <w:rStyle w:val="Hyperlink"/>
                  <w:rFonts w:eastAsia="MS Gothic"/>
                  <w:spacing w:val="-2"/>
                </w:rPr>
                <w:t>www.esmo.org/guidelines/esmo-mcbs/esmo-mcbs-scorecards/scorecard-68-1</w:t>
              </w:r>
            </w:hyperlink>
          </w:p>
        </w:tc>
      </w:tr>
      <w:tr w:rsidR="0038658B" w14:paraId="4E144CB9" w14:textId="77777777" w:rsidTr="00181CD3">
        <w:trPr>
          <w:cantSplit/>
        </w:trPr>
        <w:tc>
          <w:tcPr>
            <w:tcW w:w="2020" w:type="dxa"/>
            <w:tcBorders>
              <w:top w:val="single" w:sz="4" w:space="0" w:color="C2D9BA"/>
              <w:bottom w:val="single" w:sz="4" w:space="0" w:color="C2D9BA"/>
            </w:tcBorders>
            <w:shd w:val="clear" w:color="auto" w:fill="auto"/>
          </w:tcPr>
          <w:p w14:paraId="46187975" w14:textId="77777777" w:rsidR="0038658B" w:rsidRPr="0038658B" w:rsidRDefault="0038658B" w:rsidP="0038658B">
            <w:pPr>
              <w:pStyle w:val="TableText"/>
              <w:ind w:right="113"/>
              <w:rPr>
                <w:b/>
              </w:rPr>
            </w:pPr>
            <w:r w:rsidRPr="0038658B">
              <w:rPr>
                <w:b/>
              </w:rPr>
              <w:lastRenderedPageBreak/>
              <w:t>Current clinical practice in Aotearoa and how this would change if the gap were filled</w:t>
            </w:r>
          </w:p>
        </w:tc>
        <w:tc>
          <w:tcPr>
            <w:tcW w:w="6060" w:type="dxa"/>
            <w:gridSpan w:val="3"/>
            <w:tcBorders>
              <w:top w:val="single" w:sz="4" w:space="0" w:color="C2D9BA"/>
              <w:bottom w:val="single" w:sz="4" w:space="0" w:color="C2D9BA"/>
            </w:tcBorders>
            <w:shd w:val="clear" w:color="auto" w:fill="auto"/>
          </w:tcPr>
          <w:p w14:paraId="33F867C1" w14:textId="77777777" w:rsidR="0038658B" w:rsidRDefault="0038658B" w:rsidP="00290AF3">
            <w:pPr>
              <w:pStyle w:val="TableText"/>
            </w:pPr>
            <w:r>
              <w:t>The c</w:t>
            </w:r>
            <w:r w:rsidRPr="00614693">
              <w:t xml:space="preserve">urrent approach for </w:t>
            </w:r>
            <w:r>
              <w:t>these patients</w:t>
            </w:r>
            <w:r w:rsidRPr="00614693">
              <w:t xml:space="preserve"> is </w:t>
            </w:r>
            <w:r>
              <w:t xml:space="preserve">treatment with </w:t>
            </w:r>
            <w:r w:rsidRPr="00614693">
              <w:t xml:space="preserve">chemotherapy (as </w:t>
            </w:r>
            <w:r>
              <w:t xml:space="preserve">definitive treatment with </w:t>
            </w:r>
            <w:r w:rsidRPr="00614693">
              <w:t xml:space="preserve">surgical resection </w:t>
            </w:r>
            <w:r>
              <w:t xml:space="preserve">or chemoradiation is </w:t>
            </w:r>
            <w:r w:rsidRPr="00614693">
              <w:t>not an option).</w:t>
            </w:r>
          </w:p>
          <w:p w14:paraId="5BB12051" w14:textId="77777777" w:rsidR="0038658B" w:rsidRDefault="0038658B" w:rsidP="00290AF3">
            <w:pPr>
              <w:pStyle w:val="TableText"/>
            </w:pPr>
            <w:r>
              <w:t xml:space="preserve">If atezolizumab and bevacizumab, or nivolumab and ipilimumab were funded for use in this setting, they would be added on to chemotherapy. </w:t>
            </w:r>
            <w:r w:rsidRPr="00614693">
              <w:t xml:space="preserve">If pembrolizumab </w:t>
            </w:r>
            <w:r>
              <w:t>were funded</w:t>
            </w:r>
            <w:r w:rsidRPr="00614693">
              <w:t xml:space="preserve"> in this setting</w:t>
            </w:r>
            <w:r>
              <w:t>,</w:t>
            </w:r>
            <w:r w:rsidRPr="00614693">
              <w:t xml:space="preserve"> it would be </w:t>
            </w:r>
            <w:r>
              <w:t>added to</w:t>
            </w:r>
            <w:r w:rsidRPr="00614693">
              <w:t xml:space="preserve"> chemotherapy or</w:t>
            </w:r>
            <w:r>
              <w:t xml:space="preserve"> may</w:t>
            </w:r>
            <w:r w:rsidRPr="00614693">
              <w:t xml:space="preserve"> </w:t>
            </w:r>
            <w:r>
              <w:t xml:space="preserve">be used </w:t>
            </w:r>
            <w:r w:rsidRPr="00614693">
              <w:t>on its own (</w:t>
            </w:r>
            <w:r>
              <w:t xml:space="preserve">ie, </w:t>
            </w:r>
            <w:r w:rsidRPr="00614693">
              <w:t>monotherapy)</w:t>
            </w:r>
            <w:r>
              <w:t xml:space="preserve"> instead of chemotherapy,</w:t>
            </w:r>
            <w:r w:rsidRPr="00614693">
              <w:t xml:space="preserve"> for </w:t>
            </w:r>
            <w:r>
              <w:t>people with ‘PD-L1 high’ cancer</w:t>
            </w:r>
            <w:r w:rsidRPr="00614693">
              <w:t>.</w:t>
            </w:r>
          </w:p>
          <w:p w14:paraId="3531AF06" w14:textId="77777777" w:rsidR="0038658B" w:rsidRDefault="0038658B" w:rsidP="0038658B">
            <w:pPr>
              <w:pStyle w:val="TableText"/>
            </w:pPr>
            <w:r w:rsidRPr="00614693">
              <w:t xml:space="preserve">Patients would only receive </w:t>
            </w:r>
            <w:r>
              <w:t xml:space="preserve">treatment with immune checkpoint inhibitors for </w:t>
            </w:r>
            <w:r w:rsidRPr="00614693">
              <w:t>one line of therapy</w:t>
            </w:r>
            <w:r>
              <w:t xml:space="preserve">, and </w:t>
            </w:r>
            <w:r w:rsidRPr="00CF52B3">
              <w:t>clinical advice indicated that giving it earlier rather than later is generally preferred.</w:t>
            </w:r>
            <w:r>
              <w:t xml:space="preserve"> This means that if this gap were filled, the gap for immune checkpoint inhibitors in the second line would become redundant (for people who received first-line immune checkpoint inhibitor treatment).</w:t>
            </w:r>
          </w:p>
        </w:tc>
      </w:tr>
      <w:tr w:rsidR="0038658B" w14:paraId="518371BD" w14:textId="77777777" w:rsidTr="00181CD3">
        <w:trPr>
          <w:cantSplit/>
        </w:trPr>
        <w:tc>
          <w:tcPr>
            <w:tcW w:w="2020" w:type="dxa"/>
            <w:tcBorders>
              <w:top w:val="single" w:sz="4" w:space="0" w:color="C2D9BA"/>
              <w:bottom w:val="single" w:sz="4" w:space="0" w:color="C2D9BA"/>
            </w:tcBorders>
            <w:shd w:val="clear" w:color="auto" w:fill="auto"/>
          </w:tcPr>
          <w:p w14:paraId="7BD04359" w14:textId="77777777" w:rsidR="0038658B" w:rsidRPr="0038658B" w:rsidRDefault="0038658B" w:rsidP="0038658B">
            <w:pPr>
              <w:pStyle w:val="TableText"/>
              <w:ind w:right="113"/>
              <w:rPr>
                <w:b/>
              </w:rPr>
            </w:pPr>
            <w:r w:rsidRPr="0038658B">
              <w:rPr>
                <w:b/>
              </w:rPr>
              <w:t>Pharmac estimate of eligible population size</w:t>
            </w:r>
          </w:p>
        </w:tc>
        <w:tc>
          <w:tcPr>
            <w:tcW w:w="6060" w:type="dxa"/>
            <w:gridSpan w:val="3"/>
            <w:tcBorders>
              <w:top w:val="single" w:sz="4" w:space="0" w:color="C2D9BA"/>
              <w:bottom w:val="single" w:sz="4" w:space="0" w:color="C2D9BA"/>
            </w:tcBorders>
            <w:shd w:val="clear" w:color="auto" w:fill="auto"/>
          </w:tcPr>
          <w:p w14:paraId="3E486D30" w14:textId="77777777" w:rsidR="0038658B" w:rsidRDefault="00127E59" w:rsidP="00290AF3">
            <w:pPr>
              <w:pStyle w:val="TableText"/>
            </w:pPr>
            <w:r>
              <w:t>Approximately 900 people per year</w:t>
            </w:r>
            <w:r w:rsidR="000F128A">
              <w:t>, representing an ‘all c</w:t>
            </w:r>
            <w:r w:rsidR="001C0D51">
              <w:t>omers scenario’ without PD-L1 testing</w:t>
            </w:r>
          </w:p>
          <w:p w14:paraId="1B24A2D1" w14:textId="77777777" w:rsidR="00C564ED" w:rsidRDefault="00C564ED" w:rsidP="00290AF3">
            <w:pPr>
              <w:pStyle w:val="TableText"/>
            </w:pPr>
          </w:p>
          <w:p w14:paraId="7FB4ADFB" w14:textId="7B919596" w:rsidR="00C564ED" w:rsidRDefault="00C564ED" w:rsidP="00290AF3">
            <w:pPr>
              <w:pStyle w:val="TableText"/>
            </w:pPr>
          </w:p>
        </w:tc>
      </w:tr>
      <w:tr w:rsidR="0038658B" w14:paraId="669D09B1" w14:textId="77777777" w:rsidTr="00181CD3">
        <w:trPr>
          <w:cantSplit/>
        </w:trPr>
        <w:tc>
          <w:tcPr>
            <w:tcW w:w="2020" w:type="dxa"/>
            <w:tcBorders>
              <w:top w:val="single" w:sz="4" w:space="0" w:color="C2D9BA"/>
              <w:bottom w:val="single" w:sz="4" w:space="0" w:color="C2D9BA"/>
            </w:tcBorders>
            <w:shd w:val="clear" w:color="auto" w:fill="auto"/>
          </w:tcPr>
          <w:p w14:paraId="3AAF4DBB" w14:textId="77777777" w:rsidR="0038658B" w:rsidRPr="0038658B" w:rsidRDefault="0038658B" w:rsidP="0038658B">
            <w:pPr>
              <w:pStyle w:val="TableText"/>
              <w:ind w:right="113"/>
              <w:rPr>
                <w:b/>
              </w:rPr>
            </w:pPr>
            <w:r w:rsidRPr="0038658B">
              <w:rPr>
                <w:b/>
              </w:rPr>
              <w:t>How these medicines would be given</w:t>
            </w:r>
          </w:p>
        </w:tc>
        <w:tc>
          <w:tcPr>
            <w:tcW w:w="6060" w:type="dxa"/>
            <w:gridSpan w:val="3"/>
            <w:tcBorders>
              <w:top w:val="single" w:sz="4" w:space="0" w:color="C2D9BA"/>
              <w:bottom w:val="single" w:sz="4" w:space="0" w:color="C2D9BA"/>
            </w:tcBorders>
            <w:shd w:val="clear" w:color="auto" w:fill="auto"/>
          </w:tcPr>
          <w:p w14:paraId="7245D240" w14:textId="77777777" w:rsidR="0038658B" w:rsidRDefault="0038658B" w:rsidP="00290AF3">
            <w:pPr>
              <w:pStyle w:val="TableText"/>
            </w:pPr>
            <w:r>
              <w:t>These medicines are all given by infusion.</w:t>
            </w:r>
          </w:p>
          <w:p w14:paraId="7B9FE0D9" w14:textId="77777777" w:rsidR="0038658B" w:rsidRDefault="0038658B" w:rsidP="00290AF3">
            <w:pPr>
              <w:pStyle w:val="TableText"/>
            </w:pPr>
            <w:r w:rsidRPr="00614693">
              <w:t xml:space="preserve">For atezolizumab and bevacizumab, patients would receive four cycles of platinum-based chemotherapy with additional infusions each cycle of both atezolizumab and bevacizumab. After </w:t>
            </w:r>
            <w:r>
              <w:t xml:space="preserve">these </w:t>
            </w:r>
            <w:r w:rsidRPr="00614693">
              <w:t xml:space="preserve">four cycles, atezolizumab and bevacizumab </w:t>
            </w:r>
            <w:r>
              <w:t>would be</w:t>
            </w:r>
            <w:r w:rsidRPr="00614693">
              <w:t xml:space="preserve"> given as intravenous infusions once every three weeks until disease progression or unacceptable toxicity. If bevacizumab is discontinued due to toxicity, atezolizumab may be continued as monotherapy.</w:t>
            </w:r>
          </w:p>
          <w:p w14:paraId="3F81F1EC" w14:textId="77777777" w:rsidR="0038658B" w:rsidRDefault="0038658B" w:rsidP="00290AF3">
            <w:pPr>
              <w:pStyle w:val="TableText"/>
            </w:pPr>
            <w:r w:rsidRPr="00614693">
              <w:t>For nivolumab with ipilimumab, patients would have</w:t>
            </w:r>
            <w:r>
              <w:t xml:space="preserve"> at least</w:t>
            </w:r>
            <w:r w:rsidRPr="00614693">
              <w:t xml:space="preserve"> two</w:t>
            </w:r>
            <w:r>
              <w:t xml:space="preserve"> to four </w:t>
            </w:r>
            <w:r w:rsidRPr="00614693">
              <w:t xml:space="preserve">cycles of platinum-based chemotherapy, with nivolumab and ipilimumab infusions in addition. Nivolumab and ipilimumab </w:t>
            </w:r>
            <w:r>
              <w:t>would then be</w:t>
            </w:r>
            <w:r w:rsidRPr="00614693">
              <w:t xml:space="preserve"> given every three weeks until disease progression or unacceptable toxicity</w:t>
            </w:r>
            <w:r>
              <w:t xml:space="preserve">, </w:t>
            </w:r>
            <w:r w:rsidRPr="00614693">
              <w:t>for up to two years.</w:t>
            </w:r>
          </w:p>
          <w:p w14:paraId="772AC5C5" w14:textId="77777777" w:rsidR="0038658B" w:rsidRDefault="0038658B" w:rsidP="00290AF3">
            <w:pPr>
              <w:pStyle w:val="TableText"/>
            </w:pPr>
            <w:r w:rsidRPr="00463BEB">
              <w:t>For pembrolizumab used without chemotherapy</w:t>
            </w:r>
            <w:r>
              <w:t xml:space="preserve">, pembrolizumab </w:t>
            </w:r>
            <w:r w:rsidRPr="00463BEB">
              <w:t>would</w:t>
            </w:r>
            <w:r>
              <w:t xml:space="preserve"> </w:t>
            </w:r>
            <w:r w:rsidRPr="00614693">
              <w:t xml:space="preserve">be given either once every three or six weeks until disease progression </w:t>
            </w:r>
            <w:r>
              <w:t>(</w:t>
            </w:r>
            <w:r w:rsidRPr="00614693">
              <w:t>or unacceptable toxicity</w:t>
            </w:r>
            <w:r>
              <w:t>),</w:t>
            </w:r>
            <w:r w:rsidRPr="00614693">
              <w:t xml:space="preserve"> for up to two years</w:t>
            </w:r>
            <w:r>
              <w:t>.</w:t>
            </w:r>
          </w:p>
          <w:p w14:paraId="3EF20B01" w14:textId="77777777" w:rsidR="0038658B" w:rsidRDefault="0038658B" w:rsidP="00290AF3">
            <w:pPr>
              <w:pStyle w:val="TableText"/>
            </w:pPr>
            <w:r w:rsidRPr="00614693">
              <w:t>For pembrolizumab</w:t>
            </w:r>
            <w:r>
              <w:t xml:space="preserve"> used with chemotherapy</w:t>
            </w:r>
            <w:r w:rsidRPr="00614693">
              <w:t xml:space="preserve">, patients would receive four cycles of platinum-based </w:t>
            </w:r>
            <w:r>
              <w:t>chemotherapy</w:t>
            </w:r>
            <w:r w:rsidRPr="00614693">
              <w:t xml:space="preserve"> with an additional infusion each cycle of pembrolizumab. After four cycles, pembrolizumab would continue to be given once either every three or </w:t>
            </w:r>
            <w:r>
              <w:t xml:space="preserve">every </w:t>
            </w:r>
            <w:r w:rsidRPr="00614693">
              <w:t xml:space="preserve">six weeks until disease progression </w:t>
            </w:r>
            <w:r>
              <w:t>(</w:t>
            </w:r>
            <w:r w:rsidRPr="00614693">
              <w:t>or unacceptable toxicity</w:t>
            </w:r>
            <w:r>
              <w:t>), for up to two years.</w:t>
            </w:r>
          </w:p>
        </w:tc>
      </w:tr>
      <w:tr w:rsidR="0038658B" w14:paraId="15DF49F3" w14:textId="77777777" w:rsidTr="00181CD3">
        <w:trPr>
          <w:cantSplit/>
        </w:trPr>
        <w:tc>
          <w:tcPr>
            <w:tcW w:w="2020" w:type="dxa"/>
            <w:tcBorders>
              <w:top w:val="single" w:sz="4" w:space="0" w:color="C2D9BA"/>
              <w:bottom w:val="single" w:sz="4" w:space="0" w:color="C2D9BA"/>
            </w:tcBorders>
            <w:shd w:val="clear" w:color="auto" w:fill="auto"/>
          </w:tcPr>
          <w:p w14:paraId="3189AD75" w14:textId="77777777" w:rsidR="0038658B" w:rsidRPr="0038658B" w:rsidRDefault="0038658B" w:rsidP="0038658B">
            <w:pPr>
              <w:pStyle w:val="TableText"/>
              <w:ind w:right="113"/>
              <w:rPr>
                <w:b/>
              </w:rPr>
            </w:pPr>
            <w:r w:rsidRPr="0038658B">
              <w:rPr>
                <w:b/>
              </w:rPr>
              <w:lastRenderedPageBreak/>
              <w:t>Patient and whānau considerations</w:t>
            </w:r>
          </w:p>
        </w:tc>
        <w:tc>
          <w:tcPr>
            <w:tcW w:w="6060" w:type="dxa"/>
            <w:gridSpan w:val="3"/>
            <w:tcBorders>
              <w:top w:val="single" w:sz="4" w:space="0" w:color="C2D9BA"/>
              <w:bottom w:val="single" w:sz="4" w:space="0" w:color="C2D9BA"/>
            </w:tcBorders>
            <w:shd w:val="clear" w:color="auto" w:fill="auto"/>
          </w:tcPr>
          <w:p w14:paraId="09D03966" w14:textId="77777777" w:rsidR="0038658B" w:rsidRDefault="0038658B" w:rsidP="00290AF3">
            <w:pPr>
              <w:pStyle w:val="TableText"/>
            </w:pPr>
            <w:r>
              <w:t>In general, this would be an additional treatment used together with (or in some cases instead of) standard chemotherapy treatment, with the potential clinical benefit described above.</w:t>
            </w:r>
          </w:p>
          <w:p w14:paraId="1436B402" w14:textId="77777777" w:rsidR="0038658B" w:rsidRDefault="0038658B" w:rsidP="00290AF3">
            <w:pPr>
              <w:pStyle w:val="TableText"/>
            </w:pPr>
            <w:r>
              <w:t>Unlike chemotherapy alone, where the treatments stop after a fixed amount of time, treatment would continue until there is progression of the disease, usually up to a maximum of two years.</w:t>
            </w:r>
          </w:p>
          <w:p w14:paraId="11A45BD0" w14:textId="77777777" w:rsidR="0038658B" w:rsidRDefault="0038658B" w:rsidP="00290AF3">
            <w:pPr>
              <w:pStyle w:val="TableText"/>
            </w:pPr>
            <w:r>
              <w:t>This would mean that, compared with current treatment, there would generally be more treatment appointments to attend and more follow-up visits. The treatments are generally administered in the outpatient infusion centre, so patients would need to travel, but there would be no prescription charge. There may be other medicines needed to manage side effects and these medicines may have a prescription charge.</w:t>
            </w:r>
          </w:p>
          <w:p w14:paraId="6962FF0B" w14:textId="77777777" w:rsidR="0038658B" w:rsidRDefault="0038658B" w:rsidP="0038658B">
            <w:pPr>
              <w:pStyle w:val="TableText"/>
            </w:pPr>
            <w:r>
              <w:t>There are some particular side effects associated with immune checkpoint inhibitors that are quite different to the side effects of chemotherapy. These can develop long after treatment has stopped and may require specialised management.</w:t>
            </w:r>
          </w:p>
        </w:tc>
      </w:tr>
      <w:tr w:rsidR="0038658B" w14:paraId="2896CF7B" w14:textId="77777777" w:rsidTr="00181CD3">
        <w:trPr>
          <w:cantSplit/>
        </w:trPr>
        <w:tc>
          <w:tcPr>
            <w:tcW w:w="2020" w:type="dxa"/>
            <w:tcBorders>
              <w:top w:val="single" w:sz="4" w:space="0" w:color="C2D9BA"/>
              <w:bottom w:val="single" w:sz="4" w:space="0" w:color="C2D9BA"/>
            </w:tcBorders>
            <w:shd w:val="clear" w:color="auto" w:fill="auto"/>
          </w:tcPr>
          <w:p w14:paraId="3224B9E8" w14:textId="77777777" w:rsidR="0038658B" w:rsidRPr="0038658B" w:rsidRDefault="0038658B" w:rsidP="0038658B">
            <w:pPr>
              <w:pStyle w:val="TableText"/>
              <w:ind w:right="113"/>
              <w:rPr>
                <w:b/>
              </w:rPr>
            </w:pPr>
            <w:r w:rsidRPr="0038658B">
              <w:rPr>
                <w:b/>
              </w:rPr>
              <w:t>Health system resource considerations</w:t>
            </w:r>
          </w:p>
        </w:tc>
        <w:tc>
          <w:tcPr>
            <w:tcW w:w="6060" w:type="dxa"/>
            <w:gridSpan w:val="3"/>
            <w:tcBorders>
              <w:top w:val="single" w:sz="4" w:space="0" w:color="C2D9BA"/>
              <w:bottom w:val="single" w:sz="4" w:space="0" w:color="C2D9BA"/>
            </w:tcBorders>
            <w:shd w:val="clear" w:color="auto" w:fill="auto"/>
          </w:tcPr>
          <w:p w14:paraId="45FCCFD3" w14:textId="77777777" w:rsidR="0038658B" w:rsidRDefault="0038658B" w:rsidP="00290AF3">
            <w:pPr>
              <w:pStyle w:val="TableText"/>
            </w:pPr>
            <w:r w:rsidRPr="00614693">
              <w:t xml:space="preserve">Additional </w:t>
            </w:r>
            <w:r>
              <w:t xml:space="preserve">treatment and </w:t>
            </w:r>
            <w:r w:rsidRPr="00614693">
              <w:t>follow-up appointments required.</w:t>
            </w:r>
          </w:p>
          <w:p w14:paraId="0EBDA3A1" w14:textId="77777777" w:rsidR="0038658B" w:rsidRDefault="0038658B" w:rsidP="00290AF3">
            <w:pPr>
              <w:pStyle w:val="TableText"/>
            </w:pPr>
            <w:r w:rsidRPr="00614693">
              <w:t xml:space="preserve">Additional chair time </w:t>
            </w:r>
            <w:r>
              <w:t>for administration of treatment</w:t>
            </w:r>
            <w:r w:rsidRPr="00614693">
              <w:t>.</w:t>
            </w:r>
          </w:p>
          <w:p w14:paraId="1C3B0007" w14:textId="77777777" w:rsidR="0038658B" w:rsidRDefault="0038658B" w:rsidP="00290AF3">
            <w:pPr>
              <w:pStyle w:val="TableText"/>
            </w:pPr>
            <w:r w:rsidRPr="00614693">
              <w:t>Increased demand for laboratory</w:t>
            </w:r>
            <w:r>
              <w:t xml:space="preserve"> and pathology services to determine treatment eligibility and monitor for treatment toxicities.</w:t>
            </w:r>
          </w:p>
          <w:p w14:paraId="1E7CCA49" w14:textId="77777777" w:rsidR="0038658B" w:rsidRDefault="0038658B" w:rsidP="00290AF3">
            <w:pPr>
              <w:pStyle w:val="TableText"/>
            </w:pPr>
            <w:r>
              <w:t>If these treatments were funded with the requirement to determine PD</w:t>
            </w:r>
            <w:r>
              <w:noBreakHyphen/>
              <w:t>1/PD-L1 status, this would have a particularly significant impact on pathology and laboratory services as these tests are not routinely available in Aotearoa. These tests may also require additional surgical intervention. Even if this is not required through funding criteria, there may still be a clinical need for testing to determine which patients could be treated with immunotherapy rather than immunochemotherapy.</w:t>
            </w:r>
          </w:p>
          <w:p w14:paraId="34691FC6" w14:textId="77777777" w:rsidR="0038658B" w:rsidRDefault="0038658B" w:rsidP="00290AF3">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3FF4ACD2" w14:textId="77777777" w:rsidR="0038658B" w:rsidRDefault="0038658B" w:rsidP="00290AF3">
            <w:pPr>
              <w:pStyle w:val="TableText"/>
            </w:pPr>
            <w:r>
              <w:t>Increased demand for supportive care and toxicity management (including health care professionals’ time and pharmaceuticals).</w:t>
            </w:r>
          </w:p>
        </w:tc>
      </w:tr>
    </w:tbl>
    <w:bookmarkEnd w:id="387"/>
    <w:p w14:paraId="3CA25755" w14:textId="77777777" w:rsidR="00C338E8" w:rsidRDefault="006D7F10" w:rsidP="009B6B07">
      <w:pPr>
        <w:pStyle w:val="Note"/>
      </w:pPr>
      <w:r>
        <w:t>^</w:t>
      </w:r>
      <w:r>
        <w:tab/>
      </w:r>
      <w:r w:rsidRPr="002B2A24">
        <w:t>In clinical trials</w:t>
      </w:r>
      <w:r>
        <w:t xml:space="preserve"> of immunotherapies such as pembrolizumab,</w:t>
      </w:r>
      <w:r w:rsidRPr="002B2A24">
        <w:t xml:space="preserve"> the regimens used and clinical efficacy differ based on PD-L1 status of the lung cancer. Pharmac has active funding applications both with and without regard to PD-L1 status. In Australia, </w:t>
      </w:r>
      <w:r>
        <w:t>immunotherapies are</w:t>
      </w:r>
      <w:r w:rsidRPr="002B2A24">
        <w:t xml:space="preserve"> funded without </w:t>
      </w:r>
      <w:r>
        <w:t>requirements</w:t>
      </w:r>
      <w:r w:rsidRPr="002B2A24">
        <w:t xml:space="preserve"> regarding PD-L1 status</w:t>
      </w:r>
      <w:r>
        <w:t>, and pembrolizumab may be used with</w:t>
      </w:r>
      <w:r w:rsidRPr="002B2A24">
        <w:t xml:space="preserve"> </w:t>
      </w:r>
      <w:r>
        <w:t>or without concomitant chemotherapy. T</w:t>
      </w:r>
      <w:r w:rsidRPr="002B2A24">
        <w:t xml:space="preserve">herefore both </w:t>
      </w:r>
      <w:r w:rsidR="00D34911">
        <w:t>‘</w:t>
      </w:r>
      <w:r w:rsidRPr="002B2A24">
        <w:t>PD-L1 high</w:t>
      </w:r>
      <w:r w:rsidR="00D34911">
        <w:t>’</w:t>
      </w:r>
      <w:r w:rsidRPr="002B2A24">
        <w:t xml:space="preserve"> and </w:t>
      </w:r>
      <w:r w:rsidR="00D34911">
        <w:t>‘</w:t>
      </w:r>
      <w:r>
        <w:t>regardless of PD-L1 status</w:t>
      </w:r>
      <w:r w:rsidR="00D34911">
        <w:t>’</w:t>
      </w:r>
      <w:r w:rsidRPr="002B2A24">
        <w:t xml:space="preserve"> </w:t>
      </w:r>
      <w:r>
        <w:t xml:space="preserve">have been considered </w:t>
      </w:r>
      <w:r w:rsidRPr="002B2A24">
        <w:t>together as one group for the purpose of this analysis.</w:t>
      </w:r>
      <w:r>
        <w:t xml:space="preserve"> For this gap to be filled in its entirety, the Pharmac funding criteria in Aotearoa would need to mirror those in Australia.</w:t>
      </w:r>
    </w:p>
    <w:p w14:paraId="3AFD33D1" w14:textId="77777777" w:rsidR="00C338E8" w:rsidRDefault="00C338E8" w:rsidP="009B6B07"/>
    <w:p w14:paraId="1EB9ADE6" w14:textId="77777777" w:rsidR="006D7F10" w:rsidRDefault="006D7F10" w:rsidP="009B6B07">
      <w:pPr>
        <w:pStyle w:val="Table"/>
      </w:pPr>
      <w:bookmarkStart w:id="388" w:name="_Toc101365618"/>
      <w:bookmarkStart w:id="389" w:name="Appendix_7_Table_7point2"/>
      <w:r>
        <w:lastRenderedPageBreak/>
        <w:t>Table</w:t>
      </w:r>
      <w:r w:rsidR="009B6B07">
        <w:t> </w:t>
      </w:r>
      <w:r>
        <w:t>7.2: Atezolizumab or nivolumab for lung cancer – second-line therapy</w:t>
      </w:r>
      <w:bookmarkEnd w:id="38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1808"/>
        <w:gridCol w:w="425"/>
        <w:gridCol w:w="3827"/>
      </w:tblGrid>
      <w:tr w:rsidR="00290AF3" w14:paraId="58856DBA" w14:textId="77777777" w:rsidTr="00290AF3">
        <w:trPr>
          <w:cantSplit/>
        </w:trPr>
        <w:tc>
          <w:tcPr>
            <w:tcW w:w="2020" w:type="dxa"/>
            <w:tcBorders>
              <w:top w:val="nil"/>
              <w:bottom w:val="nil"/>
            </w:tcBorders>
            <w:shd w:val="clear" w:color="auto" w:fill="C2D9BA"/>
          </w:tcPr>
          <w:p w14:paraId="54510348" w14:textId="77777777" w:rsidR="00290AF3" w:rsidRPr="00181CD3" w:rsidRDefault="00290AF3" w:rsidP="00290AF3">
            <w:pPr>
              <w:pStyle w:val="TableText"/>
              <w:keepNext/>
              <w:ind w:right="113"/>
              <w:rPr>
                <w:b/>
              </w:rPr>
            </w:pPr>
            <w:r w:rsidRPr="00181CD3">
              <w:rPr>
                <w:b/>
              </w:rPr>
              <w:t>Indication description</w:t>
            </w:r>
          </w:p>
        </w:tc>
        <w:tc>
          <w:tcPr>
            <w:tcW w:w="6060" w:type="dxa"/>
            <w:gridSpan w:val="3"/>
            <w:tcBorders>
              <w:top w:val="nil"/>
              <w:bottom w:val="nil"/>
            </w:tcBorders>
            <w:shd w:val="clear" w:color="auto" w:fill="C2D9BA"/>
          </w:tcPr>
          <w:p w14:paraId="42F7B9DF" w14:textId="77777777" w:rsidR="00290AF3" w:rsidRDefault="00290AF3" w:rsidP="00290AF3">
            <w:pPr>
              <w:pStyle w:val="TableText"/>
            </w:pPr>
            <w:r w:rsidRPr="001731F2">
              <w:t>Non-small cell lung cancer, locally advanced or metastatic, as second-line therapy</w:t>
            </w:r>
          </w:p>
          <w:p w14:paraId="34A27C40" w14:textId="61BEBD81" w:rsidR="00290AF3" w:rsidRDefault="00290AF3" w:rsidP="00290AF3">
            <w:pPr>
              <w:pStyle w:val="TableText"/>
            </w:pPr>
          </w:p>
        </w:tc>
      </w:tr>
      <w:tr w:rsidR="00290AF3" w14:paraId="3B8C137A" w14:textId="77777777" w:rsidTr="00290AF3">
        <w:trPr>
          <w:cantSplit/>
        </w:trPr>
        <w:tc>
          <w:tcPr>
            <w:tcW w:w="2020" w:type="dxa"/>
            <w:tcBorders>
              <w:top w:val="single" w:sz="4" w:space="0" w:color="C2D9BA"/>
              <w:bottom w:val="single" w:sz="4" w:space="0" w:color="C2D9BA"/>
            </w:tcBorders>
            <w:shd w:val="clear" w:color="auto" w:fill="E7F0E3"/>
          </w:tcPr>
          <w:p w14:paraId="11CF678B" w14:textId="77777777" w:rsidR="00290AF3" w:rsidRPr="00181CD3" w:rsidRDefault="00290AF3" w:rsidP="00290AF3">
            <w:pPr>
              <w:pStyle w:val="TableText"/>
              <w:keepNext/>
              <w:ind w:right="113"/>
              <w:rPr>
                <w:b/>
              </w:rPr>
            </w:pPr>
            <w:r w:rsidRPr="00181CD3">
              <w:rPr>
                <w:b/>
              </w:rPr>
              <w:t>Medicine option</w:t>
            </w:r>
            <w:r>
              <w:rPr>
                <w:b/>
              </w:rPr>
              <w:t>(</w:t>
            </w:r>
            <w:r w:rsidRPr="00181CD3">
              <w:rPr>
                <w:b/>
              </w:rPr>
              <w:t>s</w:t>
            </w:r>
            <w:r>
              <w:rPr>
                <w:b/>
              </w:rPr>
              <w:t>)</w:t>
            </w:r>
            <w:r w:rsidRPr="00181CD3">
              <w:rPr>
                <w:b/>
              </w:rPr>
              <w:t xml:space="preserve"> to fill the gap</w:t>
            </w:r>
          </w:p>
        </w:tc>
        <w:tc>
          <w:tcPr>
            <w:tcW w:w="6060" w:type="dxa"/>
            <w:gridSpan w:val="3"/>
            <w:tcBorders>
              <w:top w:val="single" w:sz="4" w:space="0" w:color="C2D9BA"/>
              <w:bottom w:val="single" w:sz="4" w:space="0" w:color="C2D9BA"/>
            </w:tcBorders>
            <w:shd w:val="clear" w:color="auto" w:fill="E7F0E3"/>
          </w:tcPr>
          <w:p w14:paraId="5CC3F358" w14:textId="77777777" w:rsidR="00290AF3" w:rsidRDefault="00290AF3" w:rsidP="00290AF3">
            <w:pPr>
              <w:pStyle w:val="TableText"/>
            </w:pPr>
            <w:r>
              <w:t>Atezolizumab</w:t>
            </w:r>
          </w:p>
          <w:p w14:paraId="645B6B7B" w14:textId="77777777" w:rsidR="00290AF3" w:rsidRDefault="00290AF3" w:rsidP="00290AF3">
            <w:pPr>
              <w:pStyle w:val="TableText"/>
            </w:pPr>
            <w:r>
              <w:t>OR</w:t>
            </w:r>
          </w:p>
          <w:p w14:paraId="223738D5" w14:textId="77777777" w:rsidR="00290AF3" w:rsidRDefault="00290AF3" w:rsidP="00290AF3">
            <w:pPr>
              <w:pStyle w:val="TableText"/>
            </w:pPr>
            <w:r>
              <w:t>Nivolumab</w:t>
            </w:r>
          </w:p>
        </w:tc>
      </w:tr>
      <w:tr w:rsidR="00290AF3" w14:paraId="7F24D355" w14:textId="77777777" w:rsidTr="00290AF3">
        <w:trPr>
          <w:cantSplit/>
        </w:trPr>
        <w:tc>
          <w:tcPr>
            <w:tcW w:w="2020" w:type="dxa"/>
            <w:tcBorders>
              <w:top w:val="single" w:sz="4" w:space="0" w:color="C2D9BA"/>
              <w:bottom w:val="single" w:sz="4" w:space="0" w:color="C2D9BA"/>
            </w:tcBorders>
            <w:shd w:val="clear" w:color="auto" w:fill="auto"/>
          </w:tcPr>
          <w:p w14:paraId="07D40FD5" w14:textId="77777777" w:rsidR="00290AF3" w:rsidRPr="00181CD3" w:rsidRDefault="00290AF3" w:rsidP="00290AF3">
            <w:pPr>
              <w:pStyle w:val="TableText"/>
              <w:keepNext/>
              <w:ind w:right="113"/>
              <w:rPr>
                <w:b/>
              </w:rPr>
            </w:pPr>
            <w:r w:rsidRPr="00181CD3">
              <w:rPr>
                <w:b/>
              </w:rPr>
              <w:t>Descripti</w:t>
            </w:r>
            <w:r>
              <w:rPr>
                <w:b/>
              </w:rPr>
              <w:t>on of medicine class</w:t>
            </w:r>
          </w:p>
        </w:tc>
        <w:tc>
          <w:tcPr>
            <w:tcW w:w="6060" w:type="dxa"/>
            <w:gridSpan w:val="3"/>
            <w:tcBorders>
              <w:top w:val="single" w:sz="4" w:space="0" w:color="C2D9BA"/>
              <w:bottom w:val="single" w:sz="4" w:space="0" w:color="C2D9BA"/>
            </w:tcBorders>
            <w:shd w:val="clear" w:color="auto" w:fill="auto"/>
          </w:tcPr>
          <w:p w14:paraId="6D70100E" w14:textId="77777777" w:rsidR="00290AF3" w:rsidRDefault="00290AF3" w:rsidP="00290AF3">
            <w:pPr>
              <w:pStyle w:val="TableText"/>
            </w:pPr>
            <w:r>
              <w:t>Immune checkpoint inhibitor (monoclonal antibody targeting PD</w:t>
            </w:r>
            <w:r>
              <w:noBreakHyphen/>
              <w:t>1/PD</w:t>
            </w:r>
            <w:r>
              <w:noBreakHyphen/>
              <w:t>L1 protein)</w:t>
            </w:r>
          </w:p>
        </w:tc>
      </w:tr>
      <w:tr w:rsidR="00290AF3" w14:paraId="7E5D8249" w14:textId="77777777" w:rsidTr="00290AF3">
        <w:trPr>
          <w:cantSplit/>
        </w:trPr>
        <w:tc>
          <w:tcPr>
            <w:tcW w:w="2020" w:type="dxa"/>
            <w:tcBorders>
              <w:top w:val="single" w:sz="4" w:space="0" w:color="C2D9BA"/>
              <w:bottom w:val="single" w:sz="4" w:space="0" w:color="C2D9BA"/>
            </w:tcBorders>
            <w:shd w:val="clear" w:color="auto" w:fill="auto"/>
          </w:tcPr>
          <w:p w14:paraId="42CC5399" w14:textId="77777777" w:rsidR="00290AF3" w:rsidRPr="00181CD3" w:rsidRDefault="00290AF3" w:rsidP="00290AF3">
            <w:pPr>
              <w:pStyle w:val="TableText"/>
              <w:keepNext/>
              <w:ind w:right="113"/>
              <w:rPr>
                <w:b/>
              </w:rPr>
            </w:pPr>
            <w:r w:rsidRPr="00181CD3">
              <w:rPr>
                <w:b/>
              </w:rPr>
              <w:t>Intent of treatment</w:t>
            </w:r>
          </w:p>
        </w:tc>
        <w:tc>
          <w:tcPr>
            <w:tcW w:w="6060" w:type="dxa"/>
            <w:gridSpan w:val="3"/>
            <w:tcBorders>
              <w:top w:val="single" w:sz="4" w:space="0" w:color="C2D9BA"/>
              <w:bottom w:val="single" w:sz="4" w:space="0" w:color="C2D9BA"/>
            </w:tcBorders>
            <w:shd w:val="clear" w:color="auto" w:fill="auto"/>
          </w:tcPr>
          <w:p w14:paraId="33AFE7D4" w14:textId="77777777" w:rsidR="00290AF3" w:rsidRDefault="00290AF3" w:rsidP="00290AF3">
            <w:pPr>
              <w:pStyle w:val="TableText"/>
            </w:pPr>
            <w:r>
              <w:t>Non-curative</w:t>
            </w:r>
          </w:p>
        </w:tc>
      </w:tr>
      <w:tr w:rsidR="00290AF3" w14:paraId="2F2764CE" w14:textId="77777777" w:rsidTr="00290AF3">
        <w:trPr>
          <w:cantSplit/>
        </w:trPr>
        <w:tc>
          <w:tcPr>
            <w:tcW w:w="2020" w:type="dxa"/>
            <w:vMerge w:val="restart"/>
            <w:tcBorders>
              <w:top w:val="single" w:sz="4" w:space="0" w:color="C2D9BA"/>
            </w:tcBorders>
            <w:shd w:val="clear" w:color="auto" w:fill="auto"/>
          </w:tcPr>
          <w:p w14:paraId="645C154A" w14:textId="77777777" w:rsidR="00290AF3" w:rsidRPr="00181CD3" w:rsidRDefault="00290AF3" w:rsidP="00290AF3">
            <w:pPr>
              <w:pStyle w:val="TableText"/>
              <w:ind w:right="113"/>
              <w:rPr>
                <w:b/>
              </w:rPr>
            </w:pPr>
            <w:r w:rsidRPr="00181CD3">
              <w:rPr>
                <w:b/>
              </w:rPr>
              <w:t>Pharmac status at time of analysis</w:t>
            </w:r>
          </w:p>
        </w:tc>
        <w:tc>
          <w:tcPr>
            <w:tcW w:w="6060" w:type="dxa"/>
            <w:gridSpan w:val="3"/>
            <w:tcBorders>
              <w:top w:val="single" w:sz="4" w:space="0" w:color="C2D9BA"/>
              <w:bottom w:val="single" w:sz="4" w:space="0" w:color="C2D9BA"/>
            </w:tcBorders>
            <w:shd w:val="clear" w:color="auto" w:fill="auto"/>
          </w:tcPr>
          <w:p w14:paraId="3BA9B1F1" w14:textId="77777777" w:rsidR="00290AF3" w:rsidRPr="00290AF3" w:rsidRDefault="00290AF3" w:rsidP="00290AF3">
            <w:pPr>
              <w:pStyle w:val="TableText"/>
              <w:rPr>
                <w:b/>
              </w:rPr>
            </w:pPr>
            <w:r w:rsidRPr="00290AF3">
              <w:rPr>
                <w:b/>
              </w:rPr>
              <w:t>Atezolizumab</w:t>
            </w:r>
          </w:p>
          <w:p w14:paraId="781C4044" w14:textId="77777777" w:rsidR="00290AF3" w:rsidRDefault="00290AF3" w:rsidP="00290AF3">
            <w:pPr>
              <w:pStyle w:val="TableText"/>
            </w:pPr>
            <w:r>
              <w:t>Application received May 2017</w:t>
            </w:r>
          </w:p>
          <w:p w14:paraId="6EDA691C" w14:textId="77777777" w:rsidR="00290AF3" w:rsidRPr="00290AF3" w:rsidRDefault="00290AF3" w:rsidP="00290AF3">
            <w:pPr>
              <w:pStyle w:val="TableText"/>
            </w:pPr>
            <w:r>
              <w:t xml:space="preserve">Ranked as an option for investment – </w:t>
            </w:r>
            <w:r w:rsidRPr="00290AF3">
              <w:t>this means that this option would be funded if the budget allowed.</w:t>
            </w:r>
          </w:p>
          <w:p w14:paraId="4BFF537A" w14:textId="77777777" w:rsidR="00290AF3" w:rsidRDefault="00290AF3" w:rsidP="00290AF3">
            <w:pPr>
              <w:pStyle w:val="TableText"/>
            </w:pPr>
            <w:r>
              <w:t>Note: At the time of publication, Pharmac had updated the status to seeking clinical advice. This means Pharmac is seeking further expert advice before it assesses and (re)ranks this application.</w:t>
            </w:r>
          </w:p>
          <w:p w14:paraId="1D325659" w14:textId="77777777" w:rsidR="00290AF3" w:rsidRDefault="0056499C" w:rsidP="00290AF3">
            <w:pPr>
              <w:pStyle w:val="TableText"/>
            </w:pPr>
            <w:hyperlink r:id="rId82" w:history="1">
              <w:r w:rsidR="00290AF3" w:rsidRPr="00EF75E5">
                <w:rPr>
                  <w:rStyle w:val="Hyperlink"/>
                  <w:rFonts w:eastAsia="MS Gothic"/>
                </w:rPr>
                <w:t>https://connect.pharmac.govt.nz/apptracker/s/application-public/a102P000008ptuw/p000243</w:t>
              </w:r>
            </w:hyperlink>
          </w:p>
        </w:tc>
      </w:tr>
      <w:tr w:rsidR="00290AF3" w:rsidRPr="00181CD3" w14:paraId="5E845BA0" w14:textId="77777777" w:rsidTr="00CE5715">
        <w:trPr>
          <w:cantSplit/>
        </w:trPr>
        <w:tc>
          <w:tcPr>
            <w:tcW w:w="2020" w:type="dxa"/>
            <w:vMerge/>
            <w:tcBorders>
              <w:bottom w:val="single" w:sz="4" w:space="0" w:color="C2D9BA"/>
            </w:tcBorders>
            <w:shd w:val="clear" w:color="auto" w:fill="auto"/>
          </w:tcPr>
          <w:p w14:paraId="15530FD3" w14:textId="77777777" w:rsidR="00290AF3" w:rsidRPr="00181CD3" w:rsidRDefault="00290AF3" w:rsidP="00290AF3">
            <w:pPr>
              <w:pStyle w:val="TableText"/>
              <w:rPr>
                <w:b/>
              </w:rPr>
            </w:pPr>
          </w:p>
        </w:tc>
        <w:tc>
          <w:tcPr>
            <w:tcW w:w="6060" w:type="dxa"/>
            <w:gridSpan w:val="3"/>
            <w:tcBorders>
              <w:top w:val="single" w:sz="4" w:space="0" w:color="C2D9BA"/>
              <w:bottom w:val="single" w:sz="4" w:space="0" w:color="C2D9BA"/>
            </w:tcBorders>
            <w:shd w:val="clear" w:color="auto" w:fill="auto"/>
          </w:tcPr>
          <w:p w14:paraId="2E92D517" w14:textId="77777777" w:rsidR="00756032" w:rsidRPr="00756032" w:rsidRDefault="00756032" w:rsidP="00756032">
            <w:pPr>
              <w:pStyle w:val="TableText"/>
              <w:rPr>
                <w:b/>
              </w:rPr>
            </w:pPr>
            <w:r w:rsidRPr="00756032">
              <w:rPr>
                <w:b/>
              </w:rPr>
              <w:t>Nivolumab</w:t>
            </w:r>
          </w:p>
          <w:p w14:paraId="5205991D" w14:textId="77777777" w:rsidR="00756032" w:rsidRDefault="00756032" w:rsidP="00756032">
            <w:pPr>
              <w:pStyle w:val="TableText"/>
            </w:pPr>
            <w:r>
              <w:t>Application received February 2016</w:t>
            </w:r>
          </w:p>
          <w:p w14:paraId="3BCFCB7F" w14:textId="77777777" w:rsidR="00756032" w:rsidRPr="00756032" w:rsidRDefault="00756032" w:rsidP="00756032">
            <w:pPr>
              <w:pStyle w:val="TableText"/>
            </w:pPr>
            <w:r>
              <w:t xml:space="preserve">Ranked as an option for investment – </w:t>
            </w:r>
            <w:r w:rsidRPr="00756032">
              <w:t>this means that this option would be funded if the budget allowed.</w:t>
            </w:r>
          </w:p>
          <w:p w14:paraId="2DBE986F" w14:textId="77777777" w:rsidR="00756032" w:rsidRDefault="00756032" w:rsidP="00756032">
            <w:pPr>
              <w:pStyle w:val="TableText"/>
            </w:pPr>
            <w:r>
              <w:t>Note: At the time of publication, Pharmac had updated the status to seeking clinical advice. This means Pharmac is seeking further expert advice before it assesses and (re)ranks this application.</w:t>
            </w:r>
          </w:p>
          <w:p w14:paraId="03EAB73D" w14:textId="77777777" w:rsidR="00290AF3" w:rsidRPr="00181CD3" w:rsidRDefault="0056499C" w:rsidP="00756032">
            <w:pPr>
              <w:pStyle w:val="TableText"/>
              <w:rPr>
                <w:b/>
              </w:rPr>
            </w:pPr>
            <w:hyperlink r:id="rId83" w:history="1">
              <w:r w:rsidR="00756032" w:rsidRPr="00EF75E5">
                <w:rPr>
                  <w:rStyle w:val="Hyperlink"/>
                  <w:rFonts w:eastAsia="MS Gothic"/>
                </w:rPr>
                <w:t>https://connect.pharmac.govt.nz/apptracker/s/application-public/a102P000008puDw/p000793</w:t>
              </w:r>
            </w:hyperlink>
          </w:p>
        </w:tc>
      </w:tr>
      <w:tr w:rsidR="00756032" w14:paraId="3133A16E" w14:textId="77777777" w:rsidTr="00CE5715">
        <w:trPr>
          <w:cantSplit/>
        </w:trPr>
        <w:tc>
          <w:tcPr>
            <w:tcW w:w="2020" w:type="dxa"/>
            <w:tcBorders>
              <w:top w:val="single" w:sz="4" w:space="0" w:color="C2D9BA"/>
              <w:bottom w:val="single" w:sz="4" w:space="0" w:color="C2D9BA"/>
            </w:tcBorders>
            <w:shd w:val="clear" w:color="auto" w:fill="auto"/>
          </w:tcPr>
          <w:p w14:paraId="16BBF95F" w14:textId="77777777" w:rsidR="00756032" w:rsidRPr="0038658B" w:rsidRDefault="00756032" w:rsidP="00290AF3">
            <w:pPr>
              <w:pStyle w:val="TableText"/>
              <w:ind w:right="113"/>
              <w:rPr>
                <w:b/>
              </w:rPr>
            </w:pPr>
            <w:r w:rsidRPr="0038658B">
              <w:rPr>
                <w:b/>
              </w:rPr>
              <w:t>ESMO-MCBS clinical benefit score and summary of data informing the score</w:t>
            </w:r>
          </w:p>
        </w:tc>
        <w:tc>
          <w:tcPr>
            <w:tcW w:w="1808" w:type="dxa"/>
            <w:tcBorders>
              <w:top w:val="single" w:sz="4" w:space="0" w:color="C2D9BA"/>
              <w:bottom w:val="single" w:sz="4" w:space="0" w:color="C2D9BA"/>
            </w:tcBorders>
            <w:shd w:val="clear" w:color="auto" w:fill="auto"/>
          </w:tcPr>
          <w:p w14:paraId="445A68BC" w14:textId="77777777" w:rsidR="00756032" w:rsidRPr="001731F2" w:rsidRDefault="00756032" w:rsidP="002147D2">
            <w:pPr>
              <w:pStyle w:val="TableText"/>
            </w:pPr>
            <w:r w:rsidRPr="001731F2">
              <w:t>Atezolizumab</w:t>
            </w:r>
          </w:p>
        </w:tc>
        <w:tc>
          <w:tcPr>
            <w:tcW w:w="425" w:type="dxa"/>
            <w:tcBorders>
              <w:top w:val="single" w:sz="4" w:space="0" w:color="C2D9BA"/>
              <w:bottom w:val="single" w:sz="4" w:space="0" w:color="C2D9BA"/>
            </w:tcBorders>
            <w:shd w:val="clear" w:color="auto" w:fill="auto"/>
          </w:tcPr>
          <w:p w14:paraId="5B70C91D" w14:textId="77777777" w:rsidR="00756032" w:rsidRDefault="00756032" w:rsidP="00756032">
            <w:pPr>
              <w:pStyle w:val="TableText"/>
              <w:jc w:val="center"/>
            </w:pPr>
            <w:r>
              <w:t>5</w:t>
            </w:r>
          </w:p>
        </w:tc>
        <w:tc>
          <w:tcPr>
            <w:tcW w:w="3827" w:type="dxa"/>
            <w:tcBorders>
              <w:top w:val="single" w:sz="4" w:space="0" w:color="C2D9BA"/>
              <w:bottom w:val="single" w:sz="4" w:space="0" w:color="C2D9BA"/>
            </w:tcBorders>
            <w:shd w:val="clear" w:color="auto" w:fill="auto"/>
          </w:tcPr>
          <w:p w14:paraId="10E04F0E" w14:textId="77777777" w:rsidR="00756032" w:rsidRDefault="00756032" w:rsidP="002147D2">
            <w:pPr>
              <w:pStyle w:val="TableText"/>
            </w:pPr>
            <w:r>
              <w:t>Compared with standard chemotherapy:</w:t>
            </w:r>
          </w:p>
          <w:p w14:paraId="084586AF" w14:textId="77777777" w:rsidR="00756032" w:rsidRDefault="00756032" w:rsidP="002147D2">
            <w:pPr>
              <w:pStyle w:val="TableText"/>
            </w:pPr>
            <w:r>
              <w:t>Gain in median overall survival of 4.2 months</w:t>
            </w:r>
          </w:p>
          <w:p w14:paraId="6E4C9CB2" w14:textId="77777777" w:rsidR="00756032" w:rsidRDefault="00756032" w:rsidP="002147D2">
            <w:pPr>
              <w:pStyle w:val="TableText"/>
            </w:pPr>
            <w:r>
              <w:t>Progression-free survival results did not contribute to the score.</w:t>
            </w:r>
          </w:p>
          <w:p w14:paraId="0C24508E" w14:textId="77777777" w:rsidR="00756032" w:rsidRDefault="00756032" w:rsidP="002147D2">
            <w:pPr>
              <w:pStyle w:val="TableText"/>
            </w:pPr>
            <w:r>
              <w:t>Improved toxicity profile contributed to the score.</w:t>
            </w:r>
          </w:p>
          <w:p w14:paraId="6832FCAC" w14:textId="77777777" w:rsidR="00756032" w:rsidRDefault="00756032" w:rsidP="002147D2">
            <w:pPr>
              <w:pStyle w:val="TableText"/>
            </w:pPr>
            <w:r>
              <w:t>Quality-of-life results did not contribute to the score.</w:t>
            </w:r>
          </w:p>
          <w:p w14:paraId="07144F52" w14:textId="77777777" w:rsidR="00756032" w:rsidRDefault="0056499C" w:rsidP="00756032">
            <w:pPr>
              <w:pStyle w:val="TableText"/>
            </w:pPr>
            <w:hyperlink r:id="rId84" w:history="1">
              <w:r w:rsidR="00756032" w:rsidRPr="00F16DDD">
                <w:rPr>
                  <w:rStyle w:val="Hyperlink"/>
                  <w:rFonts w:eastAsia="MS Gothic"/>
                </w:rPr>
                <w:t>www.esmo.org/guidelines/esmo-mcbs/esmo-mcbs-scorecards/scorecard-126-1</w:t>
              </w:r>
            </w:hyperlink>
          </w:p>
        </w:tc>
      </w:tr>
      <w:tr w:rsidR="00756032" w14:paraId="0D04DAF1" w14:textId="77777777" w:rsidTr="00CE5715">
        <w:trPr>
          <w:cantSplit/>
        </w:trPr>
        <w:tc>
          <w:tcPr>
            <w:tcW w:w="2020" w:type="dxa"/>
            <w:tcBorders>
              <w:top w:val="single" w:sz="4" w:space="0" w:color="C2D9BA"/>
              <w:bottom w:val="nil"/>
            </w:tcBorders>
            <w:shd w:val="clear" w:color="auto" w:fill="auto"/>
          </w:tcPr>
          <w:p w14:paraId="24C4CBFC" w14:textId="77777777" w:rsidR="00756032" w:rsidRPr="00CE5715" w:rsidRDefault="00CE5715" w:rsidP="00290AF3">
            <w:pPr>
              <w:pStyle w:val="TableText"/>
            </w:pPr>
            <w:r w:rsidRPr="0038658B">
              <w:rPr>
                <w:b/>
              </w:rPr>
              <w:lastRenderedPageBreak/>
              <w:t>ESMO-MCBS clinical benefit score and summary of data informing the score</w:t>
            </w:r>
            <w:r>
              <w:t xml:space="preserve"> (continued)</w:t>
            </w:r>
          </w:p>
        </w:tc>
        <w:tc>
          <w:tcPr>
            <w:tcW w:w="1808" w:type="dxa"/>
            <w:vMerge w:val="restart"/>
            <w:tcBorders>
              <w:top w:val="single" w:sz="4" w:space="0" w:color="C2D9BA"/>
            </w:tcBorders>
            <w:shd w:val="clear" w:color="auto" w:fill="auto"/>
          </w:tcPr>
          <w:p w14:paraId="2CD23FEA" w14:textId="77777777" w:rsidR="00756032" w:rsidRPr="001731F2" w:rsidRDefault="00756032" w:rsidP="002147D2">
            <w:pPr>
              <w:pStyle w:val="TableText"/>
            </w:pPr>
            <w:r>
              <w:t>Nivolumab</w:t>
            </w:r>
          </w:p>
        </w:tc>
        <w:tc>
          <w:tcPr>
            <w:tcW w:w="425" w:type="dxa"/>
            <w:tcBorders>
              <w:top w:val="single" w:sz="4" w:space="0" w:color="C2D9BA"/>
              <w:bottom w:val="single" w:sz="4" w:space="0" w:color="C2D9BA"/>
            </w:tcBorders>
            <w:shd w:val="clear" w:color="auto" w:fill="auto"/>
          </w:tcPr>
          <w:p w14:paraId="18EAC4C9" w14:textId="77777777" w:rsidR="00756032" w:rsidRPr="001731F2" w:rsidRDefault="00756032" w:rsidP="00756032">
            <w:pPr>
              <w:pStyle w:val="TableText"/>
            </w:pPr>
            <w:r>
              <w:t>5</w:t>
            </w:r>
          </w:p>
        </w:tc>
        <w:tc>
          <w:tcPr>
            <w:tcW w:w="3827" w:type="dxa"/>
            <w:tcBorders>
              <w:top w:val="single" w:sz="4" w:space="0" w:color="C2D9BA"/>
              <w:bottom w:val="single" w:sz="4" w:space="0" w:color="C2D9BA"/>
            </w:tcBorders>
            <w:shd w:val="clear" w:color="auto" w:fill="auto"/>
          </w:tcPr>
          <w:p w14:paraId="018BFF28" w14:textId="77777777" w:rsidR="00756032" w:rsidRDefault="00756032" w:rsidP="002147D2">
            <w:pPr>
              <w:pStyle w:val="TableText"/>
            </w:pPr>
            <w:r>
              <w:t>Compared with standard chemotherapy in non-squamous non-small cell lung cancer:</w:t>
            </w:r>
          </w:p>
          <w:p w14:paraId="72C8547B" w14:textId="77777777" w:rsidR="00756032" w:rsidRDefault="00756032" w:rsidP="002147D2">
            <w:pPr>
              <w:pStyle w:val="TableText"/>
            </w:pPr>
            <w:r>
              <w:t>Gain in median overall survival of 2.8 months, with durable response (two-year survival gain &gt;10%)</w:t>
            </w:r>
          </w:p>
          <w:p w14:paraId="0A5DE04F" w14:textId="77777777" w:rsidR="00756032" w:rsidRDefault="00756032" w:rsidP="002147D2">
            <w:pPr>
              <w:pStyle w:val="TableText"/>
            </w:pPr>
            <w:r>
              <w:t>Progression-free survival results did not contribute to the score.</w:t>
            </w:r>
          </w:p>
          <w:p w14:paraId="4E72EBD3" w14:textId="77777777" w:rsidR="00756032" w:rsidRDefault="00756032" w:rsidP="002147D2">
            <w:pPr>
              <w:pStyle w:val="TableText"/>
            </w:pPr>
            <w:r>
              <w:t>Reduced frequency of severe adverse events contributed to the score</w:t>
            </w:r>
          </w:p>
          <w:p w14:paraId="29CDCF2D" w14:textId="77777777" w:rsidR="00756032" w:rsidRDefault="00756032" w:rsidP="002147D2">
            <w:pPr>
              <w:pStyle w:val="TableText"/>
            </w:pPr>
            <w:r>
              <w:t>Improved quality of life noted but did not contribute to the score.</w:t>
            </w:r>
          </w:p>
          <w:p w14:paraId="5791BCCD" w14:textId="77777777" w:rsidR="00756032" w:rsidRPr="001731F2" w:rsidRDefault="0056499C" w:rsidP="00756032">
            <w:pPr>
              <w:pStyle w:val="TableText"/>
            </w:pPr>
            <w:hyperlink r:id="rId85" w:history="1">
              <w:r w:rsidR="00756032" w:rsidRPr="00333377">
                <w:rPr>
                  <w:rStyle w:val="Hyperlink"/>
                  <w:rFonts w:eastAsia="MS Gothic"/>
                </w:rPr>
                <w:t>www.esmo.org/guidelines/esmo-</w:t>
              </w:r>
              <w:r w:rsidR="00756032" w:rsidRPr="00756032">
                <w:rPr>
                  <w:rStyle w:val="Hyperlink"/>
                  <w:rFonts w:eastAsia="MS Gothic"/>
                  <w:spacing w:val="-2"/>
                </w:rPr>
                <w:t>mcbs/esmo-mcbs-scorecards/scorecard-56-1</w:t>
              </w:r>
            </w:hyperlink>
          </w:p>
        </w:tc>
      </w:tr>
      <w:tr w:rsidR="00756032" w:rsidRPr="00181CD3" w14:paraId="2835140A" w14:textId="77777777" w:rsidTr="00CE5715">
        <w:trPr>
          <w:cantSplit/>
        </w:trPr>
        <w:tc>
          <w:tcPr>
            <w:tcW w:w="2020" w:type="dxa"/>
            <w:tcBorders>
              <w:top w:val="nil"/>
              <w:bottom w:val="nil"/>
            </w:tcBorders>
            <w:shd w:val="clear" w:color="auto" w:fill="auto"/>
          </w:tcPr>
          <w:p w14:paraId="0E501A8F" w14:textId="77777777" w:rsidR="00756032" w:rsidRPr="0074040F" w:rsidRDefault="00756032" w:rsidP="00290AF3">
            <w:pPr>
              <w:pStyle w:val="TableText"/>
            </w:pPr>
          </w:p>
        </w:tc>
        <w:tc>
          <w:tcPr>
            <w:tcW w:w="1808" w:type="dxa"/>
            <w:vMerge/>
            <w:tcBorders>
              <w:bottom w:val="single" w:sz="4" w:space="0" w:color="C2D9BA"/>
            </w:tcBorders>
            <w:shd w:val="clear" w:color="auto" w:fill="auto"/>
          </w:tcPr>
          <w:p w14:paraId="32178C9C" w14:textId="77777777" w:rsidR="00756032" w:rsidRDefault="00756032" w:rsidP="00290AF3">
            <w:pPr>
              <w:pStyle w:val="TableText"/>
            </w:pPr>
          </w:p>
        </w:tc>
        <w:tc>
          <w:tcPr>
            <w:tcW w:w="425" w:type="dxa"/>
            <w:tcBorders>
              <w:top w:val="single" w:sz="4" w:space="0" w:color="C2D9BA"/>
              <w:bottom w:val="single" w:sz="4" w:space="0" w:color="C2D9BA"/>
            </w:tcBorders>
            <w:shd w:val="clear" w:color="auto" w:fill="auto"/>
          </w:tcPr>
          <w:p w14:paraId="4C79FA0A" w14:textId="77777777" w:rsidR="00756032" w:rsidRDefault="00756032" w:rsidP="00290AF3">
            <w:pPr>
              <w:pStyle w:val="TableText"/>
              <w:jc w:val="center"/>
            </w:pPr>
            <w:r>
              <w:t>5</w:t>
            </w:r>
          </w:p>
        </w:tc>
        <w:tc>
          <w:tcPr>
            <w:tcW w:w="3827" w:type="dxa"/>
            <w:tcBorders>
              <w:top w:val="single" w:sz="4" w:space="0" w:color="C2D9BA"/>
              <w:bottom w:val="single" w:sz="4" w:space="0" w:color="C2D9BA"/>
            </w:tcBorders>
            <w:shd w:val="clear" w:color="auto" w:fill="auto"/>
          </w:tcPr>
          <w:p w14:paraId="7E7A2267" w14:textId="77777777" w:rsidR="00756032" w:rsidRDefault="00756032" w:rsidP="00756032">
            <w:pPr>
              <w:pStyle w:val="TableText"/>
            </w:pPr>
            <w:r>
              <w:t>Compared with standard chemotherapy in squamous non-small cell lung cancer:</w:t>
            </w:r>
          </w:p>
          <w:p w14:paraId="2E86C247" w14:textId="77777777" w:rsidR="00756032" w:rsidRDefault="00756032" w:rsidP="00756032">
            <w:pPr>
              <w:pStyle w:val="TableText"/>
            </w:pPr>
            <w:r>
              <w:t>Gain in median overall survival of 3.2 months, with durable response (two-year survival gain 15%)</w:t>
            </w:r>
          </w:p>
          <w:p w14:paraId="02D7F730" w14:textId="77777777" w:rsidR="00756032" w:rsidRDefault="00756032" w:rsidP="00756032">
            <w:pPr>
              <w:pStyle w:val="TableText"/>
            </w:pPr>
            <w:r>
              <w:t>Gain in progression-free survival of 0.7 months</w:t>
            </w:r>
          </w:p>
          <w:p w14:paraId="3232944D" w14:textId="77777777" w:rsidR="00756032" w:rsidRDefault="00756032" w:rsidP="00756032">
            <w:pPr>
              <w:pStyle w:val="TableText"/>
            </w:pPr>
            <w:r>
              <w:t>Reduced frequency of severe adverse events contributed to the score.</w:t>
            </w:r>
          </w:p>
          <w:p w14:paraId="597019BA" w14:textId="77777777" w:rsidR="00756032" w:rsidRDefault="00756032" w:rsidP="00756032">
            <w:pPr>
              <w:pStyle w:val="TableText"/>
            </w:pPr>
            <w:r>
              <w:t>Quality-of-life results did not contribute to the score.</w:t>
            </w:r>
          </w:p>
          <w:p w14:paraId="3C97D78D" w14:textId="77777777" w:rsidR="00756032" w:rsidRPr="00181CD3" w:rsidRDefault="0056499C" w:rsidP="00756032">
            <w:pPr>
              <w:pStyle w:val="TableText"/>
              <w:rPr>
                <w:spacing w:val="-2"/>
              </w:rPr>
            </w:pPr>
            <w:hyperlink r:id="rId86" w:history="1">
              <w:r w:rsidR="00756032" w:rsidRPr="00333377">
                <w:rPr>
                  <w:rStyle w:val="Hyperlink"/>
                  <w:rFonts w:eastAsia="MS Gothic"/>
                </w:rPr>
                <w:t>www.esmo.org/guidelines/esmo-</w:t>
              </w:r>
              <w:r w:rsidR="00756032" w:rsidRPr="00756032">
                <w:rPr>
                  <w:rStyle w:val="Hyperlink"/>
                  <w:rFonts w:eastAsia="MS Gothic"/>
                  <w:spacing w:val="-2"/>
                </w:rPr>
                <w:t>mcbs/esmo-mcbs-scorecards/scorecard-55-1</w:t>
              </w:r>
            </w:hyperlink>
          </w:p>
        </w:tc>
      </w:tr>
      <w:tr w:rsidR="00756032" w14:paraId="7ECC1357" w14:textId="77777777" w:rsidTr="00CE5715">
        <w:trPr>
          <w:cantSplit/>
        </w:trPr>
        <w:tc>
          <w:tcPr>
            <w:tcW w:w="2020" w:type="dxa"/>
            <w:tcBorders>
              <w:top w:val="nil"/>
              <w:bottom w:val="single" w:sz="4" w:space="0" w:color="C2D9BA"/>
            </w:tcBorders>
            <w:shd w:val="clear" w:color="auto" w:fill="auto"/>
          </w:tcPr>
          <w:p w14:paraId="174E98FB" w14:textId="77777777" w:rsidR="00756032" w:rsidRPr="0038658B" w:rsidRDefault="00756032" w:rsidP="00290AF3">
            <w:pPr>
              <w:pStyle w:val="TableText"/>
              <w:ind w:right="113"/>
              <w:rPr>
                <w:b/>
              </w:rPr>
            </w:pPr>
            <w:r w:rsidRPr="0038658B">
              <w:rPr>
                <w:b/>
              </w:rPr>
              <w:t>Current clinical practice in Aotearoa and how this would change if the gap were filled</w:t>
            </w:r>
          </w:p>
        </w:tc>
        <w:tc>
          <w:tcPr>
            <w:tcW w:w="6060" w:type="dxa"/>
            <w:gridSpan w:val="3"/>
            <w:tcBorders>
              <w:top w:val="single" w:sz="4" w:space="0" w:color="C2D9BA"/>
              <w:bottom w:val="single" w:sz="4" w:space="0" w:color="C2D9BA"/>
            </w:tcBorders>
            <w:shd w:val="clear" w:color="auto" w:fill="auto"/>
          </w:tcPr>
          <w:p w14:paraId="3D4F8464" w14:textId="77777777" w:rsidR="00756032" w:rsidRDefault="00756032" w:rsidP="002147D2">
            <w:pPr>
              <w:pStyle w:val="TableText"/>
            </w:pPr>
            <w:r>
              <w:t>The c</w:t>
            </w:r>
            <w:r w:rsidRPr="001731F2">
              <w:t>urrent approach for this group is either chemotherapy or best supportive care.</w:t>
            </w:r>
          </w:p>
          <w:p w14:paraId="2E96B470" w14:textId="77777777" w:rsidR="00756032" w:rsidRDefault="00756032" w:rsidP="002147D2">
            <w:pPr>
              <w:pStyle w:val="TableText"/>
            </w:pPr>
            <w:r w:rsidRPr="001731F2">
              <w:t xml:space="preserve">If either atezolizumab or nivolumab were funded, it would become an additional line of therapy </w:t>
            </w:r>
            <w:r>
              <w:t>before</w:t>
            </w:r>
            <w:r w:rsidRPr="001731F2">
              <w:t xml:space="preserve"> chemotherapy.</w:t>
            </w:r>
          </w:p>
          <w:p w14:paraId="66950ACC" w14:textId="77777777" w:rsidR="00756032" w:rsidRDefault="00756032" w:rsidP="00756032">
            <w:pPr>
              <w:pStyle w:val="TableText"/>
            </w:pPr>
            <w:r w:rsidRPr="00614693">
              <w:t xml:space="preserve">Patients would only receive </w:t>
            </w:r>
            <w:r>
              <w:t xml:space="preserve">treatment with immune checkpoint inhibitors for </w:t>
            </w:r>
            <w:r w:rsidRPr="00614693">
              <w:t>one line of therapy</w:t>
            </w:r>
            <w:r>
              <w:t xml:space="preserve">, and </w:t>
            </w:r>
            <w:r w:rsidRPr="00CF52B3">
              <w:t>clinical advice indicated that giving it earlier rather than later is generally preferred.</w:t>
            </w:r>
            <w:r>
              <w:t xml:space="preserve"> This means that if the first-line gap were filled, this gap for immune checkpoint inhibitors in the second line would become redundant (for people who received immune checkpoint inhibitor treatment in their first line of treatment).</w:t>
            </w:r>
          </w:p>
        </w:tc>
      </w:tr>
      <w:tr w:rsidR="00756032" w14:paraId="0BD4A7C4" w14:textId="77777777" w:rsidTr="00756032">
        <w:trPr>
          <w:cantSplit/>
        </w:trPr>
        <w:tc>
          <w:tcPr>
            <w:tcW w:w="2020" w:type="dxa"/>
            <w:tcBorders>
              <w:top w:val="single" w:sz="4" w:space="0" w:color="C2D9BA"/>
              <w:bottom w:val="single" w:sz="4" w:space="0" w:color="C2D9BA"/>
            </w:tcBorders>
            <w:shd w:val="clear" w:color="auto" w:fill="auto"/>
          </w:tcPr>
          <w:p w14:paraId="760EEBA2" w14:textId="77777777" w:rsidR="00756032" w:rsidRPr="0038658B" w:rsidRDefault="00756032" w:rsidP="00290AF3">
            <w:pPr>
              <w:pStyle w:val="TableText"/>
              <w:ind w:right="113"/>
              <w:rPr>
                <w:b/>
              </w:rPr>
            </w:pPr>
            <w:r w:rsidRPr="0038658B">
              <w:rPr>
                <w:b/>
              </w:rPr>
              <w:t>Pharmac estimate of eligible population size</w:t>
            </w:r>
          </w:p>
        </w:tc>
        <w:tc>
          <w:tcPr>
            <w:tcW w:w="6060" w:type="dxa"/>
            <w:gridSpan w:val="3"/>
            <w:tcBorders>
              <w:top w:val="single" w:sz="4" w:space="0" w:color="C2D9BA"/>
              <w:bottom w:val="single" w:sz="4" w:space="0" w:color="C2D9BA"/>
            </w:tcBorders>
            <w:shd w:val="clear" w:color="auto" w:fill="auto"/>
          </w:tcPr>
          <w:p w14:paraId="3572AFF2" w14:textId="2C44EBE5" w:rsidR="00756032" w:rsidRDefault="003034CD" w:rsidP="00CE5715">
            <w:pPr>
              <w:pStyle w:val="TableText"/>
            </w:pPr>
            <w:r>
              <w:t xml:space="preserve">Approximately </w:t>
            </w:r>
            <w:r w:rsidR="001C0CCD">
              <w:t>800 people per year</w:t>
            </w:r>
            <w:r w:rsidR="00114465">
              <w:t xml:space="preserve"> </w:t>
            </w:r>
          </w:p>
        </w:tc>
      </w:tr>
      <w:tr w:rsidR="00756032" w14:paraId="259660CD" w14:textId="77777777" w:rsidTr="00290AF3">
        <w:trPr>
          <w:cantSplit/>
        </w:trPr>
        <w:tc>
          <w:tcPr>
            <w:tcW w:w="2020" w:type="dxa"/>
            <w:tcBorders>
              <w:top w:val="single" w:sz="4" w:space="0" w:color="C2D9BA"/>
              <w:bottom w:val="single" w:sz="4" w:space="0" w:color="C2D9BA"/>
            </w:tcBorders>
            <w:shd w:val="clear" w:color="auto" w:fill="auto"/>
          </w:tcPr>
          <w:p w14:paraId="7834BD4D" w14:textId="77777777" w:rsidR="00756032" w:rsidRPr="0038658B" w:rsidRDefault="00756032" w:rsidP="00290AF3">
            <w:pPr>
              <w:pStyle w:val="TableText"/>
              <w:ind w:right="113"/>
              <w:rPr>
                <w:b/>
              </w:rPr>
            </w:pPr>
            <w:r w:rsidRPr="0038658B">
              <w:rPr>
                <w:b/>
              </w:rPr>
              <w:t>How these medicines would be given</w:t>
            </w:r>
          </w:p>
        </w:tc>
        <w:tc>
          <w:tcPr>
            <w:tcW w:w="6060" w:type="dxa"/>
            <w:gridSpan w:val="3"/>
            <w:tcBorders>
              <w:top w:val="single" w:sz="4" w:space="0" w:color="C2D9BA"/>
              <w:bottom w:val="single" w:sz="4" w:space="0" w:color="C2D9BA"/>
            </w:tcBorders>
            <w:shd w:val="clear" w:color="auto" w:fill="auto"/>
          </w:tcPr>
          <w:p w14:paraId="1A4F2E88" w14:textId="77777777" w:rsidR="00756032" w:rsidRDefault="00756032" w:rsidP="002147D2">
            <w:pPr>
              <w:pStyle w:val="TableText"/>
            </w:pPr>
            <w:r>
              <w:t>These medicines are given by infusion.</w:t>
            </w:r>
          </w:p>
          <w:p w14:paraId="6AB8DF1C" w14:textId="77777777" w:rsidR="00756032" w:rsidRDefault="00756032" w:rsidP="002147D2">
            <w:pPr>
              <w:pStyle w:val="TableText"/>
            </w:pPr>
            <w:r>
              <w:t>Atezolizumab would be given once every three or four weeks until disease progression (or unacceptable toxicity).</w:t>
            </w:r>
          </w:p>
          <w:p w14:paraId="51542EDB" w14:textId="77777777" w:rsidR="00756032" w:rsidRDefault="00756032" w:rsidP="00756032">
            <w:pPr>
              <w:pStyle w:val="TableText"/>
            </w:pPr>
            <w:r>
              <w:t>Nivolumab would be given once every two or four weeks until disease progression (or unacceptable toxicity).</w:t>
            </w:r>
          </w:p>
        </w:tc>
      </w:tr>
      <w:tr w:rsidR="00756032" w14:paraId="0FFD80F8" w14:textId="77777777" w:rsidTr="00290AF3">
        <w:trPr>
          <w:cantSplit/>
        </w:trPr>
        <w:tc>
          <w:tcPr>
            <w:tcW w:w="2020" w:type="dxa"/>
            <w:tcBorders>
              <w:top w:val="single" w:sz="4" w:space="0" w:color="C2D9BA"/>
              <w:bottom w:val="single" w:sz="4" w:space="0" w:color="C2D9BA"/>
            </w:tcBorders>
            <w:shd w:val="clear" w:color="auto" w:fill="auto"/>
          </w:tcPr>
          <w:p w14:paraId="150C58C4" w14:textId="77777777" w:rsidR="00756032" w:rsidRPr="0038658B" w:rsidRDefault="00756032" w:rsidP="00290AF3">
            <w:pPr>
              <w:pStyle w:val="TableText"/>
              <w:ind w:right="113"/>
              <w:rPr>
                <w:b/>
              </w:rPr>
            </w:pPr>
            <w:r w:rsidRPr="0038658B">
              <w:rPr>
                <w:b/>
              </w:rPr>
              <w:lastRenderedPageBreak/>
              <w:t>Patient and whānau considerations</w:t>
            </w:r>
          </w:p>
        </w:tc>
        <w:tc>
          <w:tcPr>
            <w:tcW w:w="6060" w:type="dxa"/>
            <w:gridSpan w:val="3"/>
            <w:tcBorders>
              <w:top w:val="single" w:sz="4" w:space="0" w:color="C2D9BA"/>
              <w:bottom w:val="single" w:sz="4" w:space="0" w:color="C2D9BA"/>
            </w:tcBorders>
            <w:shd w:val="clear" w:color="auto" w:fill="auto"/>
          </w:tcPr>
          <w:p w14:paraId="15B604D6" w14:textId="77777777" w:rsidR="00756032" w:rsidRDefault="00756032" w:rsidP="002147D2">
            <w:pPr>
              <w:pStyle w:val="TableText"/>
            </w:pPr>
            <w:r>
              <w:t>In general, this would be an additional line of treatment over and above what would currently be given, with the potential clinical benefit described above.</w:t>
            </w:r>
          </w:p>
          <w:p w14:paraId="02E450F9" w14:textId="77777777" w:rsidR="00756032" w:rsidRDefault="00756032" w:rsidP="002147D2">
            <w:pPr>
              <w:pStyle w:val="TableText"/>
            </w:pPr>
            <w:r>
              <w:t>Unlike traditional chemotherapy (which would sometimes be given for these patients), where the treatment often stops after a fixed amount of time, treatment would continue until there is progression of the disease (or unacceptable toxicity).</w:t>
            </w:r>
          </w:p>
          <w:p w14:paraId="0C032206" w14:textId="77777777" w:rsidR="00756032" w:rsidRDefault="00756032" w:rsidP="002147D2">
            <w:pPr>
              <w:pStyle w:val="TableText"/>
            </w:pPr>
            <w:r>
              <w:t>This would mean that, compared with current approaches, there may be more treatment appointments to attend and more follow-up visits. The treatments are generally administered in the outpatient infusion centre, so patients would need to travel, but there would be no prescription charge. There may be other medicines needed to manage side effects that may have a prescription charge.</w:t>
            </w:r>
          </w:p>
          <w:p w14:paraId="6F3CF12F" w14:textId="77777777" w:rsidR="00756032" w:rsidRDefault="00756032" w:rsidP="00756032">
            <w:pPr>
              <w:pStyle w:val="TableText"/>
            </w:pPr>
            <w:r>
              <w:t>There are some particular side effects associated with immune checkpoint inhibitors that are quite different to the side effects of chemotherapy. These can develop long after treatment has stopped and may require specialised management.</w:t>
            </w:r>
          </w:p>
        </w:tc>
      </w:tr>
      <w:tr w:rsidR="00756032" w14:paraId="295D1790" w14:textId="77777777" w:rsidTr="00290AF3">
        <w:trPr>
          <w:cantSplit/>
        </w:trPr>
        <w:tc>
          <w:tcPr>
            <w:tcW w:w="2020" w:type="dxa"/>
            <w:tcBorders>
              <w:top w:val="single" w:sz="4" w:space="0" w:color="C2D9BA"/>
              <w:bottom w:val="single" w:sz="4" w:space="0" w:color="C2D9BA"/>
            </w:tcBorders>
            <w:shd w:val="clear" w:color="auto" w:fill="auto"/>
          </w:tcPr>
          <w:p w14:paraId="0B4959D4" w14:textId="77777777" w:rsidR="00756032" w:rsidRPr="0038658B" w:rsidRDefault="00756032" w:rsidP="00290AF3">
            <w:pPr>
              <w:pStyle w:val="TableText"/>
              <w:ind w:right="113"/>
              <w:rPr>
                <w:b/>
              </w:rPr>
            </w:pPr>
            <w:r w:rsidRPr="0038658B">
              <w:rPr>
                <w:b/>
              </w:rPr>
              <w:t>Health system resource considerations</w:t>
            </w:r>
          </w:p>
        </w:tc>
        <w:tc>
          <w:tcPr>
            <w:tcW w:w="6060" w:type="dxa"/>
            <w:gridSpan w:val="3"/>
            <w:tcBorders>
              <w:top w:val="single" w:sz="4" w:space="0" w:color="C2D9BA"/>
              <w:bottom w:val="single" w:sz="4" w:space="0" w:color="C2D9BA"/>
            </w:tcBorders>
            <w:shd w:val="clear" w:color="auto" w:fill="auto"/>
          </w:tcPr>
          <w:p w14:paraId="1807C22E" w14:textId="77777777" w:rsidR="00756032" w:rsidRDefault="00756032" w:rsidP="00756032">
            <w:pPr>
              <w:pStyle w:val="TableText"/>
            </w:pPr>
            <w:r w:rsidRPr="00614693">
              <w:t xml:space="preserve">Additional </w:t>
            </w:r>
            <w:r>
              <w:t xml:space="preserve">treatment and </w:t>
            </w:r>
            <w:r w:rsidRPr="00614693">
              <w:t xml:space="preserve">follow-up appointments </w:t>
            </w:r>
            <w:r>
              <w:t xml:space="preserve">may be </w:t>
            </w:r>
            <w:r w:rsidRPr="00614693">
              <w:t>required.</w:t>
            </w:r>
          </w:p>
          <w:p w14:paraId="7CB11FF8" w14:textId="77777777" w:rsidR="00756032" w:rsidRDefault="00756032" w:rsidP="00756032">
            <w:pPr>
              <w:pStyle w:val="TableText"/>
            </w:pPr>
            <w:r w:rsidRPr="00614693">
              <w:t xml:space="preserve">Additional chair time </w:t>
            </w:r>
            <w:r>
              <w:t>for administration of treatment may be required</w:t>
            </w:r>
            <w:r w:rsidRPr="00614693">
              <w:t>.</w:t>
            </w:r>
          </w:p>
          <w:p w14:paraId="32247551" w14:textId="77777777" w:rsidR="00756032" w:rsidRDefault="00756032" w:rsidP="00756032">
            <w:pPr>
              <w:pStyle w:val="TableText"/>
            </w:pPr>
            <w:r w:rsidRPr="00614693">
              <w:t>Increased demand for laboratory</w:t>
            </w:r>
            <w:r>
              <w:t xml:space="preserve"> and pathology services to determine treatment eligibility and monitor for treatment toxicities.</w:t>
            </w:r>
          </w:p>
          <w:p w14:paraId="3BB56098" w14:textId="77777777" w:rsidR="00756032" w:rsidRDefault="00756032" w:rsidP="00756032">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38477B97" w14:textId="77777777" w:rsidR="00756032" w:rsidRDefault="00756032" w:rsidP="00756032">
            <w:pPr>
              <w:pStyle w:val="TableText"/>
            </w:pPr>
            <w:r>
              <w:t>Increased demand for supportive care and toxicity management (including health care professionals’ time and pharmaceuticals).</w:t>
            </w:r>
          </w:p>
        </w:tc>
      </w:tr>
    </w:tbl>
    <w:p w14:paraId="735DC2A1" w14:textId="77777777" w:rsidR="0038658B" w:rsidRPr="0038658B" w:rsidRDefault="0038658B" w:rsidP="0038658B"/>
    <w:p w14:paraId="6F009A17" w14:textId="77777777" w:rsidR="006D7F10" w:rsidRDefault="006D7F10" w:rsidP="001A1BC5">
      <w:pPr>
        <w:pStyle w:val="Table"/>
        <w:keepNext w:val="0"/>
        <w:pageBreakBefore/>
        <w:spacing w:before="0"/>
      </w:pPr>
      <w:bookmarkStart w:id="390" w:name="_Toc101365619"/>
      <w:bookmarkStart w:id="391" w:name="Appendix_7_Table_7point3"/>
      <w:bookmarkEnd w:id="389"/>
      <w:r>
        <w:lastRenderedPageBreak/>
        <w:t>Table</w:t>
      </w:r>
      <w:r w:rsidR="009B6B07">
        <w:t> </w:t>
      </w:r>
      <w:r>
        <w:t>7.3: Durvalumab for lung cancer – consolidation therapy</w:t>
      </w:r>
      <w:bookmarkEnd w:id="39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1A1BC5" w14:paraId="19D45133" w14:textId="77777777" w:rsidTr="00290AF3">
        <w:trPr>
          <w:cantSplit/>
        </w:trPr>
        <w:tc>
          <w:tcPr>
            <w:tcW w:w="2020" w:type="dxa"/>
            <w:tcBorders>
              <w:top w:val="nil"/>
              <w:bottom w:val="nil"/>
            </w:tcBorders>
            <w:shd w:val="clear" w:color="auto" w:fill="C2D9BA"/>
          </w:tcPr>
          <w:p w14:paraId="05244B16" w14:textId="77777777" w:rsidR="001A1BC5" w:rsidRPr="00181CD3" w:rsidRDefault="001A1BC5"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5C613FAA" w14:textId="77777777" w:rsidR="001A1BC5" w:rsidRDefault="001A1BC5" w:rsidP="002147D2">
            <w:pPr>
              <w:pStyle w:val="TableText"/>
            </w:pPr>
            <w:r w:rsidRPr="009D213E">
              <w:t>Non-small cell lung cancer, stage III, consolidation after chemo</w:t>
            </w:r>
            <w:r>
              <w:t>radio</w:t>
            </w:r>
            <w:r w:rsidRPr="009D213E">
              <w:t>therapy</w:t>
            </w:r>
          </w:p>
        </w:tc>
      </w:tr>
      <w:tr w:rsidR="001A1BC5" w14:paraId="60E80C92" w14:textId="77777777" w:rsidTr="00290AF3">
        <w:trPr>
          <w:cantSplit/>
        </w:trPr>
        <w:tc>
          <w:tcPr>
            <w:tcW w:w="2020" w:type="dxa"/>
            <w:tcBorders>
              <w:top w:val="single" w:sz="4" w:space="0" w:color="C2D9BA"/>
              <w:bottom w:val="single" w:sz="4" w:space="0" w:color="C2D9BA"/>
            </w:tcBorders>
            <w:shd w:val="clear" w:color="auto" w:fill="E7F0E3"/>
          </w:tcPr>
          <w:p w14:paraId="013BCF59" w14:textId="77777777" w:rsidR="001A1BC5" w:rsidRPr="00181CD3" w:rsidRDefault="001A1BC5" w:rsidP="001A1BC5">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6E8E3730" w14:textId="77777777" w:rsidR="001A1BC5" w:rsidRDefault="001A1BC5" w:rsidP="002147D2">
            <w:pPr>
              <w:pStyle w:val="TableText"/>
            </w:pPr>
            <w:r>
              <w:t>Durvalumab</w:t>
            </w:r>
          </w:p>
        </w:tc>
      </w:tr>
      <w:tr w:rsidR="001A1BC5" w14:paraId="59CE4112" w14:textId="77777777" w:rsidTr="00290AF3">
        <w:trPr>
          <w:cantSplit/>
        </w:trPr>
        <w:tc>
          <w:tcPr>
            <w:tcW w:w="2020" w:type="dxa"/>
            <w:tcBorders>
              <w:top w:val="single" w:sz="4" w:space="0" w:color="C2D9BA"/>
              <w:bottom w:val="single" w:sz="4" w:space="0" w:color="C2D9BA"/>
            </w:tcBorders>
            <w:shd w:val="clear" w:color="auto" w:fill="auto"/>
          </w:tcPr>
          <w:p w14:paraId="41372437" w14:textId="77777777" w:rsidR="001A1BC5" w:rsidRPr="00181CD3" w:rsidRDefault="001A1BC5"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7B753063" w14:textId="77777777" w:rsidR="001A1BC5" w:rsidRDefault="001A1BC5" w:rsidP="001A1BC5">
            <w:pPr>
              <w:pStyle w:val="TableText"/>
            </w:pPr>
            <w:r>
              <w:t>Immune checkpoint inhibitor (monoclonal antibody targeting PD</w:t>
            </w:r>
            <w:r>
              <w:noBreakHyphen/>
              <w:t>1/PD</w:t>
            </w:r>
            <w:r>
              <w:noBreakHyphen/>
              <w:t>L1 protein)</w:t>
            </w:r>
          </w:p>
        </w:tc>
      </w:tr>
      <w:tr w:rsidR="001A1BC5" w14:paraId="25784E8B" w14:textId="77777777" w:rsidTr="00290AF3">
        <w:trPr>
          <w:cantSplit/>
        </w:trPr>
        <w:tc>
          <w:tcPr>
            <w:tcW w:w="2020" w:type="dxa"/>
            <w:tcBorders>
              <w:top w:val="single" w:sz="4" w:space="0" w:color="C2D9BA"/>
              <w:bottom w:val="single" w:sz="4" w:space="0" w:color="C2D9BA"/>
            </w:tcBorders>
            <w:shd w:val="clear" w:color="auto" w:fill="auto"/>
          </w:tcPr>
          <w:p w14:paraId="58A33A29" w14:textId="77777777" w:rsidR="001A1BC5" w:rsidRPr="00181CD3" w:rsidRDefault="001A1BC5"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08FB22F2" w14:textId="77777777" w:rsidR="001A1BC5" w:rsidRDefault="001A1BC5" w:rsidP="002147D2">
            <w:pPr>
              <w:pStyle w:val="TableText"/>
            </w:pPr>
            <w:r>
              <w:t>Non-curative</w:t>
            </w:r>
          </w:p>
        </w:tc>
      </w:tr>
      <w:tr w:rsidR="001A1BC5" w14:paraId="4A93B524" w14:textId="77777777" w:rsidTr="001A1BC5">
        <w:trPr>
          <w:cantSplit/>
        </w:trPr>
        <w:tc>
          <w:tcPr>
            <w:tcW w:w="2020" w:type="dxa"/>
            <w:tcBorders>
              <w:top w:val="single" w:sz="4" w:space="0" w:color="C2D9BA"/>
              <w:bottom w:val="single" w:sz="4" w:space="0" w:color="C2D9BA"/>
            </w:tcBorders>
            <w:shd w:val="clear" w:color="auto" w:fill="auto"/>
          </w:tcPr>
          <w:p w14:paraId="1369FFEB" w14:textId="77777777" w:rsidR="001A1BC5" w:rsidRPr="00181CD3" w:rsidRDefault="001A1BC5"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648B908B" w14:textId="77777777" w:rsidR="001A1BC5" w:rsidRDefault="001A1BC5" w:rsidP="002147D2">
            <w:pPr>
              <w:pStyle w:val="TableText"/>
            </w:pPr>
            <w:r>
              <w:t>Application received February 2020</w:t>
            </w:r>
          </w:p>
          <w:p w14:paraId="59350AD9" w14:textId="77777777" w:rsidR="001A1BC5" w:rsidRPr="001A1BC5" w:rsidRDefault="001A1BC5" w:rsidP="002147D2">
            <w:pPr>
              <w:pStyle w:val="TableText"/>
            </w:pPr>
            <w:r>
              <w:t xml:space="preserve">Ranked as an option for investment </w:t>
            </w:r>
            <w:r w:rsidRPr="001A1BC5">
              <w:t>– this means that this option would be funded if the budget allowed.</w:t>
            </w:r>
          </w:p>
          <w:p w14:paraId="62EE0551" w14:textId="77777777" w:rsidR="001A1BC5" w:rsidRDefault="001A1BC5" w:rsidP="002147D2">
            <w:pPr>
              <w:pStyle w:val="TableText"/>
            </w:pPr>
            <w:r>
              <w:t>Note: At the time of publication, Pharmac had announced approval of this funding application. This means that this gap will be filled from 1 August 2022.</w:t>
            </w:r>
          </w:p>
          <w:p w14:paraId="604ED023" w14:textId="77777777" w:rsidR="001A1BC5" w:rsidRDefault="0056499C" w:rsidP="001A1BC5">
            <w:pPr>
              <w:pStyle w:val="TableText"/>
            </w:pPr>
            <w:hyperlink r:id="rId87" w:history="1">
              <w:r w:rsidR="001A1BC5" w:rsidRPr="00644DBF">
                <w:rPr>
                  <w:rStyle w:val="Hyperlink"/>
                  <w:rFonts w:eastAsia="MS Gothic"/>
                </w:rPr>
                <w:t>https://connect.pharmac.govt.nz/apptracker/s/application-public/a102P000009kZDh/p001500</w:t>
              </w:r>
            </w:hyperlink>
          </w:p>
        </w:tc>
      </w:tr>
      <w:tr w:rsidR="001A1BC5" w14:paraId="08060C0D" w14:textId="77777777" w:rsidTr="001A1BC5">
        <w:trPr>
          <w:cantSplit/>
        </w:trPr>
        <w:tc>
          <w:tcPr>
            <w:tcW w:w="2020" w:type="dxa"/>
            <w:tcBorders>
              <w:top w:val="single" w:sz="4" w:space="0" w:color="C2D9BA"/>
              <w:bottom w:val="single" w:sz="4" w:space="0" w:color="C2D9BA"/>
            </w:tcBorders>
            <w:shd w:val="clear" w:color="auto" w:fill="auto"/>
          </w:tcPr>
          <w:p w14:paraId="1F990B89" w14:textId="77777777" w:rsidR="001A1BC5" w:rsidRPr="0038658B" w:rsidRDefault="001A1BC5"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4D5C37FF" w14:textId="77777777" w:rsidR="001A1BC5" w:rsidRDefault="001A1BC5" w:rsidP="001A1BC5">
            <w:pPr>
              <w:pStyle w:val="TableText"/>
            </w:pPr>
            <w:r>
              <w:t>4</w:t>
            </w:r>
          </w:p>
        </w:tc>
        <w:tc>
          <w:tcPr>
            <w:tcW w:w="5528" w:type="dxa"/>
            <w:tcBorders>
              <w:top w:val="single" w:sz="4" w:space="0" w:color="C2D9BA"/>
              <w:bottom w:val="single" w:sz="4" w:space="0" w:color="C2D9BA"/>
            </w:tcBorders>
            <w:shd w:val="clear" w:color="auto" w:fill="auto"/>
          </w:tcPr>
          <w:p w14:paraId="65DD1870" w14:textId="77777777" w:rsidR="001A1BC5" w:rsidRDefault="001A1BC5" w:rsidP="002147D2">
            <w:pPr>
              <w:pStyle w:val="TableText"/>
            </w:pPr>
            <w:r>
              <w:t>Compared with placebo:</w:t>
            </w:r>
          </w:p>
          <w:p w14:paraId="6DFF629E" w14:textId="77777777" w:rsidR="001A1BC5" w:rsidRDefault="001A1BC5" w:rsidP="002147D2">
            <w:pPr>
              <w:pStyle w:val="TableText"/>
            </w:pPr>
            <w:r>
              <w:t>Gain in median overall survival of 18.4 months, with durable response (four-year survival gain &gt;13.3%)</w:t>
            </w:r>
          </w:p>
          <w:p w14:paraId="797730BF" w14:textId="77777777" w:rsidR="001A1BC5" w:rsidRDefault="001A1BC5" w:rsidP="002147D2">
            <w:pPr>
              <w:pStyle w:val="TableText"/>
            </w:pPr>
            <w:r>
              <w:t>Gain in median progression-free survival of 11.6 months</w:t>
            </w:r>
          </w:p>
          <w:p w14:paraId="6C95F836" w14:textId="77777777" w:rsidR="001A1BC5" w:rsidRDefault="001A1BC5" w:rsidP="002147D2">
            <w:pPr>
              <w:pStyle w:val="TableText"/>
            </w:pPr>
            <w:r>
              <w:t>Differences in toxicity were not noted.</w:t>
            </w:r>
          </w:p>
          <w:p w14:paraId="50600DF4" w14:textId="77777777" w:rsidR="001A1BC5" w:rsidRDefault="001A1BC5" w:rsidP="002147D2">
            <w:pPr>
              <w:pStyle w:val="TableText"/>
            </w:pPr>
            <w:r>
              <w:t>No benefit in quality of life was observed.</w:t>
            </w:r>
          </w:p>
          <w:p w14:paraId="1004177F" w14:textId="77777777" w:rsidR="001A1BC5" w:rsidRDefault="0056499C" w:rsidP="001A1BC5">
            <w:pPr>
              <w:pStyle w:val="TableText"/>
            </w:pPr>
            <w:hyperlink r:id="rId88" w:history="1">
              <w:r w:rsidR="001A1BC5" w:rsidRPr="00333377">
                <w:rPr>
                  <w:rStyle w:val="Hyperlink"/>
                  <w:rFonts w:eastAsia="MS Gothic"/>
                </w:rPr>
                <w:t>www.esmo.org/guidelines/esmo-mcbs/esmo-mcbs-scorecards/scorecard-170-1</w:t>
              </w:r>
            </w:hyperlink>
          </w:p>
        </w:tc>
      </w:tr>
      <w:tr w:rsidR="001A1BC5" w14:paraId="53EF50D8" w14:textId="77777777" w:rsidTr="00290AF3">
        <w:trPr>
          <w:cantSplit/>
        </w:trPr>
        <w:tc>
          <w:tcPr>
            <w:tcW w:w="2020" w:type="dxa"/>
            <w:tcBorders>
              <w:top w:val="single" w:sz="4" w:space="0" w:color="C2D9BA"/>
              <w:bottom w:val="single" w:sz="4" w:space="0" w:color="C2D9BA"/>
            </w:tcBorders>
            <w:shd w:val="clear" w:color="auto" w:fill="auto"/>
          </w:tcPr>
          <w:p w14:paraId="6B0908F1" w14:textId="77777777" w:rsidR="001A1BC5" w:rsidRPr="0038658B" w:rsidRDefault="001A1BC5"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54A8E48F" w14:textId="77777777" w:rsidR="001A1BC5" w:rsidRDefault="001A1BC5" w:rsidP="002147D2">
            <w:pPr>
              <w:pStyle w:val="TableText"/>
            </w:pPr>
            <w:r w:rsidRPr="009D213E">
              <w:t xml:space="preserve">Current approach for </w:t>
            </w:r>
            <w:r>
              <w:t>these patients</w:t>
            </w:r>
            <w:r w:rsidRPr="009D213E">
              <w:t xml:space="preserve"> after</w:t>
            </w:r>
            <w:r>
              <w:t xml:space="preserve"> they receive</w:t>
            </w:r>
            <w:r w:rsidRPr="009D213E">
              <w:t xml:space="preserve"> initial chemoradiotherapy is to </w:t>
            </w:r>
            <w:r>
              <w:t>‘</w:t>
            </w:r>
            <w:r w:rsidRPr="009D213E">
              <w:t>watch and wait</w:t>
            </w:r>
            <w:r>
              <w:t>’,</w:t>
            </w:r>
            <w:r w:rsidRPr="009D213E">
              <w:t xml:space="preserve"> ie</w:t>
            </w:r>
            <w:r>
              <w:t>,</w:t>
            </w:r>
            <w:r w:rsidRPr="009D213E">
              <w:t xml:space="preserve"> patients do not receive any consolidation treatment and are </w:t>
            </w:r>
            <w:r>
              <w:t>followed closely</w:t>
            </w:r>
            <w:r w:rsidRPr="009D213E">
              <w:t xml:space="preserve"> to detect tumour recurrence</w:t>
            </w:r>
            <w:r>
              <w:t>.</w:t>
            </w:r>
          </w:p>
          <w:p w14:paraId="6E552813" w14:textId="77777777" w:rsidR="001A1BC5" w:rsidRDefault="001A1BC5" w:rsidP="002147D2">
            <w:pPr>
              <w:pStyle w:val="TableText"/>
            </w:pPr>
            <w:r>
              <w:t>If durvalumab were funded, this would become an active treatment option for consolidating the response to chemoradiotherapy.</w:t>
            </w:r>
          </w:p>
        </w:tc>
      </w:tr>
      <w:tr w:rsidR="001A1BC5" w14:paraId="5BD510E8" w14:textId="77777777" w:rsidTr="00290AF3">
        <w:trPr>
          <w:cantSplit/>
        </w:trPr>
        <w:tc>
          <w:tcPr>
            <w:tcW w:w="2020" w:type="dxa"/>
            <w:tcBorders>
              <w:top w:val="single" w:sz="4" w:space="0" w:color="C2D9BA"/>
              <w:bottom w:val="single" w:sz="4" w:space="0" w:color="C2D9BA"/>
            </w:tcBorders>
            <w:shd w:val="clear" w:color="auto" w:fill="auto"/>
          </w:tcPr>
          <w:p w14:paraId="1EFD56B2" w14:textId="77777777" w:rsidR="001A1BC5" w:rsidRPr="0038658B" w:rsidRDefault="001A1BC5"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77F3B78A" w14:textId="77777777" w:rsidR="001A1BC5" w:rsidRDefault="001A1BC5" w:rsidP="002147D2">
            <w:pPr>
              <w:pStyle w:val="TableText"/>
            </w:pPr>
            <w:r w:rsidRPr="009D213E">
              <w:t>80 people in the first year, increasing up to 100 people each year after a few years</w:t>
            </w:r>
            <w:r>
              <w:t xml:space="preserve"> </w:t>
            </w:r>
            <w:r>
              <w:rPr>
                <w:noProof/>
              </w:rPr>
              <w:t>(Pharmac 2021c)</w:t>
            </w:r>
            <w:r>
              <w:t xml:space="preserve"> </w:t>
            </w:r>
          </w:p>
        </w:tc>
      </w:tr>
      <w:tr w:rsidR="001A1BC5" w14:paraId="5536B5D1" w14:textId="77777777" w:rsidTr="00290AF3">
        <w:trPr>
          <w:cantSplit/>
        </w:trPr>
        <w:tc>
          <w:tcPr>
            <w:tcW w:w="2020" w:type="dxa"/>
            <w:tcBorders>
              <w:top w:val="single" w:sz="4" w:space="0" w:color="C2D9BA"/>
              <w:bottom w:val="single" w:sz="4" w:space="0" w:color="C2D9BA"/>
            </w:tcBorders>
            <w:shd w:val="clear" w:color="auto" w:fill="auto"/>
          </w:tcPr>
          <w:p w14:paraId="17F68427" w14:textId="77777777" w:rsidR="001A1BC5" w:rsidRPr="0038658B" w:rsidRDefault="001A1BC5"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673886E9" w14:textId="77777777" w:rsidR="001A1BC5" w:rsidRDefault="001A1BC5" w:rsidP="002147D2">
            <w:pPr>
              <w:pStyle w:val="TableText"/>
            </w:pPr>
            <w:r>
              <w:t>This medicine is given by infusion.</w:t>
            </w:r>
          </w:p>
          <w:p w14:paraId="7E9C8211" w14:textId="77777777" w:rsidR="001A1BC5" w:rsidRDefault="001A1BC5" w:rsidP="002147D2">
            <w:pPr>
              <w:pStyle w:val="TableText"/>
            </w:pPr>
            <w:r>
              <w:t xml:space="preserve">Durvalumab would be given </w:t>
            </w:r>
            <w:r w:rsidRPr="009D213E">
              <w:t xml:space="preserve">every two </w:t>
            </w:r>
            <w:r>
              <w:t xml:space="preserve">or four weeks </w:t>
            </w:r>
            <w:r w:rsidRPr="009D213E">
              <w:t xml:space="preserve">until disease progression </w:t>
            </w:r>
            <w:r>
              <w:t>(</w:t>
            </w:r>
            <w:r w:rsidRPr="009D213E">
              <w:t xml:space="preserve">or </w:t>
            </w:r>
            <w:r>
              <w:t xml:space="preserve">unacceptable </w:t>
            </w:r>
            <w:r w:rsidRPr="009D213E">
              <w:t>toxicity</w:t>
            </w:r>
            <w:r>
              <w:t xml:space="preserve">), for a maximum of one year </w:t>
            </w:r>
            <w:r>
              <w:rPr>
                <w:noProof/>
              </w:rPr>
              <w:t>(Medsafe 2021)</w:t>
            </w:r>
            <w:r>
              <w:t>.</w:t>
            </w:r>
          </w:p>
        </w:tc>
      </w:tr>
      <w:tr w:rsidR="001A1BC5" w14:paraId="7EA8C537" w14:textId="77777777" w:rsidTr="00290AF3">
        <w:trPr>
          <w:cantSplit/>
        </w:trPr>
        <w:tc>
          <w:tcPr>
            <w:tcW w:w="2020" w:type="dxa"/>
            <w:tcBorders>
              <w:top w:val="single" w:sz="4" w:space="0" w:color="C2D9BA"/>
              <w:bottom w:val="single" w:sz="4" w:space="0" w:color="C2D9BA"/>
            </w:tcBorders>
            <w:shd w:val="clear" w:color="auto" w:fill="auto"/>
          </w:tcPr>
          <w:p w14:paraId="2EEA05A4" w14:textId="77777777" w:rsidR="001A1BC5" w:rsidRPr="0038658B" w:rsidRDefault="001A1BC5"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62E741F0" w14:textId="77777777" w:rsidR="001A1BC5" w:rsidRDefault="001A1BC5" w:rsidP="002147D2">
            <w:pPr>
              <w:pStyle w:val="TableText"/>
            </w:pPr>
            <w:r>
              <w:t>This would be an additional treatment compared with the current approach (which is to ‘watch and wait’), with the potential clinical benefit described above.</w:t>
            </w:r>
          </w:p>
          <w:p w14:paraId="5CD97A77" w14:textId="77777777" w:rsidR="001A1BC5" w:rsidRDefault="001A1BC5" w:rsidP="002147D2">
            <w:pPr>
              <w:pStyle w:val="TableText"/>
            </w:pPr>
            <w:r>
              <w:t>This would mean that, compared with the current approach, there would be more treatment appointments to attend and more follow-up visits. Durvalumab would be administered in the outpatient infusion centre, so patients would need to travel, but there would be no prescription charge. There may be other medicines needed to manage side effects that may have a prescription charge. There would be more side effects expected when compared to the current approach of no active treatment.</w:t>
            </w:r>
          </w:p>
          <w:p w14:paraId="1E3BFEC0" w14:textId="77777777" w:rsidR="001A1BC5" w:rsidRDefault="001A1BC5" w:rsidP="002147D2">
            <w:pPr>
              <w:pStyle w:val="TableText"/>
            </w:pPr>
            <w:r>
              <w:t xml:space="preserve">There are some particular side effects associated with immune checkpoint inhibitors that are quite different to the side effects of chemotherapy. These can develop long after treatment has stopped and may require specialised management. </w:t>
            </w:r>
          </w:p>
        </w:tc>
      </w:tr>
      <w:tr w:rsidR="001A1BC5" w14:paraId="73F4914E" w14:textId="77777777" w:rsidTr="00290AF3">
        <w:trPr>
          <w:cantSplit/>
        </w:trPr>
        <w:tc>
          <w:tcPr>
            <w:tcW w:w="2020" w:type="dxa"/>
            <w:tcBorders>
              <w:top w:val="single" w:sz="4" w:space="0" w:color="C2D9BA"/>
              <w:bottom w:val="single" w:sz="4" w:space="0" w:color="C2D9BA"/>
            </w:tcBorders>
            <w:shd w:val="clear" w:color="auto" w:fill="auto"/>
          </w:tcPr>
          <w:p w14:paraId="2BA2DB66" w14:textId="77777777" w:rsidR="001A1BC5" w:rsidRPr="0038658B" w:rsidRDefault="001A1BC5"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21C79AD1" w14:textId="77777777" w:rsidR="001A1BC5" w:rsidRDefault="001A1BC5" w:rsidP="002147D2">
            <w:pPr>
              <w:pStyle w:val="TableText"/>
            </w:pPr>
            <w:r w:rsidRPr="00614693">
              <w:t xml:space="preserve">Additional </w:t>
            </w:r>
            <w:r>
              <w:t>treatment appointments required.</w:t>
            </w:r>
          </w:p>
          <w:p w14:paraId="018B17B3" w14:textId="77777777" w:rsidR="001A1BC5" w:rsidRDefault="001A1BC5" w:rsidP="002147D2">
            <w:pPr>
              <w:pStyle w:val="TableText"/>
            </w:pPr>
            <w:r>
              <w:t xml:space="preserve">Additional </w:t>
            </w:r>
            <w:r w:rsidRPr="00614693">
              <w:t xml:space="preserve">follow-up appointments </w:t>
            </w:r>
            <w:r>
              <w:t xml:space="preserve">may be </w:t>
            </w:r>
            <w:r w:rsidRPr="00614693">
              <w:t>required.</w:t>
            </w:r>
          </w:p>
          <w:p w14:paraId="5018E45A" w14:textId="77777777" w:rsidR="001A1BC5" w:rsidRDefault="001A1BC5" w:rsidP="002147D2">
            <w:pPr>
              <w:pStyle w:val="TableText"/>
            </w:pPr>
            <w:r w:rsidRPr="00614693">
              <w:t xml:space="preserve">Additional chair time </w:t>
            </w:r>
            <w:r>
              <w:t>for administration of treatment required</w:t>
            </w:r>
            <w:r w:rsidRPr="00614693">
              <w:t>.</w:t>
            </w:r>
          </w:p>
          <w:p w14:paraId="65FD1E9F" w14:textId="77777777" w:rsidR="001A1BC5" w:rsidRDefault="001A1BC5" w:rsidP="002147D2">
            <w:pPr>
              <w:pStyle w:val="TableText"/>
            </w:pPr>
            <w:r w:rsidRPr="00614693">
              <w:t>Increased demand for laboratory</w:t>
            </w:r>
            <w:r>
              <w:t xml:space="preserve"> and pathology services to determine treatment eligibility and monitor for treatment toxicities.</w:t>
            </w:r>
          </w:p>
          <w:p w14:paraId="3A8C9B78" w14:textId="77777777" w:rsidR="001A1BC5" w:rsidRDefault="001A1BC5" w:rsidP="002147D2">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3F351F0A" w14:textId="77777777" w:rsidR="001A1BC5" w:rsidRDefault="001A1BC5" w:rsidP="001A1BC5">
            <w:pPr>
              <w:pStyle w:val="TableText"/>
            </w:pPr>
            <w:r>
              <w:t>Increased demand for supportive care and toxicity management (including health care professionals’ time and pharmaceuticals).</w:t>
            </w:r>
          </w:p>
        </w:tc>
      </w:tr>
    </w:tbl>
    <w:p w14:paraId="087752E7" w14:textId="77777777" w:rsidR="0038658B" w:rsidRPr="0038658B" w:rsidRDefault="0038658B" w:rsidP="0038658B"/>
    <w:p w14:paraId="64B41B3E" w14:textId="77777777" w:rsidR="006D7F10" w:rsidRDefault="006D7F10" w:rsidP="001A1BC5">
      <w:pPr>
        <w:pStyle w:val="Table"/>
        <w:keepNext w:val="0"/>
        <w:pageBreakBefore/>
        <w:spacing w:before="0"/>
      </w:pPr>
      <w:bookmarkStart w:id="392" w:name="_Toc101365620"/>
      <w:bookmarkStart w:id="393" w:name="Appendix_7_Table_7point4"/>
      <w:bookmarkEnd w:id="391"/>
      <w:r>
        <w:lastRenderedPageBreak/>
        <w:t>Table</w:t>
      </w:r>
      <w:r w:rsidR="009B6B07">
        <w:t> </w:t>
      </w:r>
      <w:r>
        <w:t>7.4: Osimertinib for lung cancer – first-line therapy</w:t>
      </w:r>
      <w:bookmarkEnd w:id="39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1A1BC5" w14:paraId="4CBF0C3E" w14:textId="77777777" w:rsidTr="00290AF3">
        <w:trPr>
          <w:cantSplit/>
        </w:trPr>
        <w:tc>
          <w:tcPr>
            <w:tcW w:w="2020" w:type="dxa"/>
            <w:tcBorders>
              <w:top w:val="nil"/>
              <w:bottom w:val="nil"/>
            </w:tcBorders>
            <w:shd w:val="clear" w:color="auto" w:fill="C2D9BA"/>
          </w:tcPr>
          <w:p w14:paraId="6C86039F" w14:textId="77777777" w:rsidR="001A1BC5" w:rsidRPr="00181CD3" w:rsidRDefault="001A1BC5"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6C45CC64" w14:textId="77777777" w:rsidR="001A1BC5" w:rsidRDefault="001A1BC5" w:rsidP="001A1BC5">
            <w:pPr>
              <w:pStyle w:val="TableText"/>
            </w:pPr>
            <w:r w:rsidRPr="009D213E">
              <w:t>Non-small cell lung cancer, stage III</w:t>
            </w:r>
            <w:r>
              <w:t>b or IV</w:t>
            </w:r>
            <w:r w:rsidRPr="009D213E">
              <w:t>,</w:t>
            </w:r>
            <w:r>
              <w:t xml:space="preserve"> EGFR +ve, first-line</w:t>
            </w:r>
            <w:r w:rsidRPr="009D213E">
              <w:t xml:space="preserve"> </w:t>
            </w:r>
            <w:r>
              <w:t>therapy</w:t>
            </w:r>
          </w:p>
        </w:tc>
      </w:tr>
      <w:tr w:rsidR="001A1BC5" w14:paraId="0A8DFEE6" w14:textId="77777777" w:rsidTr="00290AF3">
        <w:trPr>
          <w:cantSplit/>
        </w:trPr>
        <w:tc>
          <w:tcPr>
            <w:tcW w:w="2020" w:type="dxa"/>
            <w:tcBorders>
              <w:top w:val="single" w:sz="4" w:space="0" w:color="C2D9BA"/>
              <w:bottom w:val="single" w:sz="4" w:space="0" w:color="C2D9BA"/>
            </w:tcBorders>
            <w:shd w:val="clear" w:color="auto" w:fill="E7F0E3"/>
          </w:tcPr>
          <w:p w14:paraId="5845805C" w14:textId="77777777" w:rsidR="001A1BC5" w:rsidRPr="00181CD3" w:rsidRDefault="001A1BC5" w:rsidP="001A1BC5">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7D5A4174" w14:textId="77777777" w:rsidR="001A1BC5" w:rsidRDefault="001A1BC5" w:rsidP="002147D2">
            <w:pPr>
              <w:pStyle w:val="TableText"/>
            </w:pPr>
            <w:r>
              <w:t>Osimertinib</w:t>
            </w:r>
          </w:p>
        </w:tc>
      </w:tr>
      <w:tr w:rsidR="001A1BC5" w14:paraId="6A7480FE" w14:textId="77777777" w:rsidTr="00290AF3">
        <w:trPr>
          <w:cantSplit/>
        </w:trPr>
        <w:tc>
          <w:tcPr>
            <w:tcW w:w="2020" w:type="dxa"/>
            <w:tcBorders>
              <w:top w:val="single" w:sz="4" w:space="0" w:color="C2D9BA"/>
              <w:bottom w:val="single" w:sz="4" w:space="0" w:color="C2D9BA"/>
            </w:tcBorders>
            <w:shd w:val="clear" w:color="auto" w:fill="auto"/>
          </w:tcPr>
          <w:p w14:paraId="0478657F" w14:textId="77777777" w:rsidR="001A1BC5" w:rsidRPr="00181CD3" w:rsidRDefault="001A1BC5"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19DA657F" w14:textId="77777777" w:rsidR="001A1BC5" w:rsidRDefault="001A1BC5" w:rsidP="002147D2">
            <w:pPr>
              <w:pStyle w:val="TableText"/>
            </w:pPr>
            <w:r>
              <w:t>Tyrosine kinase inhibitor (small molecule targeting the EGFR protein)</w:t>
            </w:r>
          </w:p>
        </w:tc>
      </w:tr>
      <w:tr w:rsidR="001A1BC5" w14:paraId="41CA39D2" w14:textId="77777777" w:rsidTr="00290AF3">
        <w:trPr>
          <w:cantSplit/>
        </w:trPr>
        <w:tc>
          <w:tcPr>
            <w:tcW w:w="2020" w:type="dxa"/>
            <w:tcBorders>
              <w:top w:val="single" w:sz="4" w:space="0" w:color="C2D9BA"/>
              <w:bottom w:val="single" w:sz="4" w:space="0" w:color="C2D9BA"/>
            </w:tcBorders>
            <w:shd w:val="clear" w:color="auto" w:fill="auto"/>
          </w:tcPr>
          <w:p w14:paraId="12857189" w14:textId="77777777" w:rsidR="001A1BC5" w:rsidRPr="00181CD3" w:rsidRDefault="001A1BC5"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24613F68" w14:textId="77777777" w:rsidR="001A1BC5" w:rsidRDefault="001A1BC5" w:rsidP="002147D2">
            <w:pPr>
              <w:pStyle w:val="TableText"/>
            </w:pPr>
            <w:r>
              <w:t>Non-curative</w:t>
            </w:r>
          </w:p>
        </w:tc>
      </w:tr>
      <w:tr w:rsidR="001A1BC5" w14:paraId="4530B42C" w14:textId="77777777" w:rsidTr="00127BAF">
        <w:trPr>
          <w:cantSplit/>
        </w:trPr>
        <w:tc>
          <w:tcPr>
            <w:tcW w:w="2020" w:type="dxa"/>
            <w:tcBorders>
              <w:top w:val="single" w:sz="4" w:space="0" w:color="C2D9BA"/>
              <w:bottom w:val="single" w:sz="4" w:space="0" w:color="C2D9BA"/>
            </w:tcBorders>
            <w:shd w:val="clear" w:color="auto" w:fill="auto"/>
          </w:tcPr>
          <w:p w14:paraId="0618FA3F" w14:textId="77777777" w:rsidR="001A1BC5" w:rsidRPr="00181CD3" w:rsidRDefault="001A1BC5"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0744E4E8" w14:textId="77777777" w:rsidR="001A1BC5" w:rsidRDefault="001A1BC5" w:rsidP="002147D2">
            <w:pPr>
              <w:pStyle w:val="TableText"/>
            </w:pPr>
            <w:r>
              <w:t>Application received December 2019</w:t>
            </w:r>
          </w:p>
          <w:p w14:paraId="790E5D96" w14:textId="77777777" w:rsidR="001A1BC5" w:rsidRPr="001A1BC5" w:rsidRDefault="001A1BC5" w:rsidP="002147D2">
            <w:pPr>
              <w:pStyle w:val="TableText"/>
            </w:pPr>
            <w:r>
              <w:t xml:space="preserve">Under assessment – this </w:t>
            </w:r>
            <w:r w:rsidRPr="001A1BC5">
              <w:t>means that Pharmac has received clinical advice regarding this funding application, and it is working to compare this against other options for funding.</w:t>
            </w:r>
          </w:p>
          <w:p w14:paraId="3729445F" w14:textId="77777777" w:rsidR="001A1BC5" w:rsidRDefault="0056499C" w:rsidP="002147D2">
            <w:pPr>
              <w:pStyle w:val="TableText"/>
            </w:pPr>
            <w:hyperlink r:id="rId89" w:history="1">
              <w:r w:rsidR="001A1BC5" w:rsidRPr="001A1BC5">
                <w:rPr>
                  <w:rStyle w:val="Hyperlink"/>
                </w:rPr>
                <w:t>https://connect.pharmac.govt.nz/apptracker/s/application-public/a102P000009sG55/p001526</w:t>
              </w:r>
            </w:hyperlink>
          </w:p>
        </w:tc>
      </w:tr>
      <w:tr w:rsidR="00127BAF" w14:paraId="76B13641" w14:textId="77777777" w:rsidTr="00127BAF">
        <w:trPr>
          <w:cantSplit/>
        </w:trPr>
        <w:tc>
          <w:tcPr>
            <w:tcW w:w="2020" w:type="dxa"/>
            <w:tcBorders>
              <w:top w:val="single" w:sz="4" w:space="0" w:color="C2D9BA"/>
              <w:bottom w:val="single" w:sz="4" w:space="0" w:color="C2D9BA"/>
            </w:tcBorders>
            <w:shd w:val="clear" w:color="auto" w:fill="auto"/>
          </w:tcPr>
          <w:p w14:paraId="787CD6A5" w14:textId="77777777" w:rsidR="00127BAF" w:rsidRPr="0038658B" w:rsidRDefault="00127BAF"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68436FE6" w14:textId="77777777" w:rsidR="00127BAF" w:rsidRDefault="00127BAF" w:rsidP="002147D2">
            <w:pPr>
              <w:pStyle w:val="TableText"/>
            </w:pPr>
            <w:r>
              <w:t>4</w:t>
            </w:r>
          </w:p>
        </w:tc>
        <w:tc>
          <w:tcPr>
            <w:tcW w:w="5528" w:type="dxa"/>
            <w:tcBorders>
              <w:top w:val="single" w:sz="4" w:space="0" w:color="C2D9BA"/>
              <w:bottom w:val="single" w:sz="4" w:space="0" w:color="C2D9BA"/>
            </w:tcBorders>
            <w:shd w:val="clear" w:color="auto" w:fill="auto"/>
          </w:tcPr>
          <w:p w14:paraId="7E28C369" w14:textId="77777777" w:rsidR="00127BAF" w:rsidRDefault="00127BAF" w:rsidP="002147D2">
            <w:pPr>
              <w:pStyle w:val="TableText"/>
            </w:pPr>
            <w:r>
              <w:t>Compared with erlotinib or gefitinib:</w:t>
            </w:r>
          </w:p>
          <w:p w14:paraId="7CDD92D2" w14:textId="77777777" w:rsidR="00127BAF" w:rsidRDefault="00127BAF" w:rsidP="002147D2">
            <w:pPr>
              <w:pStyle w:val="TableText"/>
            </w:pPr>
            <w:r>
              <w:t>Gain in median overall survival of 6.8 months</w:t>
            </w:r>
          </w:p>
          <w:p w14:paraId="5B566FE8" w14:textId="77777777" w:rsidR="00127BAF" w:rsidRDefault="00127BAF" w:rsidP="002147D2">
            <w:pPr>
              <w:pStyle w:val="TableText"/>
            </w:pPr>
            <w:r>
              <w:t>Gain in median progression-free survival of 8.7 months</w:t>
            </w:r>
          </w:p>
          <w:p w14:paraId="1E100D98" w14:textId="77777777" w:rsidR="00127BAF" w:rsidRDefault="00127BAF" w:rsidP="002147D2">
            <w:pPr>
              <w:pStyle w:val="TableText"/>
            </w:pPr>
            <w:r>
              <w:t>Improved toxicity profile contributed to the score.</w:t>
            </w:r>
          </w:p>
          <w:p w14:paraId="68E652CA" w14:textId="77777777" w:rsidR="00127BAF" w:rsidRDefault="00127BAF" w:rsidP="002147D2">
            <w:pPr>
              <w:pStyle w:val="TableText"/>
            </w:pPr>
            <w:r>
              <w:t>No benefit in quality of life was observed.</w:t>
            </w:r>
          </w:p>
          <w:p w14:paraId="6702EFAA" w14:textId="77777777" w:rsidR="00127BAF" w:rsidRDefault="0056499C" w:rsidP="002147D2">
            <w:pPr>
              <w:pStyle w:val="TableText"/>
            </w:pPr>
            <w:hyperlink r:id="rId90" w:history="1">
              <w:r w:rsidR="00127BAF" w:rsidRPr="00333377">
                <w:rPr>
                  <w:rStyle w:val="Hyperlink"/>
                  <w:rFonts w:eastAsia="MS Gothic"/>
                </w:rPr>
                <w:t>www.esmo.org/guidelines/esmo-mcbs/esmo-mcbs-scorecards/scorecard-123-1</w:t>
              </w:r>
            </w:hyperlink>
          </w:p>
        </w:tc>
      </w:tr>
      <w:tr w:rsidR="00127BAF" w14:paraId="0B7BFC4D" w14:textId="77777777" w:rsidTr="00290AF3">
        <w:trPr>
          <w:cantSplit/>
        </w:trPr>
        <w:tc>
          <w:tcPr>
            <w:tcW w:w="2020" w:type="dxa"/>
            <w:tcBorders>
              <w:top w:val="single" w:sz="4" w:space="0" w:color="C2D9BA"/>
              <w:bottom w:val="single" w:sz="4" w:space="0" w:color="C2D9BA"/>
            </w:tcBorders>
            <w:shd w:val="clear" w:color="auto" w:fill="auto"/>
          </w:tcPr>
          <w:p w14:paraId="077B523B" w14:textId="77777777" w:rsidR="00127BAF" w:rsidRPr="0038658B" w:rsidRDefault="00127BAF"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210E433A" w14:textId="77777777" w:rsidR="00127BAF" w:rsidRDefault="00127BAF" w:rsidP="002147D2">
            <w:pPr>
              <w:pStyle w:val="TableText"/>
            </w:pPr>
            <w:r w:rsidRPr="009D213E">
              <w:t xml:space="preserve">Current approach for </w:t>
            </w:r>
            <w:r>
              <w:t>these patients</w:t>
            </w:r>
            <w:r w:rsidRPr="009D213E">
              <w:t xml:space="preserve"> </w:t>
            </w:r>
            <w:r>
              <w:t>is a first-generation EGFR tyrosine kinase inhibitor – either gefitinib or erlotinib.</w:t>
            </w:r>
          </w:p>
          <w:p w14:paraId="3B35DED7" w14:textId="77777777" w:rsidR="00127BAF" w:rsidRDefault="00127BAF" w:rsidP="002147D2">
            <w:pPr>
              <w:pStyle w:val="TableText"/>
            </w:pPr>
            <w:r>
              <w:t>If osimertinib were funded, it would replace these options.</w:t>
            </w:r>
          </w:p>
          <w:p w14:paraId="1CB29E9F" w14:textId="77777777" w:rsidR="00127BAF" w:rsidRDefault="00127BAF" w:rsidP="00127BAF">
            <w:pPr>
              <w:pStyle w:val="TableText"/>
            </w:pPr>
            <w:r w:rsidRPr="00614693">
              <w:t xml:space="preserve">Patients would only receive </w:t>
            </w:r>
            <w:r>
              <w:t xml:space="preserve">treatment osimertinib for </w:t>
            </w:r>
            <w:r w:rsidRPr="00614693">
              <w:t>one line of therapy</w:t>
            </w:r>
            <w:r>
              <w:t xml:space="preserve">, and </w:t>
            </w:r>
            <w:r w:rsidRPr="00CF52B3">
              <w:t>clinical advice indicated that giving it earlier rather than later is generally preferred.</w:t>
            </w:r>
            <w:r>
              <w:t xml:space="preserve"> This means that if this gap were filled, the gap for osimertinib in the second line would become redundant (for people who received osimertinib in the first line setting).</w:t>
            </w:r>
          </w:p>
        </w:tc>
      </w:tr>
      <w:tr w:rsidR="00127BAF" w14:paraId="5D227E8C" w14:textId="77777777" w:rsidTr="00290AF3">
        <w:trPr>
          <w:cantSplit/>
        </w:trPr>
        <w:tc>
          <w:tcPr>
            <w:tcW w:w="2020" w:type="dxa"/>
            <w:tcBorders>
              <w:top w:val="single" w:sz="4" w:space="0" w:color="C2D9BA"/>
              <w:bottom w:val="single" w:sz="4" w:space="0" w:color="C2D9BA"/>
            </w:tcBorders>
            <w:shd w:val="clear" w:color="auto" w:fill="auto"/>
          </w:tcPr>
          <w:p w14:paraId="2E8AD4D7" w14:textId="77777777" w:rsidR="00127BAF" w:rsidRPr="0038658B" w:rsidRDefault="00127BAF"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11AECE44" w14:textId="0011884F" w:rsidR="00127BAF" w:rsidRDefault="00127BAF" w:rsidP="002147D2">
            <w:pPr>
              <w:pStyle w:val="TableText"/>
            </w:pPr>
            <w:r>
              <w:t xml:space="preserve">A </w:t>
            </w:r>
            <w:r w:rsidR="00B15851">
              <w:t>final</w:t>
            </w:r>
            <w:r w:rsidR="00B15851">
              <w:t xml:space="preserve"> </w:t>
            </w:r>
            <w:r>
              <w:t>estimate of the eligible population size was not readily available at time of publication</w:t>
            </w:r>
            <w:r w:rsidR="00AE30F8">
              <w:t xml:space="preserve">, however an </w:t>
            </w:r>
            <w:r w:rsidR="007406C6">
              <w:t xml:space="preserve">estimate of uptake in the first year of funding is </w:t>
            </w:r>
            <w:r w:rsidR="00924F0B">
              <w:t xml:space="preserve">200 people. </w:t>
            </w:r>
          </w:p>
          <w:p w14:paraId="7C1656EC" w14:textId="77777777" w:rsidR="002F762E" w:rsidRDefault="002F762E" w:rsidP="002147D2">
            <w:pPr>
              <w:pStyle w:val="TableText"/>
            </w:pPr>
          </w:p>
          <w:p w14:paraId="1F13FECB" w14:textId="7A2BC44A" w:rsidR="002F762E" w:rsidRDefault="002F762E" w:rsidP="002147D2">
            <w:pPr>
              <w:pStyle w:val="TableText"/>
            </w:pPr>
          </w:p>
        </w:tc>
      </w:tr>
      <w:tr w:rsidR="00127BAF" w14:paraId="5C1F3BF4" w14:textId="77777777" w:rsidTr="00290AF3">
        <w:trPr>
          <w:cantSplit/>
        </w:trPr>
        <w:tc>
          <w:tcPr>
            <w:tcW w:w="2020" w:type="dxa"/>
            <w:tcBorders>
              <w:top w:val="single" w:sz="4" w:space="0" w:color="C2D9BA"/>
              <w:bottom w:val="single" w:sz="4" w:space="0" w:color="C2D9BA"/>
            </w:tcBorders>
            <w:shd w:val="clear" w:color="auto" w:fill="auto"/>
          </w:tcPr>
          <w:p w14:paraId="0F5DA1AC" w14:textId="77777777" w:rsidR="00127BAF" w:rsidRPr="0038658B" w:rsidRDefault="00127BAF"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160FEAAD" w14:textId="77777777" w:rsidR="00127BAF" w:rsidRDefault="00127BAF" w:rsidP="002147D2">
            <w:pPr>
              <w:pStyle w:val="TableText"/>
            </w:pPr>
            <w:r>
              <w:t>This medicine is given orally.</w:t>
            </w:r>
          </w:p>
          <w:p w14:paraId="7BAAA23F" w14:textId="77777777" w:rsidR="00127BAF" w:rsidRDefault="00127BAF" w:rsidP="002147D2">
            <w:pPr>
              <w:pStyle w:val="TableText"/>
            </w:pPr>
            <w:r>
              <w:t xml:space="preserve">Osimertinib is a tablet that is generally taken once daily. Treatment is continued until </w:t>
            </w:r>
            <w:r w:rsidRPr="009D213E">
              <w:t xml:space="preserve">disease progression </w:t>
            </w:r>
            <w:r>
              <w:t>(</w:t>
            </w:r>
            <w:r w:rsidRPr="009D213E">
              <w:t xml:space="preserve">or </w:t>
            </w:r>
            <w:r>
              <w:t xml:space="preserve">unacceptable </w:t>
            </w:r>
            <w:r w:rsidRPr="009D213E">
              <w:t>toxicity</w:t>
            </w:r>
            <w:r>
              <w:t>).</w:t>
            </w:r>
          </w:p>
        </w:tc>
      </w:tr>
      <w:tr w:rsidR="00127BAF" w14:paraId="4BD93D24" w14:textId="77777777" w:rsidTr="00290AF3">
        <w:trPr>
          <w:cantSplit/>
        </w:trPr>
        <w:tc>
          <w:tcPr>
            <w:tcW w:w="2020" w:type="dxa"/>
            <w:tcBorders>
              <w:top w:val="single" w:sz="4" w:space="0" w:color="C2D9BA"/>
              <w:bottom w:val="single" w:sz="4" w:space="0" w:color="C2D9BA"/>
            </w:tcBorders>
            <w:shd w:val="clear" w:color="auto" w:fill="auto"/>
          </w:tcPr>
          <w:p w14:paraId="354BDD3A" w14:textId="77777777" w:rsidR="00127BAF" w:rsidRPr="0038658B" w:rsidRDefault="00127BAF" w:rsidP="00290AF3">
            <w:pPr>
              <w:pStyle w:val="TableText"/>
              <w:ind w:right="113"/>
              <w:rPr>
                <w:b/>
              </w:rPr>
            </w:pPr>
            <w:r w:rsidRPr="0038658B">
              <w:rPr>
                <w:b/>
              </w:rPr>
              <w:t>Patient and whānau considerations</w:t>
            </w:r>
          </w:p>
        </w:tc>
        <w:tc>
          <w:tcPr>
            <w:tcW w:w="6060" w:type="dxa"/>
            <w:gridSpan w:val="2"/>
            <w:tcBorders>
              <w:top w:val="single" w:sz="4" w:space="0" w:color="C2D9BA"/>
              <w:bottom w:val="single" w:sz="4" w:space="0" w:color="C2D9BA"/>
            </w:tcBorders>
            <w:shd w:val="clear" w:color="auto" w:fill="auto"/>
          </w:tcPr>
          <w:p w14:paraId="3A72CEE4" w14:textId="77777777" w:rsidR="00127BAF" w:rsidRDefault="00127BAF" w:rsidP="002147D2">
            <w:pPr>
              <w:pStyle w:val="TableText"/>
            </w:pPr>
            <w:r>
              <w:t>This would replace the current treatment options, with the potential clinical benefit described above.</w:t>
            </w:r>
          </w:p>
          <w:p w14:paraId="6177CBFB" w14:textId="77777777" w:rsidR="00127BAF" w:rsidRDefault="00127BAF" w:rsidP="002147D2">
            <w:pPr>
              <w:pStyle w:val="TableText"/>
            </w:pPr>
            <w:r>
              <w:t>Compared with the current treatment options, there would be minimal difference in terms of the practicalities of treatment. The tablets could be taken at home and would generally be dispensed by the local pharmacy – a prescription fee would be payable, as for the current treatment options. The increase in progression-free survival would mean that the tablets may need to be taken for a longer time, and there may be more follow-up appointments with the treatment team.</w:t>
            </w:r>
          </w:p>
        </w:tc>
      </w:tr>
      <w:tr w:rsidR="00127BAF" w14:paraId="352634AC" w14:textId="77777777" w:rsidTr="00290AF3">
        <w:trPr>
          <w:cantSplit/>
        </w:trPr>
        <w:tc>
          <w:tcPr>
            <w:tcW w:w="2020" w:type="dxa"/>
            <w:tcBorders>
              <w:top w:val="single" w:sz="4" w:space="0" w:color="C2D9BA"/>
              <w:bottom w:val="single" w:sz="4" w:space="0" w:color="C2D9BA"/>
            </w:tcBorders>
            <w:shd w:val="clear" w:color="auto" w:fill="auto"/>
          </w:tcPr>
          <w:p w14:paraId="680B6990" w14:textId="77777777" w:rsidR="00127BAF" w:rsidRPr="0038658B" w:rsidRDefault="00127BAF" w:rsidP="00290AF3">
            <w:pPr>
              <w:pStyle w:val="TableText"/>
              <w:ind w:right="113"/>
              <w:rPr>
                <w:b/>
              </w:rPr>
            </w:pPr>
            <w:r w:rsidRPr="0038658B">
              <w:rPr>
                <w:b/>
              </w:rPr>
              <w:lastRenderedPageBreak/>
              <w:t>Health system resource considerations</w:t>
            </w:r>
          </w:p>
        </w:tc>
        <w:tc>
          <w:tcPr>
            <w:tcW w:w="6060" w:type="dxa"/>
            <w:gridSpan w:val="2"/>
            <w:tcBorders>
              <w:top w:val="single" w:sz="4" w:space="0" w:color="C2D9BA"/>
              <w:bottom w:val="single" w:sz="4" w:space="0" w:color="C2D9BA"/>
            </w:tcBorders>
            <w:shd w:val="clear" w:color="auto" w:fill="auto"/>
          </w:tcPr>
          <w:p w14:paraId="18DDB133" w14:textId="77777777" w:rsidR="00127BAF" w:rsidRDefault="00127BAF" w:rsidP="002147D2">
            <w:pPr>
              <w:pStyle w:val="TableText"/>
            </w:pPr>
            <w:r>
              <w:t xml:space="preserve">Additional </w:t>
            </w:r>
            <w:r w:rsidRPr="00614693">
              <w:t xml:space="preserve">follow-up appointments </w:t>
            </w:r>
            <w:r>
              <w:t xml:space="preserve">may be </w:t>
            </w:r>
            <w:r w:rsidRPr="00614693">
              <w:t>required.</w:t>
            </w:r>
          </w:p>
          <w:p w14:paraId="0BE3BCFC" w14:textId="77777777" w:rsidR="00127BAF" w:rsidRDefault="00127BAF" w:rsidP="002147D2">
            <w:pPr>
              <w:pStyle w:val="TableText"/>
            </w:pPr>
            <w:r w:rsidRPr="00614693">
              <w:t>Increased demand for laboratory</w:t>
            </w:r>
            <w:r>
              <w:t xml:space="preserve"> and pathology services to monitor for treatment toxicities. EGFR testing for treatment eligibility would be required, but this would not be substantially different than that for the current funded treatment options.</w:t>
            </w:r>
          </w:p>
          <w:p w14:paraId="3AD5BFA7" w14:textId="77777777" w:rsidR="00127BAF" w:rsidRDefault="00127BAF" w:rsidP="00127BAF">
            <w:pPr>
              <w:pStyle w:val="TableText"/>
            </w:pPr>
            <w:r>
              <w:t xml:space="preserve">Increased demand for </w:t>
            </w:r>
            <w:r w:rsidRPr="00614693">
              <w:t xml:space="preserve">radiology </w:t>
            </w:r>
            <w:r>
              <w:t xml:space="preserve">services </w:t>
            </w:r>
            <w:r w:rsidRPr="00614693">
              <w:t>to assess for disease progression (subject to any funding criteria).</w:t>
            </w:r>
          </w:p>
        </w:tc>
      </w:tr>
    </w:tbl>
    <w:p w14:paraId="15BF7D82" w14:textId="77777777" w:rsidR="0038658B" w:rsidRPr="0038658B" w:rsidRDefault="0038658B" w:rsidP="0038658B"/>
    <w:p w14:paraId="6E3EA197" w14:textId="77777777" w:rsidR="006D7F10" w:rsidRDefault="006D7F10" w:rsidP="00961179">
      <w:pPr>
        <w:pStyle w:val="Table"/>
        <w:keepNext w:val="0"/>
        <w:pageBreakBefore/>
        <w:spacing w:before="0"/>
      </w:pPr>
      <w:bookmarkStart w:id="394" w:name="_Toc101365621"/>
      <w:bookmarkStart w:id="395" w:name="Appendix_7_Table_7point5"/>
      <w:bookmarkEnd w:id="393"/>
      <w:r>
        <w:lastRenderedPageBreak/>
        <w:t>Table</w:t>
      </w:r>
      <w:r w:rsidR="009B6B07">
        <w:t> </w:t>
      </w:r>
      <w:r>
        <w:t>7.5: Osimertinib for lung cancer – second-line therapy</w:t>
      </w:r>
      <w:bookmarkEnd w:id="39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961179" w14:paraId="10A5ECB3" w14:textId="77777777" w:rsidTr="00290AF3">
        <w:trPr>
          <w:cantSplit/>
        </w:trPr>
        <w:tc>
          <w:tcPr>
            <w:tcW w:w="2020" w:type="dxa"/>
            <w:tcBorders>
              <w:top w:val="nil"/>
              <w:bottom w:val="nil"/>
            </w:tcBorders>
            <w:shd w:val="clear" w:color="auto" w:fill="C2D9BA"/>
          </w:tcPr>
          <w:p w14:paraId="73CA14FD" w14:textId="77777777" w:rsidR="00961179" w:rsidRPr="00181CD3" w:rsidRDefault="00961179"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2A9426EC" w14:textId="77777777" w:rsidR="00961179" w:rsidRDefault="00961179" w:rsidP="002147D2">
            <w:pPr>
              <w:pStyle w:val="TableText"/>
            </w:pPr>
            <w:r w:rsidRPr="009D213E">
              <w:t>Non-small cell lung cancer, stage III</w:t>
            </w:r>
            <w:r>
              <w:t>b or IV</w:t>
            </w:r>
            <w:r w:rsidRPr="009D213E">
              <w:t>,</w:t>
            </w:r>
            <w:r>
              <w:t xml:space="preserve"> EGFR +ve, second-line</w:t>
            </w:r>
            <w:r w:rsidRPr="009D213E">
              <w:t xml:space="preserve"> </w:t>
            </w:r>
            <w:r>
              <w:t>therapy</w:t>
            </w:r>
          </w:p>
        </w:tc>
      </w:tr>
      <w:tr w:rsidR="00961179" w14:paraId="12F72C28" w14:textId="77777777" w:rsidTr="00290AF3">
        <w:trPr>
          <w:cantSplit/>
        </w:trPr>
        <w:tc>
          <w:tcPr>
            <w:tcW w:w="2020" w:type="dxa"/>
            <w:tcBorders>
              <w:top w:val="single" w:sz="4" w:space="0" w:color="C2D9BA"/>
              <w:bottom w:val="single" w:sz="4" w:space="0" w:color="C2D9BA"/>
            </w:tcBorders>
            <w:shd w:val="clear" w:color="auto" w:fill="E7F0E3"/>
          </w:tcPr>
          <w:p w14:paraId="48765503" w14:textId="77777777" w:rsidR="00961179" w:rsidRPr="00181CD3" w:rsidRDefault="00961179" w:rsidP="00961179">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7EA82097" w14:textId="77777777" w:rsidR="00961179" w:rsidRDefault="00961179" w:rsidP="002147D2">
            <w:pPr>
              <w:pStyle w:val="TableText"/>
            </w:pPr>
            <w:r>
              <w:t>Osimertinib</w:t>
            </w:r>
          </w:p>
        </w:tc>
      </w:tr>
      <w:tr w:rsidR="00961179" w14:paraId="1B06D053" w14:textId="77777777" w:rsidTr="00290AF3">
        <w:trPr>
          <w:cantSplit/>
        </w:trPr>
        <w:tc>
          <w:tcPr>
            <w:tcW w:w="2020" w:type="dxa"/>
            <w:tcBorders>
              <w:top w:val="single" w:sz="4" w:space="0" w:color="C2D9BA"/>
              <w:bottom w:val="single" w:sz="4" w:space="0" w:color="C2D9BA"/>
            </w:tcBorders>
            <w:shd w:val="clear" w:color="auto" w:fill="auto"/>
          </w:tcPr>
          <w:p w14:paraId="2F65B234" w14:textId="77777777" w:rsidR="00961179" w:rsidRPr="00181CD3" w:rsidRDefault="00961179"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6B724D27" w14:textId="77777777" w:rsidR="00961179" w:rsidRDefault="00961179" w:rsidP="002147D2">
            <w:pPr>
              <w:pStyle w:val="TableText"/>
            </w:pPr>
            <w:r>
              <w:t xml:space="preserve">Tyrosine kinase inhibitor (small molecule targeting the EGFR protein) </w:t>
            </w:r>
          </w:p>
        </w:tc>
      </w:tr>
      <w:tr w:rsidR="00961179" w14:paraId="76489181" w14:textId="77777777" w:rsidTr="00290AF3">
        <w:trPr>
          <w:cantSplit/>
        </w:trPr>
        <w:tc>
          <w:tcPr>
            <w:tcW w:w="2020" w:type="dxa"/>
            <w:tcBorders>
              <w:top w:val="single" w:sz="4" w:space="0" w:color="C2D9BA"/>
              <w:bottom w:val="single" w:sz="4" w:space="0" w:color="C2D9BA"/>
            </w:tcBorders>
            <w:shd w:val="clear" w:color="auto" w:fill="auto"/>
          </w:tcPr>
          <w:p w14:paraId="6F72BD11" w14:textId="77777777" w:rsidR="00961179" w:rsidRPr="00181CD3" w:rsidRDefault="00961179"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1FCC28DE" w14:textId="77777777" w:rsidR="00961179" w:rsidRDefault="00961179" w:rsidP="002147D2">
            <w:pPr>
              <w:pStyle w:val="TableText"/>
            </w:pPr>
            <w:r>
              <w:t>Non-curative</w:t>
            </w:r>
          </w:p>
        </w:tc>
      </w:tr>
      <w:tr w:rsidR="00961179" w14:paraId="75975554" w14:textId="77777777" w:rsidTr="00961179">
        <w:trPr>
          <w:cantSplit/>
        </w:trPr>
        <w:tc>
          <w:tcPr>
            <w:tcW w:w="2020" w:type="dxa"/>
            <w:tcBorders>
              <w:top w:val="single" w:sz="4" w:space="0" w:color="C2D9BA"/>
              <w:bottom w:val="single" w:sz="4" w:space="0" w:color="C2D9BA"/>
            </w:tcBorders>
            <w:shd w:val="clear" w:color="auto" w:fill="auto"/>
          </w:tcPr>
          <w:p w14:paraId="5902FF4B" w14:textId="77777777" w:rsidR="00961179" w:rsidRPr="00181CD3" w:rsidRDefault="00961179"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6308BCC8" w14:textId="77777777" w:rsidR="00961179" w:rsidRDefault="00961179" w:rsidP="002147D2">
            <w:pPr>
              <w:pStyle w:val="TableText"/>
            </w:pPr>
            <w:r>
              <w:t>Application received November 2017</w:t>
            </w:r>
          </w:p>
          <w:p w14:paraId="613F2B02" w14:textId="77777777" w:rsidR="00961179" w:rsidRPr="00961179" w:rsidRDefault="00961179" w:rsidP="002147D2">
            <w:pPr>
              <w:pStyle w:val="TableText"/>
            </w:pPr>
            <w:r>
              <w:t xml:space="preserve">Under assessment – this </w:t>
            </w:r>
            <w:r w:rsidRPr="00961179">
              <w:t>means that Pharmac has received clinical advice regarding this funding application, and it is working to compare this against other options for funding.</w:t>
            </w:r>
          </w:p>
          <w:p w14:paraId="4F61CA36" w14:textId="77777777" w:rsidR="00961179" w:rsidRDefault="0056499C" w:rsidP="002147D2">
            <w:pPr>
              <w:pStyle w:val="TableText"/>
            </w:pPr>
            <w:hyperlink r:id="rId91" w:history="1">
              <w:r w:rsidR="00961179" w:rsidRPr="00961179">
                <w:rPr>
                  <w:rStyle w:val="Hyperlink"/>
                </w:rPr>
                <w:t>https://connect.pharmac.govt.nz/apptracker/s/application-public/a102P000008ptxm/p000329</w:t>
              </w:r>
            </w:hyperlink>
          </w:p>
        </w:tc>
      </w:tr>
      <w:tr w:rsidR="00961179" w14:paraId="7F7E08FB" w14:textId="77777777" w:rsidTr="00961179">
        <w:trPr>
          <w:cantSplit/>
        </w:trPr>
        <w:tc>
          <w:tcPr>
            <w:tcW w:w="2020" w:type="dxa"/>
            <w:tcBorders>
              <w:top w:val="single" w:sz="4" w:space="0" w:color="C2D9BA"/>
              <w:bottom w:val="single" w:sz="4" w:space="0" w:color="C2D9BA"/>
            </w:tcBorders>
            <w:shd w:val="clear" w:color="auto" w:fill="auto"/>
          </w:tcPr>
          <w:p w14:paraId="49B15DF1" w14:textId="77777777" w:rsidR="00961179" w:rsidRPr="0038658B" w:rsidRDefault="00961179"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346DCC14" w14:textId="77777777" w:rsidR="00961179" w:rsidRDefault="00961179" w:rsidP="002147D2">
            <w:pPr>
              <w:pStyle w:val="TableText"/>
            </w:pPr>
            <w:r>
              <w:t>4</w:t>
            </w:r>
          </w:p>
        </w:tc>
        <w:tc>
          <w:tcPr>
            <w:tcW w:w="5528" w:type="dxa"/>
            <w:tcBorders>
              <w:top w:val="single" w:sz="4" w:space="0" w:color="C2D9BA"/>
              <w:bottom w:val="single" w:sz="4" w:space="0" w:color="C2D9BA"/>
            </w:tcBorders>
            <w:shd w:val="clear" w:color="auto" w:fill="auto"/>
          </w:tcPr>
          <w:p w14:paraId="733AF9D3" w14:textId="77777777" w:rsidR="00961179" w:rsidRDefault="00961179" w:rsidP="002147D2">
            <w:pPr>
              <w:pStyle w:val="TableText"/>
            </w:pPr>
            <w:r>
              <w:t>Compared with standard chemotherapy</w:t>
            </w:r>
          </w:p>
          <w:p w14:paraId="388EF655" w14:textId="77777777" w:rsidR="00961179" w:rsidRDefault="00961179" w:rsidP="002147D2">
            <w:pPr>
              <w:pStyle w:val="TableText"/>
            </w:pPr>
            <w:r>
              <w:t>No gain in overall survival noted</w:t>
            </w:r>
          </w:p>
          <w:p w14:paraId="5F8CFD42" w14:textId="77777777" w:rsidR="00961179" w:rsidRDefault="00961179" w:rsidP="002147D2">
            <w:pPr>
              <w:pStyle w:val="TableText"/>
            </w:pPr>
            <w:r>
              <w:t>Gain in median progression-free survival of 5.7 months</w:t>
            </w:r>
          </w:p>
          <w:p w14:paraId="3EDCB9C6" w14:textId="77777777" w:rsidR="00961179" w:rsidRDefault="00961179" w:rsidP="002147D2">
            <w:pPr>
              <w:pStyle w:val="TableText"/>
            </w:pPr>
            <w:r>
              <w:t>Improved toxicity profile contributed to the score.</w:t>
            </w:r>
          </w:p>
          <w:p w14:paraId="34CFB0E1" w14:textId="77777777" w:rsidR="00961179" w:rsidRDefault="00961179" w:rsidP="002147D2">
            <w:pPr>
              <w:pStyle w:val="TableText"/>
            </w:pPr>
            <w:r>
              <w:t>Improved patient-reported quality of life was noted.</w:t>
            </w:r>
          </w:p>
          <w:p w14:paraId="1EC17A50" w14:textId="77777777" w:rsidR="00961179" w:rsidRDefault="0056499C" w:rsidP="002147D2">
            <w:pPr>
              <w:pStyle w:val="TableText"/>
            </w:pPr>
            <w:hyperlink r:id="rId92" w:history="1">
              <w:r w:rsidR="00961179" w:rsidRPr="00333377">
                <w:rPr>
                  <w:rStyle w:val="Hyperlink"/>
                  <w:rFonts w:eastAsia="MS Gothic"/>
                </w:rPr>
                <w:t>www.esmo.org/guidelines/esmo-mcbs/esmo-mcbs-scorecards/scorecard-123-1</w:t>
              </w:r>
            </w:hyperlink>
          </w:p>
        </w:tc>
      </w:tr>
      <w:tr w:rsidR="00961179" w14:paraId="050820CC" w14:textId="77777777" w:rsidTr="00290AF3">
        <w:trPr>
          <w:cantSplit/>
        </w:trPr>
        <w:tc>
          <w:tcPr>
            <w:tcW w:w="2020" w:type="dxa"/>
            <w:tcBorders>
              <w:top w:val="single" w:sz="4" w:space="0" w:color="C2D9BA"/>
              <w:bottom w:val="single" w:sz="4" w:space="0" w:color="C2D9BA"/>
            </w:tcBorders>
            <w:shd w:val="clear" w:color="auto" w:fill="auto"/>
          </w:tcPr>
          <w:p w14:paraId="212B6EAF" w14:textId="77777777" w:rsidR="00961179" w:rsidRPr="0038658B" w:rsidRDefault="00961179"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1A41FFD3" w14:textId="77777777" w:rsidR="00961179" w:rsidRDefault="00961179" w:rsidP="00961179">
            <w:pPr>
              <w:pStyle w:val="TableText"/>
            </w:pPr>
            <w:r>
              <w:t>These patients</w:t>
            </w:r>
            <w:r w:rsidRPr="009D213E">
              <w:t xml:space="preserve"> </w:t>
            </w:r>
            <w:r>
              <w:t>would have previously received a first-generation EGFR tyrosine kinase inhibitor – either gefitinib or erlotinib – and developed a specific resistance mutation – T790M. The current approach for these patients is to treat with either chemotherapy or best supportive care.</w:t>
            </w:r>
          </w:p>
          <w:p w14:paraId="710009BB" w14:textId="77777777" w:rsidR="00961179" w:rsidRDefault="00961179" w:rsidP="00961179">
            <w:pPr>
              <w:pStyle w:val="TableText"/>
            </w:pPr>
            <w:r>
              <w:t>If osimertinib were funded for these patients, it would displace the current treatment options. That is, chemotherapy may still be used, but it would become the third line of treatment.</w:t>
            </w:r>
          </w:p>
          <w:p w14:paraId="29824119" w14:textId="77777777" w:rsidR="00961179" w:rsidRDefault="00961179" w:rsidP="00961179">
            <w:pPr>
              <w:pStyle w:val="TableText"/>
            </w:pPr>
            <w:r w:rsidRPr="00614693">
              <w:t xml:space="preserve">Patients would only receive </w:t>
            </w:r>
            <w:r>
              <w:t xml:space="preserve">treatment osimertinib for </w:t>
            </w:r>
            <w:r w:rsidRPr="00614693">
              <w:t>one line of therapy</w:t>
            </w:r>
            <w:r>
              <w:t xml:space="preserve">, and </w:t>
            </w:r>
            <w:r w:rsidRPr="00CF52B3">
              <w:t>clinical advice indicated that giving it earlier rather than later is generally preferred.</w:t>
            </w:r>
            <w:r>
              <w:t xml:space="preserve"> This means that if the first-line gap were filled, this gap in the second line would become redundant (for people who received osimertinib in the first-line setting).</w:t>
            </w:r>
          </w:p>
        </w:tc>
      </w:tr>
      <w:tr w:rsidR="00961179" w14:paraId="38EA5008" w14:textId="77777777" w:rsidTr="00290AF3">
        <w:trPr>
          <w:cantSplit/>
        </w:trPr>
        <w:tc>
          <w:tcPr>
            <w:tcW w:w="2020" w:type="dxa"/>
            <w:tcBorders>
              <w:top w:val="single" w:sz="4" w:space="0" w:color="C2D9BA"/>
              <w:bottom w:val="single" w:sz="4" w:space="0" w:color="C2D9BA"/>
            </w:tcBorders>
            <w:shd w:val="clear" w:color="auto" w:fill="auto"/>
          </w:tcPr>
          <w:p w14:paraId="23DED4E1" w14:textId="77777777" w:rsidR="00961179" w:rsidRPr="0038658B" w:rsidRDefault="00961179"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36036832" w14:textId="41537BAB" w:rsidR="001345AF" w:rsidRDefault="001345AF" w:rsidP="001345AF">
            <w:pPr>
              <w:pStyle w:val="TableText"/>
            </w:pPr>
            <w:r>
              <w:t>A final</w:t>
            </w:r>
            <w:r>
              <w:t xml:space="preserve"> </w:t>
            </w:r>
            <w:r>
              <w:t xml:space="preserve">estimate of the eligible population size was not readily available at time of publication, however an estimate of uptake in the first year of funding is </w:t>
            </w:r>
            <w:r w:rsidR="0028610C">
              <w:t>62</w:t>
            </w:r>
            <w:r>
              <w:t xml:space="preserve"> people. </w:t>
            </w:r>
          </w:p>
          <w:p w14:paraId="1FB9EF00" w14:textId="77777777" w:rsidR="00961179" w:rsidRDefault="00961179" w:rsidP="00CE5715">
            <w:pPr>
              <w:pStyle w:val="TableText"/>
            </w:pPr>
          </w:p>
          <w:p w14:paraId="006F334E" w14:textId="77777777" w:rsidR="0028610C" w:rsidRDefault="0028610C" w:rsidP="00CE5715">
            <w:pPr>
              <w:pStyle w:val="TableText"/>
            </w:pPr>
          </w:p>
          <w:p w14:paraId="36997A01" w14:textId="254FC617" w:rsidR="0028610C" w:rsidRDefault="0028610C" w:rsidP="00CE5715">
            <w:pPr>
              <w:pStyle w:val="TableText"/>
            </w:pPr>
          </w:p>
        </w:tc>
      </w:tr>
      <w:tr w:rsidR="00961179" w14:paraId="5EFBF173" w14:textId="77777777" w:rsidTr="00290AF3">
        <w:trPr>
          <w:cantSplit/>
        </w:trPr>
        <w:tc>
          <w:tcPr>
            <w:tcW w:w="2020" w:type="dxa"/>
            <w:tcBorders>
              <w:top w:val="single" w:sz="4" w:space="0" w:color="C2D9BA"/>
              <w:bottom w:val="single" w:sz="4" w:space="0" w:color="C2D9BA"/>
            </w:tcBorders>
            <w:shd w:val="clear" w:color="auto" w:fill="auto"/>
          </w:tcPr>
          <w:p w14:paraId="100D0A51" w14:textId="77777777" w:rsidR="00961179" w:rsidRPr="0038658B" w:rsidRDefault="00961179"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5F517CDF" w14:textId="77777777" w:rsidR="00961179" w:rsidRDefault="00961179" w:rsidP="002147D2">
            <w:pPr>
              <w:pStyle w:val="TableText"/>
            </w:pPr>
            <w:r>
              <w:t>This medicine is given orally.</w:t>
            </w:r>
          </w:p>
          <w:p w14:paraId="543060BC" w14:textId="77777777" w:rsidR="00961179" w:rsidRDefault="00961179" w:rsidP="00961179">
            <w:pPr>
              <w:pStyle w:val="TableText"/>
            </w:pPr>
            <w:r>
              <w:t xml:space="preserve">Osimertinib is a tablet that is generally taken once daily. Treatment is continued until </w:t>
            </w:r>
            <w:r w:rsidRPr="009D213E">
              <w:t xml:space="preserve">disease progression </w:t>
            </w:r>
            <w:r>
              <w:t>(</w:t>
            </w:r>
            <w:r w:rsidRPr="009D213E">
              <w:t xml:space="preserve">or </w:t>
            </w:r>
            <w:r>
              <w:t xml:space="preserve">unacceptable </w:t>
            </w:r>
            <w:r w:rsidRPr="009D213E">
              <w:t>toxicity</w:t>
            </w:r>
            <w:r>
              <w:t>).</w:t>
            </w:r>
          </w:p>
        </w:tc>
      </w:tr>
      <w:tr w:rsidR="00961179" w14:paraId="501FA693" w14:textId="77777777" w:rsidTr="00290AF3">
        <w:trPr>
          <w:cantSplit/>
        </w:trPr>
        <w:tc>
          <w:tcPr>
            <w:tcW w:w="2020" w:type="dxa"/>
            <w:tcBorders>
              <w:top w:val="single" w:sz="4" w:space="0" w:color="C2D9BA"/>
              <w:bottom w:val="single" w:sz="4" w:space="0" w:color="C2D9BA"/>
            </w:tcBorders>
            <w:shd w:val="clear" w:color="auto" w:fill="auto"/>
          </w:tcPr>
          <w:p w14:paraId="026AAADD" w14:textId="77777777" w:rsidR="00961179" w:rsidRPr="0038658B" w:rsidRDefault="00961179"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51298AD8" w14:textId="77777777" w:rsidR="00961179" w:rsidRDefault="00961179" w:rsidP="002147D2">
            <w:pPr>
              <w:pStyle w:val="TableText"/>
            </w:pPr>
            <w:r>
              <w:t>This would displace the current treatment options, with the potential clinical benefit described above. This would be an additional line of treatment, including for some people who would otherwise receive best supportive care.</w:t>
            </w:r>
          </w:p>
          <w:p w14:paraId="41C060E7" w14:textId="77777777" w:rsidR="00961179" w:rsidRDefault="00961179" w:rsidP="002147D2">
            <w:pPr>
              <w:pStyle w:val="TableText"/>
            </w:pPr>
            <w:r>
              <w:t>Compared with chemotherapy, which generally needs to be given in outpatient infusion centres, the tablets could be taken at home – this would reduce the travel and time burdens. The tablets would generally be dispensed by the local pharmacy – a prescription fee would be payable, unlike for chemotherapy. The medicines needed to manage side effects would be different. The increase in progression-free survival would mean that the tablets may need to be taken for a longer time, and there may be more follow-up appointments with the treatment team. The same chemotherapy may still be used eventually, but this would be after the disease has progressed with osimertinib.</w:t>
            </w:r>
          </w:p>
          <w:p w14:paraId="0C5265FF" w14:textId="77777777" w:rsidR="00961179" w:rsidRDefault="00961179" w:rsidP="00961179">
            <w:pPr>
              <w:pStyle w:val="TableText"/>
            </w:pPr>
            <w:r w:rsidRPr="001043A2">
              <w:t>In order to determine eligibility for this medicine, a particular</w:t>
            </w:r>
            <w:r>
              <w:t xml:space="preserve"> laboratory</w:t>
            </w:r>
            <w:r w:rsidRPr="001043A2">
              <w:t xml:space="preserve"> test would need to be done using a sample of the tumour</w:t>
            </w:r>
            <w:r>
              <w:t xml:space="preserve"> – this might mean an extra surgical procedure</w:t>
            </w:r>
            <w:r w:rsidRPr="001043A2">
              <w:t>.</w:t>
            </w:r>
          </w:p>
        </w:tc>
      </w:tr>
      <w:tr w:rsidR="00961179" w14:paraId="75055E71" w14:textId="77777777" w:rsidTr="00290AF3">
        <w:trPr>
          <w:cantSplit/>
        </w:trPr>
        <w:tc>
          <w:tcPr>
            <w:tcW w:w="2020" w:type="dxa"/>
            <w:tcBorders>
              <w:top w:val="single" w:sz="4" w:space="0" w:color="C2D9BA"/>
              <w:bottom w:val="single" w:sz="4" w:space="0" w:color="C2D9BA"/>
            </w:tcBorders>
            <w:shd w:val="clear" w:color="auto" w:fill="auto"/>
          </w:tcPr>
          <w:p w14:paraId="6946456B" w14:textId="77777777" w:rsidR="00961179" w:rsidRPr="0038658B" w:rsidRDefault="00961179"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47E208EA" w14:textId="77777777" w:rsidR="00961179" w:rsidRDefault="00961179" w:rsidP="00961179">
            <w:pPr>
              <w:pStyle w:val="TableText"/>
            </w:pPr>
            <w:r>
              <w:t>Fewer treatment appointments required (although these may occur later).</w:t>
            </w:r>
          </w:p>
          <w:p w14:paraId="457CDA31" w14:textId="77777777" w:rsidR="00961179" w:rsidRDefault="00961179" w:rsidP="00961179">
            <w:pPr>
              <w:pStyle w:val="TableText"/>
            </w:pPr>
            <w:r>
              <w:t xml:space="preserve">More </w:t>
            </w:r>
            <w:r w:rsidRPr="00614693">
              <w:t xml:space="preserve">follow-up appointments </w:t>
            </w:r>
            <w:r>
              <w:t xml:space="preserve">may be </w:t>
            </w:r>
            <w:r w:rsidRPr="00614693">
              <w:t>required.</w:t>
            </w:r>
          </w:p>
          <w:p w14:paraId="61CB53D4" w14:textId="77777777" w:rsidR="00961179" w:rsidRDefault="00961179" w:rsidP="00961179">
            <w:pPr>
              <w:pStyle w:val="TableText"/>
            </w:pPr>
            <w:r>
              <w:t>Reduced chair time for administration of treatment (although this chair time may be needed later).</w:t>
            </w:r>
          </w:p>
          <w:p w14:paraId="505BD789" w14:textId="77777777" w:rsidR="00961179" w:rsidRDefault="00961179" w:rsidP="00961179">
            <w:pPr>
              <w:pStyle w:val="TableText"/>
            </w:pPr>
            <w:r w:rsidRPr="00614693">
              <w:t>Increased demand for laboratory</w:t>
            </w:r>
            <w:r>
              <w:t xml:space="preserve"> and pathology services to determine treatment eligibility and monitor for treatment toxicities. In particular, molecular testing for the specific T790M mutation would be required. This molecular test is not currently routinely available in Aotearoa.</w:t>
            </w:r>
          </w:p>
          <w:p w14:paraId="6E6895B5" w14:textId="77777777" w:rsidR="00961179" w:rsidRDefault="00961179" w:rsidP="00961179">
            <w:pPr>
              <w:pStyle w:val="TableText"/>
            </w:pPr>
            <w:r>
              <w:t>Generally, this additional testing would require an additional tumour tissue sample, which would generally require some degree of surgical intervention.</w:t>
            </w:r>
          </w:p>
          <w:p w14:paraId="3D443305" w14:textId="77777777" w:rsidR="00961179" w:rsidRDefault="00961179" w:rsidP="00961179">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7C6620CD" w14:textId="77777777" w:rsidR="00961179" w:rsidRDefault="00961179" w:rsidP="00961179">
            <w:pPr>
              <w:pStyle w:val="TableText"/>
            </w:pPr>
            <w:r>
              <w:t>Altered demand for supportive care and toxicity management (may increase or decrease – including health care professionals’ time and pharmaceuticals).</w:t>
            </w:r>
          </w:p>
        </w:tc>
      </w:tr>
    </w:tbl>
    <w:p w14:paraId="6A050C8F" w14:textId="77777777" w:rsidR="0038658B" w:rsidRPr="0038658B" w:rsidRDefault="0038658B" w:rsidP="00961179"/>
    <w:p w14:paraId="5EBFBF5C" w14:textId="77777777" w:rsidR="00C338E8" w:rsidRDefault="006D7F10" w:rsidP="00961179">
      <w:pPr>
        <w:pStyle w:val="Heading4"/>
      </w:pPr>
      <w:bookmarkStart w:id="396" w:name="_Toc100739062"/>
      <w:bookmarkEnd w:id="395"/>
      <w:r>
        <w:lastRenderedPageBreak/>
        <w:t>Epidemiology of lung cancer</w:t>
      </w:r>
      <w:bookmarkEnd w:id="396"/>
    </w:p>
    <w:p w14:paraId="7D1D1E76" w14:textId="77777777" w:rsidR="00C338E8" w:rsidRDefault="006D7F10" w:rsidP="00961179">
      <w:pPr>
        <w:pStyle w:val="Heading5"/>
      </w:pPr>
      <w:r w:rsidRPr="00D90DD1">
        <w:t>Incidence</w:t>
      </w:r>
    </w:p>
    <w:p w14:paraId="6126803D" w14:textId="77777777" w:rsidR="00C338E8" w:rsidRDefault="006D7F10" w:rsidP="00CE5715">
      <w:pPr>
        <w:keepNext/>
        <w:keepLines/>
        <w:rPr>
          <w:spacing w:val="-2"/>
        </w:rPr>
      </w:pPr>
      <w:r w:rsidRPr="00961179">
        <w:rPr>
          <w:spacing w:val="-2"/>
        </w:rPr>
        <w:t xml:space="preserve">Lung cancer is one of the most commonly diagnosed cancers in Aotearoa, with 2,381 people diagnosed with the disease in 2018, including 507 Māori </w:t>
      </w:r>
      <w:r w:rsidRPr="00961179">
        <w:rPr>
          <w:noProof/>
          <w:spacing w:val="-2"/>
        </w:rPr>
        <w:t>(</w:t>
      </w:r>
      <w:r w:rsidR="00F64599" w:rsidRPr="00961179">
        <w:rPr>
          <w:noProof/>
          <w:spacing w:val="-2"/>
        </w:rPr>
        <w:t>Te Aho</w:t>
      </w:r>
      <w:r w:rsidRPr="00961179">
        <w:rPr>
          <w:noProof/>
          <w:spacing w:val="-2"/>
        </w:rPr>
        <w:t xml:space="preserve"> o </w:t>
      </w:r>
      <w:r w:rsidR="00B537E2" w:rsidRPr="00961179">
        <w:rPr>
          <w:noProof/>
          <w:spacing w:val="-2"/>
        </w:rPr>
        <w:t>Te Kahu</w:t>
      </w:r>
      <w:r w:rsidRPr="00961179">
        <w:rPr>
          <w:noProof/>
          <w:spacing w:val="-2"/>
        </w:rPr>
        <w:t xml:space="preserve"> 2021a)</w:t>
      </w:r>
      <w:r w:rsidRPr="00961179">
        <w:rPr>
          <w:spacing w:val="-2"/>
        </w:rPr>
        <w:t>. Non-small cell lung cancer accounted for 70</w:t>
      </w:r>
      <w:r w:rsidR="00F64599" w:rsidRPr="00961179">
        <w:rPr>
          <w:spacing w:val="-2"/>
        </w:rPr>
        <w:t> percent</w:t>
      </w:r>
      <w:r w:rsidRPr="00961179">
        <w:rPr>
          <w:spacing w:val="-2"/>
        </w:rPr>
        <w:t xml:space="preserve"> of new primary diagnoses of lung cancer from 2015 to 2018 (67</w:t>
      </w:r>
      <w:r w:rsidR="00F64599" w:rsidRPr="00961179">
        <w:rPr>
          <w:spacing w:val="-2"/>
        </w:rPr>
        <w:t> percent</w:t>
      </w:r>
      <w:r w:rsidRPr="00961179">
        <w:rPr>
          <w:spacing w:val="-2"/>
        </w:rPr>
        <w:t xml:space="preserve"> for Māori, 76</w:t>
      </w:r>
      <w:r w:rsidR="00F64599" w:rsidRPr="00961179">
        <w:rPr>
          <w:spacing w:val="-2"/>
        </w:rPr>
        <w:t> percent</w:t>
      </w:r>
      <w:r w:rsidRPr="00961179">
        <w:rPr>
          <w:spacing w:val="-2"/>
        </w:rPr>
        <w:t xml:space="preserve"> for Pacific peoples, 88</w:t>
      </w:r>
      <w:r w:rsidR="00F64599" w:rsidRPr="00961179">
        <w:rPr>
          <w:spacing w:val="-2"/>
        </w:rPr>
        <w:t> percent</w:t>
      </w:r>
      <w:r w:rsidRPr="00961179">
        <w:rPr>
          <w:spacing w:val="-2"/>
        </w:rPr>
        <w:t xml:space="preserve"> for Asian, 70</w:t>
      </w:r>
      <w:r w:rsidR="00F64599" w:rsidRPr="00961179">
        <w:rPr>
          <w:spacing w:val="-2"/>
        </w:rPr>
        <w:t> percent</w:t>
      </w:r>
      <w:r w:rsidRPr="00961179">
        <w:rPr>
          <w:spacing w:val="-2"/>
        </w:rPr>
        <w:t xml:space="preserve"> for New Zealand European) </w:t>
      </w:r>
      <w:r w:rsidRPr="00961179">
        <w:rPr>
          <w:noProof/>
          <w:spacing w:val="-2"/>
        </w:rPr>
        <w:t>(</w:t>
      </w:r>
      <w:r w:rsidR="00F64599" w:rsidRPr="00961179">
        <w:rPr>
          <w:noProof/>
          <w:spacing w:val="-2"/>
        </w:rPr>
        <w:t>Te Aho</w:t>
      </w:r>
      <w:r w:rsidRPr="00961179">
        <w:rPr>
          <w:noProof/>
          <w:spacing w:val="-2"/>
        </w:rPr>
        <w:t xml:space="preserve"> o </w:t>
      </w:r>
      <w:r w:rsidR="00B537E2" w:rsidRPr="00961179">
        <w:rPr>
          <w:noProof/>
          <w:spacing w:val="-2"/>
        </w:rPr>
        <w:t>Te Kahu</w:t>
      </w:r>
      <w:r w:rsidRPr="00961179">
        <w:rPr>
          <w:noProof/>
          <w:spacing w:val="-2"/>
        </w:rPr>
        <w:t xml:space="preserve"> 2021b)</w:t>
      </w:r>
      <w:r w:rsidRPr="00961179">
        <w:rPr>
          <w:spacing w:val="-2"/>
        </w:rPr>
        <w:t>. Incidence of lung cancer as a whole is nearly four times higher for Māori compared with non-Māori (42</w:t>
      </w:r>
      <w:r w:rsidR="00961179">
        <w:rPr>
          <w:spacing w:val="-2"/>
        </w:rPr>
        <w:t> </w:t>
      </w:r>
      <w:r w:rsidRPr="00961179">
        <w:rPr>
          <w:spacing w:val="-2"/>
        </w:rPr>
        <w:t xml:space="preserve">per 100,000 for Māori compared with 13 per 100,000 for non-Māori). Incidence in Pacific peoples is nearly two times higher compared with the non-Māori, non-Pacific, non-Asian population (23 per 100,000 compared with 12 per 100,000) </w:t>
      </w:r>
      <w:r w:rsidRPr="00961179">
        <w:rPr>
          <w:noProof/>
          <w:spacing w:val="-2"/>
        </w:rPr>
        <w:t>(</w:t>
      </w:r>
      <w:r w:rsidR="00F64599" w:rsidRPr="00961179">
        <w:rPr>
          <w:noProof/>
          <w:spacing w:val="-2"/>
        </w:rPr>
        <w:t>Te Aho</w:t>
      </w:r>
      <w:r w:rsidRPr="00961179">
        <w:rPr>
          <w:noProof/>
          <w:spacing w:val="-2"/>
        </w:rPr>
        <w:t xml:space="preserve"> o </w:t>
      </w:r>
      <w:r w:rsidR="00B537E2" w:rsidRPr="00961179">
        <w:rPr>
          <w:noProof/>
          <w:spacing w:val="-2"/>
        </w:rPr>
        <w:t>Te Kahu</w:t>
      </w:r>
      <w:r w:rsidRPr="00961179">
        <w:rPr>
          <w:noProof/>
          <w:spacing w:val="-2"/>
        </w:rPr>
        <w:t xml:space="preserve"> 2021a)</w:t>
      </w:r>
      <w:r w:rsidRPr="00961179">
        <w:rPr>
          <w:spacing w:val="-2"/>
        </w:rPr>
        <w:t>. Relevant to the osimertinib gaps above, a study in Aotearoa found that 22.5</w:t>
      </w:r>
      <w:r w:rsidR="00F64599" w:rsidRPr="00961179">
        <w:rPr>
          <w:spacing w:val="-2"/>
        </w:rPr>
        <w:t> percent</w:t>
      </w:r>
      <w:r w:rsidRPr="00961179">
        <w:rPr>
          <w:spacing w:val="-2"/>
        </w:rPr>
        <w:t xml:space="preserve"> of patients with non-small cell lung cancer who were tested for EGFR mutations between 2010 and 2017 were EGFR-mutation positive, with higher rates of EGFR mutation-positive disease in Pacific peoples, Asian populations and Māori </w:t>
      </w:r>
      <w:r w:rsidRPr="00961179">
        <w:rPr>
          <w:noProof/>
          <w:spacing w:val="-2"/>
        </w:rPr>
        <w:t xml:space="preserve">(Aye </w:t>
      </w:r>
      <w:r w:rsidR="00C338E8" w:rsidRPr="00961179">
        <w:rPr>
          <w:noProof/>
          <w:spacing w:val="-2"/>
        </w:rPr>
        <w:t>et al</w:t>
      </w:r>
      <w:r w:rsidR="003B51F4" w:rsidRPr="00961179">
        <w:rPr>
          <w:noProof/>
          <w:spacing w:val="-2"/>
        </w:rPr>
        <w:t xml:space="preserve"> 2</w:t>
      </w:r>
      <w:r w:rsidRPr="00961179">
        <w:rPr>
          <w:noProof/>
          <w:spacing w:val="-2"/>
        </w:rPr>
        <w:t>021)</w:t>
      </w:r>
      <w:r w:rsidRPr="00961179">
        <w:rPr>
          <w:spacing w:val="-2"/>
        </w:rPr>
        <w:t>.</w:t>
      </w:r>
    </w:p>
    <w:p w14:paraId="1D12893E" w14:textId="77777777" w:rsidR="00CE5715" w:rsidRPr="00961179" w:rsidRDefault="00CE5715" w:rsidP="00CE5715">
      <w:pPr>
        <w:keepNext/>
        <w:keepLines/>
        <w:rPr>
          <w:spacing w:val="-2"/>
        </w:rPr>
      </w:pPr>
    </w:p>
    <w:p w14:paraId="6B27C445" w14:textId="77777777" w:rsidR="00C338E8" w:rsidRDefault="006D7F10" w:rsidP="00CE5715">
      <w:pPr>
        <w:pStyle w:val="Heading5"/>
      </w:pPr>
      <w:r>
        <w:t>Stage at diagnosis</w:t>
      </w:r>
    </w:p>
    <w:p w14:paraId="6FA18679" w14:textId="77777777" w:rsidR="00C338E8" w:rsidRDefault="006D7F10" w:rsidP="00961179">
      <w:r w:rsidRPr="00614693">
        <w:t>Based on N</w:t>
      </w:r>
      <w:r>
        <w:t xml:space="preserve">ew </w:t>
      </w:r>
      <w:r w:rsidRPr="00614693">
        <w:t>Z</w:t>
      </w:r>
      <w:r>
        <w:t>ealand</w:t>
      </w:r>
      <w:r w:rsidRPr="00614693">
        <w:t xml:space="preserve"> Cancer Registry data from 2007</w:t>
      </w:r>
      <w:r>
        <w:t>–</w:t>
      </w:r>
      <w:r w:rsidRPr="00614693">
        <w:t>2016, 13</w:t>
      </w:r>
      <w:r w:rsidR="00F64599">
        <w:t> percent</w:t>
      </w:r>
      <w:r w:rsidRPr="00614693">
        <w:t xml:space="preserve"> of lung cancers diagnosed over this time were diagnosed at a </w:t>
      </w:r>
      <w:r w:rsidR="00D34911">
        <w:t>‘</w:t>
      </w:r>
      <w:r w:rsidRPr="00614693">
        <w:t>regional</w:t>
      </w:r>
      <w:r w:rsidR="00D34911">
        <w:t>’</w:t>
      </w:r>
      <w:r w:rsidRPr="00614693">
        <w:t xml:space="preserve"> stage of disease</w:t>
      </w:r>
      <w:r>
        <w:t>, when the disease has spread around the region of origin</w:t>
      </w:r>
      <w:r w:rsidRPr="00614693">
        <w:t xml:space="preserve"> (closest equivalent to stage III), and 45</w:t>
      </w:r>
      <w:r w:rsidR="00F64599">
        <w:t> percent</w:t>
      </w:r>
      <w:r w:rsidRPr="00614693">
        <w:t xml:space="preserve"> </w:t>
      </w:r>
      <w:r>
        <w:t xml:space="preserve">were diagnosed as </w:t>
      </w:r>
      <w:r w:rsidRPr="00614693">
        <w:t xml:space="preserve">advanced. Of note, lung cancer staging data has a high proportion of cancers with </w:t>
      </w:r>
      <w:r w:rsidR="00D34911">
        <w:t>‘</w:t>
      </w:r>
      <w:r w:rsidRPr="00614693">
        <w:t>missing</w:t>
      </w:r>
      <w:r w:rsidR="00D34911">
        <w:t>’</w:t>
      </w:r>
      <w:r w:rsidRPr="00614693">
        <w:t xml:space="preserve"> stage because of data quality issues. In general, cancers with unknown stage are likely to be more advanced</w:t>
      </w:r>
      <w:r>
        <w:t xml:space="preserve"> </w:t>
      </w:r>
      <w:r>
        <w:rPr>
          <w:noProof/>
        </w:rPr>
        <w:t xml:space="preserve">(Gurney, Stanley, Jackson, </w:t>
      </w:r>
      <w:r w:rsidR="00C338E8">
        <w:rPr>
          <w:noProof/>
        </w:rPr>
        <w:t>et al</w:t>
      </w:r>
      <w:r w:rsidR="003B51F4">
        <w:rPr>
          <w:noProof/>
        </w:rPr>
        <w:t xml:space="preserve"> 2</w:t>
      </w:r>
      <w:r>
        <w:rPr>
          <w:noProof/>
        </w:rPr>
        <w:t>020)</w:t>
      </w:r>
      <w:r>
        <w:t>.</w:t>
      </w:r>
    </w:p>
    <w:p w14:paraId="22B0B018" w14:textId="77777777" w:rsidR="00C338E8" w:rsidRDefault="00C338E8" w:rsidP="00961179"/>
    <w:p w14:paraId="6F603DFD" w14:textId="77777777" w:rsidR="00C338E8" w:rsidRDefault="006D7F10" w:rsidP="00961179">
      <w:pPr>
        <w:pStyle w:val="Heading5"/>
      </w:pPr>
      <w:r>
        <w:t>Survival</w:t>
      </w:r>
    </w:p>
    <w:p w14:paraId="5A3718BB" w14:textId="77777777" w:rsidR="00C338E8" w:rsidRDefault="006D7F10" w:rsidP="00961179">
      <w:r w:rsidRPr="00614693">
        <w:t>Overall, lung cancer has 19</w:t>
      </w:r>
      <w:r w:rsidR="00F64599">
        <w:t> percent</w:t>
      </w:r>
      <w:r w:rsidRPr="00614693">
        <w:t xml:space="preserve"> survival at </w:t>
      </w:r>
      <w:r>
        <w:t>five</w:t>
      </w:r>
      <w:r w:rsidRPr="00614693">
        <w:t xml:space="preserve"> years</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614693">
        <w:t xml:space="preserve">. Aotearoa </w:t>
      </w:r>
      <w:r>
        <w:t>is</w:t>
      </w:r>
      <w:r w:rsidRPr="00614693">
        <w:t xml:space="preserve"> sixth out of seven high-income countries for five-year survival </w:t>
      </w:r>
      <w:r>
        <w:rPr>
          <w:noProof/>
        </w:rPr>
        <w:t xml:space="preserve">(Arnold </w:t>
      </w:r>
      <w:r w:rsidR="00C338E8">
        <w:rPr>
          <w:noProof/>
        </w:rPr>
        <w:t>et al</w:t>
      </w:r>
      <w:r w:rsidR="003B51F4">
        <w:rPr>
          <w:noProof/>
        </w:rPr>
        <w:t xml:space="preserve"> 2</w:t>
      </w:r>
      <w:r>
        <w:rPr>
          <w:noProof/>
        </w:rPr>
        <w:t>019)</w:t>
      </w:r>
      <w:r>
        <w:t xml:space="preserve">. </w:t>
      </w:r>
      <w:r w:rsidRPr="00614693">
        <w:t>From 2007</w:t>
      </w:r>
      <w:r>
        <w:t>–</w:t>
      </w:r>
      <w:r w:rsidRPr="00614693">
        <w:t>2016 data, Māori patients with lung cancer were 30</w:t>
      </w:r>
      <w:r w:rsidR="00F64599">
        <w:t> percent</w:t>
      </w:r>
      <w:r w:rsidRPr="00614693">
        <w:t xml:space="preserve"> more likely to die than non-Māori patients with lung cancer. Survival disparities between Māori and non-Māori were present across all stages of disease at diagnosis</w:t>
      </w:r>
      <w:r>
        <w:t xml:space="preserve"> </w:t>
      </w:r>
      <w:r>
        <w:rPr>
          <w:noProof/>
        </w:rPr>
        <w:t xml:space="preserve">(Gurney, Stanley, McLeod, </w:t>
      </w:r>
      <w:r w:rsidR="00C338E8">
        <w:rPr>
          <w:noProof/>
        </w:rPr>
        <w:t>et al</w:t>
      </w:r>
      <w:r w:rsidR="003B51F4">
        <w:rPr>
          <w:noProof/>
        </w:rPr>
        <w:t xml:space="preserve"> 2</w:t>
      </w:r>
      <w:r>
        <w:rPr>
          <w:noProof/>
        </w:rPr>
        <w:t>020)</w:t>
      </w:r>
      <w:r>
        <w:t xml:space="preserve">. </w:t>
      </w:r>
      <w:r w:rsidRPr="00614693">
        <w:t>There is also poorer lung cancer survival with increasing deprivation</w:t>
      </w:r>
      <w:r>
        <w:t xml:space="preserve"> </w:t>
      </w:r>
      <w:r>
        <w:rPr>
          <w:noProof/>
        </w:rPr>
        <w:t>(</w:t>
      </w:r>
      <w:r w:rsidR="00F64599">
        <w:rPr>
          <w:noProof/>
        </w:rPr>
        <w:t>Te Aho</w:t>
      </w:r>
      <w:r>
        <w:rPr>
          <w:noProof/>
        </w:rPr>
        <w:t xml:space="preserve"> o </w:t>
      </w:r>
      <w:r w:rsidR="00B537E2">
        <w:rPr>
          <w:noProof/>
        </w:rPr>
        <w:t>Te Kahu</w:t>
      </w:r>
      <w:r>
        <w:rPr>
          <w:noProof/>
        </w:rPr>
        <w:t xml:space="preserve"> 2021a)</w:t>
      </w:r>
      <w:r>
        <w:t>.</w:t>
      </w:r>
    </w:p>
    <w:p w14:paraId="0EBCA7A9" w14:textId="77777777" w:rsidR="00C338E8" w:rsidRDefault="00C338E8" w:rsidP="00961179"/>
    <w:p w14:paraId="7678BD2E" w14:textId="77777777" w:rsidR="00C338E8" w:rsidRDefault="006D7F10" w:rsidP="00961179">
      <w:pPr>
        <w:pStyle w:val="Heading5"/>
      </w:pPr>
      <w:r w:rsidRPr="00306978">
        <w:t>Mortality</w:t>
      </w:r>
    </w:p>
    <w:p w14:paraId="10FE9629" w14:textId="77777777" w:rsidR="00C338E8" w:rsidRDefault="006D7F10" w:rsidP="00961179">
      <w:r w:rsidRPr="00614693">
        <w:t>Lung cancer is the leading cause of cancer death in Aotearoa: 1,781 deaths from lung cancer in 2017, including 368 Māori</w:t>
      </w:r>
      <w:r>
        <w:t xml:space="preserve">. </w:t>
      </w:r>
      <w:r w:rsidRPr="00614693">
        <w:t xml:space="preserve">Mortality rates for lung cancer </w:t>
      </w:r>
      <w:r>
        <w:t>are</w:t>
      </w:r>
      <w:r w:rsidRPr="00614693">
        <w:t xml:space="preserve"> three times higher for Māori compared with non-Māori (</w:t>
      </w:r>
      <w:r>
        <w:t>32</w:t>
      </w:r>
      <w:r w:rsidRPr="00614693">
        <w:t xml:space="preserve"> per 100,000 compared with </w:t>
      </w:r>
      <w:r>
        <w:t>10</w:t>
      </w:r>
      <w:r w:rsidRPr="00614693">
        <w:t xml:space="preserve"> per 100,000). Mortality from lung cancer in Pacific peoples is almost two times higher compared with </w:t>
      </w:r>
      <w:r>
        <w:t xml:space="preserve">the </w:t>
      </w:r>
      <w:r w:rsidRPr="00614693">
        <w:t>n</w:t>
      </w:r>
      <w:r>
        <w:t xml:space="preserve">on-Māori, non-Pacific, non-Asian population </w:t>
      </w:r>
      <w:r w:rsidRPr="00614693">
        <w:t>(</w:t>
      </w:r>
      <w:r>
        <w:t>17</w:t>
      </w:r>
      <w:r w:rsidRPr="00614693">
        <w:t xml:space="preserve"> per 100,000 compared with </w:t>
      </w:r>
      <w:r>
        <w:t xml:space="preserve">11 </w:t>
      </w:r>
      <w:r w:rsidRPr="00614693">
        <w:t xml:space="preserve">per 100,000) </w:t>
      </w:r>
      <w:r>
        <w:rPr>
          <w:noProof/>
        </w:rPr>
        <w:t>(</w:t>
      </w:r>
      <w:r w:rsidR="00F64599">
        <w:rPr>
          <w:noProof/>
        </w:rPr>
        <w:t>Te Aho</w:t>
      </w:r>
      <w:r>
        <w:rPr>
          <w:noProof/>
        </w:rPr>
        <w:t xml:space="preserve"> o </w:t>
      </w:r>
      <w:r w:rsidR="00B537E2">
        <w:rPr>
          <w:noProof/>
        </w:rPr>
        <w:t>Te Kahu</w:t>
      </w:r>
      <w:r>
        <w:rPr>
          <w:noProof/>
        </w:rPr>
        <w:t xml:space="preserve"> 2021a)</w:t>
      </w:r>
      <w:r>
        <w:t>.</w:t>
      </w:r>
    </w:p>
    <w:p w14:paraId="11D34D88" w14:textId="77777777" w:rsidR="00C338E8" w:rsidRDefault="00C338E8" w:rsidP="00961179"/>
    <w:p w14:paraId="72521B71" w14:textId="77777777" w:rsidR="00C338E8" w:rsidRDefault="006D7F10" w:rsidP="002635C9">
      <w:pPr>
        <w:pStyle w:val="Heading3"/>
        <w:keepNext w:val="0"/>
        <w:pageBreakBefore/>
        <w:spacing w:before="0"/>
      </w:pPr>
      <w:bookmarkStart w:id="397" w:name="_Toc100739063"/>
      <w:r>
        <w:lastRenderedPageBreak/>
        <w:t>Breast cancer</w:t>
      </w:r>
      <w:bookmarkEnd w:id="397"/>
    </w:p>
    <w:p w14:paraId="52F3B15D" w14:textId="77777777" w:rsidR="006D7F10" w:rsidRDefault="006D7F10" w:rsidP="009B6B07">
      <w:pPr>
        <w:pStyle w:val="Table"/>
      </w:pPr>
      <w:bookmarkStart w:id="398" w:name="_Toc101365622"/>
      <w:bookmarkStart w:id="399" w:name="Appendix_7_Table_7point6"/>
      <w:r>
        <w:t>Table</w:t>
      </w:r>
      <w:r w:rsidR="009B6B07">
        <w:t> </w:t>
      </w:r>
      <w:r>
        <w:t>7.6: Trastuzumab emtansine for early breast cancer</w:t>
      </w:r>
      <w:bookmarkEnd w:id="39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2233"/>
        <w:gridCol w:w="3827"/>
      </w:tblGrid>
      <w:tr w:rsidR="002635C9" w14:paraId="742641E2" w14:textId="77777777" w:rsidTr="00290AF3">
        <w:trPr>
          <w:cantSplit/>
        </w:trPr>
        <w:tc>
          <w:tcPr>
            <w:tcW w:w="2020" w:type="dxa"/>
            <w:tcBorders>
              <w:top w:val="nil"/>
              <w:bottom w:val="nil"/>
            </w:tcBorders>
            <w:shd w:val="clear" w:color="auto" w:fill="C2D9BA"/>
          </w:tcPr>
          <w:p w14:paraId="69E82B9A" w14:textId="77777777" w:rsidR="002635C9" w:rsidRPr="00181CD3" w:rsidRDefault="002635C9"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0ADDA597" w14:textId="77777777" w:rsidR="002635C9" w:rsidRDefault="002635C9" w:rsidP="002147D2">
            <w:pPr>
              <w:pStyle w:val="TableText"/>
            </w:pPr>
            <w:r>
              <w:t>Breast cancer, early stage, HER-2+ve, adjuvant to surgery plus neoadjuvant trastuzumab and chemotherapy, with residual disease</w:t>
            </w:r>
          </w:p>
        </w:tc>
      </w:tr>
      <w:tr w:rsidR="002635C9" w14:paraId="0A6F9503" w14:textId="77777777" w:rsidTr="00290AF3">
        <w:trPr>
          <w:cantSplit/>
        </w:trPr>
        <w:tc>
          <w:tcPr>
            <w:tcW w:w="2020" w:type="dxa"/>
            <w:tcBorders>
              <w:top w:val="single" w:sz="4" w:space="0" w:color="C2D9BA"/>
              <w:bottom w:val="single" w:sz="4" w:space="0" w:color="C2D9BA"/>
            </w:tcBorders>
            <w:shd w:val="clear" w:color="auto" w:fill="E7F0E3"/>
          </w:tcPr>
          <w:p w14:paraId="7ABA657F" w14:textId="77777777" w:rsidR="002635C9" w:rsidRPr="00181CD3" w:rsidRDefault="002635C9" w:rsidP="002635C9">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5BD4B6A4" w14:textId="77777777" w:rsidR="002635C9" w:rsidRDefault="002635C9" w:rsidP="002147D2">
            <w:pPr>
              <w:pStyle w:val="TableText"/>
            </w:pPr>
            <w:r>
              <w:t>Trastuzumab emtansine</w:t>
            </w:r>
          </w:p>
        </w:tc>
      </w:tr>
      <w:tr w:rsidR="002635C9" w14:paraId="429FA6B8" w14:textId="77777777" w:rsidTr="00290AF3">
        <w:trPr>
          <w:cantSplit/>
        </w:trPr>
        <w:tc>
          <w:tcPr>
            <w:tcW w:w="2020" w:type="dxa"/>
            <w:tcBorders>
              <w:top w:val="single" w:sz="4" w:space="0" w:color="C2D9BA"/>
              <w:bottom w:val="single" w:sz="4" w:space="0" w:color="C2D9BA"/>
            </w:tcBorders>
            <w:shd w:val="clear" w:color="auto" w:fill="auto"/>
          </w:tcPr>
          <w:p w14:paraId="75B448FC" w14:textId="77777777" w:rsidR="002635C9" w:rsidRPr="00181CD3" w:rsidRDefault="002635C9"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2060F4E5" w14:textId="77777777" w:rsidR="002635C9" w:rsidRDefault="002635C9" w:rsidP="002147D2">
            <w:pPr>
              <w:pStyle w:val="TableText"/>
            </w:pPr>
            <w:r>
              <w:t>Targeted treatment (monoclonal antibody targeting the HER-2 protein, conjugated to a cytotoxic agent)</w:t>
            </w:r>
          </w:p>
        </w:tc>
      </w:tr>
      <w:tr w:rsidR="002635C9" w14:paraId="1241F9AC" w14:textId="77777777" w:rsidTr="00290AF3">
        <w:trPr>
          <w:cantSplit/>
        </w:trPr>
        <w:tc>
          <w:tcPr>
            <w:tcW w:w="2020" w:type="dxa"/>
            <w:tcBorders>
              <w:top w:val="single" w:sz="4" w:space="0" w:color="C2D9BA"/>
              <w:bottom w:val="single" w:sz="4" w:space="0" w:color="C2D9BA"/>
            </w:tcBorders>
            <w:shd w:val="clear" w:color="auto" w:fill="auto"/>
          </w:tcPr>
          <w:p w14:paraId="01CBBD29" w14:textId="77777777" w:rsidR="002635C9" w:rsidRPr="00181CD3" w:rsidRDefault="002635C9"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002478FC" w14:textId="77777777" w:rsidR="002635C9" w:rsidRDefault="002635C9" w:rsidP="002147D2">
            <w:pPr>
              <w:pStyle w:val="TableText"/>
            </w:pPr>
            <w:r>
              <w:t>Curative</w:t>
            </w:r>
          </w:p>
        </w:tc>
      </w:tr>
      <w:tr w:rsidR="002635C9" w14:paraId="7859C2AF" w14:textId="77777777" w:rsidTr="002635C9">
        <w:trPr>
          <w:cantSplit/>
        </w:trPr>
        <w:tc>
          <w:tcPr>
            <w:tcW w:w="2020" w:type="dxa"/>
            <w:tcBorders>
              <w:top w:val="single" w:sz="4" w:space="0" w:color="C2D9BA"/>
              <w:bottom w:val="single" w:sz="4" w:space="0" w:color="C2D9BA"/>
            </w:tcBorders>
            <w:shd w:val="clear" w:color="auto" w:fill="auto"/>
          </w:tcPr>
          <w:p w14:paraId="081406B6" w14:textId="77777777" w:rsidR="002635C9" w:rsidRPr="00181CD3" w:rsidRDefault="002635C9"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0352256D" w14:textId="77777777" w:rsidR="002635C9" w:rsidRDefault="002635C9" w:rsidP="002147D2">
            <w:pPr>
              <w:pStyle w:val="TableText"/>
            </w:pPr>
            <w:r>
              <w:t>Application received February 2020</w:t>
            </w:r>
          </w:p>
          <w:p w14:paraId="017267A5" w14:textId="77777777" w:rsidR="002635C9" w:rsidRPr="002635C9" w:rsidRDefault="002635C9" w:rsidP="002147D2">
            <w:pPr>
              <w:pStyle w:val="TableText"/>
            </w:pPr>
            <w:r>
              <w:t xml:space="preserve">Ranked as an option for </w:t>
            </w:r>
            <w:r w:rsidRPr="002635C9">
              <w:t>investment – this means that this option would be funded if the budget allowed.</w:t>
            </w:r>
          </w:p>
          <w:p w14:paraId="1CFEDC65" w14:textId="77777777" w:rsidR="002635C9" w:rsidRDefault="0056499C" w:rsidP="002147D2">
            <w:pPr>
              <w:pStyle w:val="TableText"/>
            </w:pPr>
            <w:hyperlink r:id="rId93" w:history="1">
              <w:r w:rsidR="002635C9" w:rsidRPr="002B1C49">
                <w:rPr>
                  <w:rStyle w:val="Hyperlink"/>
                  <w:rFonts w:cs="Calibri"/>
                  <w:shd w:val="clear" w:color="auto" w:fill="FFFFFF"/>
                  <w:lang w:eastAsia="en-NZ"/>
                </w:rPr>
                <w:t>https://connect.pharmac.govt.nz/apptracker/s/application-public/a102P000009rn2n/p001522</w:t>
              </w:r>
            </w:hyperlink>
            <w:r w:rsidR="002635C9">
              <w:rPr>
                <w:rFonts w:ascii="Calibri" w:hAnsi="Calibri" w:cs="Calibri"/>
                <w:color w:val="242424"/>
                <w:shd w:val="clear" w:color="auto" w:fill="FFFFFF"/>
                <w:lang w:eastAsia="en-NZ"/>
              </w:rPr>
              <w:t xml:space="preserve"> </w:t>
            </w:r>
          </w:p>
        </w:tc>
      </w:tr>
      <w:tr w:rsidR="002635C9" w14:paraId="0CA29186" w14:textId="77777777" w:rsidTr="002147D2">
        <w:trPr>
          <w:cantSplit/>
        </w:trPr>
        <w:tc>
          <w:tcPr>
            <w:tcW w:w="2020" w:type="dxa"/>
            <w:tcBorders>
              <w:top w:val="single" w:sz="4" w:space="0" w:color="C2D9BA"/>
              <w:bottom w:val="single" w:sz="4" w:space="0" w:color="C2D9BA"/>
            </w:tcBorders>
            <w:shd w:val="clear" w:color="auto" w:fill="auto"/>
          </w:tcPr>
          <w:p w14:paraId="268EA2E2" w14:textId="77777777" w:rsidR="002635C9" w:rsidRPr="0038658B" w:rsidRDefault="002635C9" w:rsidP="00290AF3">
            <w:pPr>
              <w:pStyle w:val="TableText"/>
              <w:ind w:right="113"/>
              <w:rPr>
                <w:b/>
              </w:rPr>
            </w:pPr>
            <w:r w:rsidRPr="0038658B">
              <w:rPr>
                <w:b/>
              </w:rPr>
              <w:t>ESMO-MCBS clinical benefit score and summary of data informing the score</w:t>
            </w:r>
          </w:p>
        </w:tc>
        <w:tc>
          <w:tcPr>
            <w:tcW w:w="2233" w:type="dxa"/>
            <w:tcBorders>
              <w:top w:val="single" w:sz="4" w:space="0" w:color="C2D9BA"/>
              <w:bottom w:val="single" w:sz="4" w:space="0" w:color="C2D9BA"/>
            </w:tcBorders>
            <w:shd w:val="clear" w:color="auto" w:fill="auto"/>
          </w:tcPr>
          <w:p w14:paraId="490B782A" w14:textId="77777777" w:rsidR="002635C9" w:rsidRDefault="002635C9" w:rsidP="002147D2">
            <w:pPr>
              <w:pStyle w:val="TableText"/>
            </w:pPr>
            <w:r>
              <w:t>No score available at time of analysis – likely to score at least B</w:t>
            </w:r>
          </w:p>
        </w:tc>
        <w:tc>
          <w:tcPr>
            <w:tcW w:w="3827" w:type="dxa"/>
            <w:tcBorders>
              <w:top w:val="single" w:sz="4" w:space="0" w:color="C2D9BA"/>
              <w:bottom w:val="single" w:sz="4" w:space="0" w:color="C2D9BA"/>
            </w:tcBorders>
            <w:shd w:val="clear" w:color="auto" w:fill="auto"/>
          </w:tcPr>
          <w:p w14:paraId="580DC8B6" w14:textId="77777777" w:rsidR="002635C9" w:rsidRDefault="002635C9" w:rsidP="002147D2">
            <w:pPr>
              <w:pStyle w:val="TableText"/>
            </w:pPr>
            <w:r>
              <w:t xml:space="preserve">The following data comparing trastuzumab emtansine to trastuzumab </w:t>
            </w:r>
            <w:r>
              <w:rPr>
                <w:noProof/>
              </w:rPr>
              <w:t>(von Minckwitz et al 2018)</w:t>
            </w:r>
            <w:r>
              <w:t xml:space="preserve"> contributed to the ESMO-MCBS score estimation:</w:t>
            </w:r>
          </w:p>
          <w:p w14:paraId="23D9C5B6" w14:textId="77777777" w:rsidR="002635C9" w:rsidRDefault="002635C9" w:rsidP="002147D2">
            <w:pPr>
              <w:pStyle w:val="TableText"/>
            </w:pPr>
            <w:r>
              <w:t>Invasive disease-free survival at three years 11% higher compared with trastuzumab (88.3% compared with 77.0%, HR 0.50 (95% CI, 0.39–0.64)).</w:t>
            </w:r>
          </w:p>
          <w:p w14:paraId="7482978D" w14:textId="77777777" w:rsidR="002635C9" w:rsidRDefault="002635C9" w:rsidP="002147D2">
            <w:pPr>
              <w:pStyle w:val="TableText"/>
            </w:pPr>
            <w:r>
              <w:t>Toxicity disadvantage (did not impact on score estimation)</w:t>
            </w:r>
          </w:p>
          <w:p w14:paraId="50FD0484" w14:textId="77777777" w:rsidR="002635C9" w:rsidRDefault="002635C9" w:rsidP="002147D2">
            <w:pPr>
              <w:pStyle w:val="TableText"/>
            </w:pPr>
            <w:r>
              <w:t>18.0% of patients discontinued trastuzumab emtansine due to toxicities, compared with 2.1% of patients receiving trastuzumab.</w:t>
            </w:r>
          </w:p>
          <w:p w14:paraId="15A32561" w14:textId="77777777" w:rsidR="002635C9" w:rsidRDefault="002635C9" w:rsidP="002147D2">
            <w:pPr>
              <w:pStyle w:val="TableText"/>
            </w:pPr>
            <w:r>
              <w:t>Quality-of-life data were not reported in this publication.</w:t>
            </w:r>
          </w:p>
          <w:p w14:paraId="2EDDC385" w14:textId="77777777" w:rsidR="002635C9" w:rsidRDefault="0056499C" w:rsidP="002147D2">
            <w:pPr>
              <w:pStyle w:val="TableText"/>
            </w:pPr>
            <w:hyperlink r:id="rId94" w:history="1">
              <w:r w:rsidR="002635C9" w:rsidRPr="002635C9">
                <w:rPr>
                  <w:rStyle w:val="Hyperlink"/>
                </w:rPr>
                <w:t>https://pubmed.ncbi.nlm.nih.gov/30516102/</w:t>
              </w:r>
            </w:hyperlink>
          </w:p>
        </w:tc>
      </w:tr>
      <w:tr w:rsidR="002635C9" w14:paraId="5768927A" w14:textId="77777777" w:rsidTr="00290AF3">
        <w:trPr>
          <w:cantSplit/>
        </w:trPr>
        <w:tc>
          <w:tcPr>
            <w:tcW w:w="2020" w:type="dxa"/>
            <w:tcBorders>
              <w:top w:val="single" w:sz="4" w:space="0" w:color="C2D9BA"/>
              <w:bottom w:val="single" w:sz="4" w:space="0" w:color="C2D9BA"/>
            </w:tcBorders>
            <w:shd w:val="clear" w:color="auto" w:fill="auto"/>
          </w:tcPr>
          <w:p w14:paraId="53B56ABD" w14:textId="77777777" w:rsidR="002635C9" w:rsidRPr="0038658B" w:rsidRDefault="002635C9"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71CCC32D" w14:textId="77777777" w:rsidR="002635C9" w:rsidRDefault="002635C9" w:rsidP="002147D2">
            <w:pPr>
              <w:pStyle w:val="TableText"/>
            </w:pPr>
            <w:r w:rsidRPr="007C6F6B">
              <w:t xml:space="preserve">The current approach for </w:t>
            </w:r>
            <w:r>
              <w:t>these patients</w:t>
            </w:r>
            <w:r w:rsidRPr="007C6F6B">
              <w:t xml:space="preserve"> is to complete up to 12 months</w:t>
            </w:r>
            <w:r>
              <w:t>’</w:t>
            </w:r>
            <w:r w:rsidRPr="007C6F6B">
              <w:t xml:space="preserve"> treatment with trastuzumab</w:t>
            </w:r>
            <w:r>
              <w:t xml:space="preserve"> (regardless of pathological response to neoadjuvant treatment), made up of neoadjuvant (pre-surgery) treatment as well as adjuvant (post-surgery) treatment. </w:t>
            </w:r>
            <w:r w:rsidRPr="007C6F6B">
              <w:t>If this medicine were funded</w:t>
            </w:r>
            <w:r>
              <w:t xml:space="preserve"> for the subset of patients that have residual disease detected after surgery, </w:t>
            </w:r>
            <w:r w:rsidRPr="007C6F6B">
              <w:t>trastuzumab emtansine would replace trastuzumab</w:t>
            </w:r>
            <w:r>
              <w:t xml:space="preserve"> for the adjuvant (post-surgery) part of the 12-month treatment period</w:t>
            </w:r>
            <w:r w:rsidRPr="007C6F6B">
              <w:t>.</w:t>
            </w:r>
          </w:p>
        </w:tc>
      </w:tr>
      <w:tr w:rsidR="002635C9" w14:paraId="74994AD2" w14:textId="77777777" w:rsidTr="00290AF3">
        <w:trPr>
          <w:cantSplit/>
        </w:trPr>
        <w:tc>
          <w:tcPr>
            <w:tcW w:w="2020" w:type="dxa"/>
            <w:tcBorders>
              <w:top w:val="single" w:sz="4" w:space="0" w:color="C2D9BA"/>
              <w:bottom w:val="single" w:sz="4" w:space="0" w:color="C2D9BA"/>
            </w:tcBorders>
            <w:shd w:val="clear" w:color="auto" w:fill="auto"/>
          </w:tcPr>
          <w:p w14:paraId="61C83958" w14:textId="77777777" w:rsidR="002635C9" w:rsidRPr="0038658B" w:rsidRDefault="002635C9"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594CDBCE" w14:textId="77777777" w:rsidR="002635C9" w:rsidRDefault="002635C9" w:rsidP="002147D2">
            <w:pPr>
              <w:pStyle w:val="TableText"/>
            </w:pPr>
            <w:r w:rsidRPr="007C6F6B">
              <w:t xml:space="preserve">At least 110 </w:t>
            </w:r>
            <w:r>
              <w:t>people</w:t>
            </w:r>
            <w:r w:rsidRPr="007C6F6B">
              <w:t xml:space="preserve"> </w:t>
            </w:r>
            <w:r>
              <w:t>each</w:t>
            </w:r>
            <w:r w:rsidRPr="007C6F6B">
              <w:t xml:space="preserve"> year</w:t>
            </w:r>
            <w:r>
              <w:t xml:space="preserve"> </w:t>
            </w:r>
            <w:r>
              <w:rPr>
                <w:noProof/>
              </w:rPr>
              <w:t>(CaTSoP 2020)</w:t>
            </w:r>
          </w:p>
        </w:tc>
      </w:tr>
      <w:tr w:rsidR="002635C9" w14:paraId="17D1C396" w14:textId="77777777" w:rsidTr="00290AF3">
        <w:trPr>
          <w:cantSplit/>
        </w:trPr>
        <w:tc>
          <w:tcPr>
            <w:tcW w:w="2020" w:type="dxa"/>
            <w:tcBorders>
              <w:top w:val="single" w:sz="4" w:space="0" w:color="C2D9BA"/>
              <w:bottom w:val="single" w:sz="4" w:space="0" w:color="C2D9BA"/>
            </w:tcBorders>
            <w:shd w:val="clear" w:color="auto" w:fill="auto"/>
          </w:tcPr>
          <w:p w14:paraId="37D84417" w14:textId="77777777" w:rsidR="002635C9" w:rsidRPr="0038658B" w:rsidRDefault="002635C9"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7EB8EC1C" w14:textId="77777777" w:rsidR="002635C9" w:rsidRDefault="002635C9" w:rsidP="002147D2">
            <w:pPr>
              <w:pStyle w:val="TableText"/>
            </w:pPr>
            <w:r>
              <w:t>This medicine is given by infusion.</w:t>
            </w:r>
          </w:p>
          <w:p w14:paraId="1746F280" w14:textId="77777777" w:rsidR="002635C9" w:rsidRDefault="002635C9" w:rsidP="002635C9">
            <w:pPr>
              <w:pStyle w:val="TableText"/>
            </w:pPr>
            <w:r w:rsidRPr="007C6F6B">
              <w:t>T</w:t>
            </w:r>
            <w:r>
              <w:t xml:space="preserve">rastuzumab emtansine would be given </w:t>
            </w:r>
            <w:r w:rsidRPr="007C6F6B">
              <w:t>every three weeks for about</w:t>
            </w:r>
            <w:r>
              <w:t xml:space="preserve"> </w:t>
            </w:r>
            <w:r w:rsidRPr="007C6F6B">
              <w:t>10</w:t>
            </w:r>
            <w:r>
              <w:t> </w:t>
            </w:r>
            <w:r w:rsidRPr="007C6F6B">
              <w:t>months</w:t>
            </w:r>
            <w:r>
              <w:t>.</w:t>
            </w:r>
          </w:p>
        </w:tc>
      </w:tr>
      <w:tr w:rsidR="002635C9" w14:paraId="6D901DED" w14:textId="77777777" w:rsidTr="00290AF3">
        <w:trPr>
          <w:cantSplit/>
        </w:trPr>
        <w:tc>
          <w:tcPr>
            <w:tcW w:w="2020" w:type="dxa"/>
            <w:tcBorders>
              <w:top w:val="single" w:sz="4" w:space="0" w:color="C2D9BA"/>
              <w:bottom w:val="single" w:sz="4" w:space="0" w:color="C2D9BA"/>
            </w:tcBorders>
            <w:shd w:val="clear" w:color="auto" w:fill="auto"/>
          </w:tcPr>
          <w:p w14:paraId="654915FA" w14:textId="77777777" w:rsidR="002635C9" w:rsidRPr="0038658B" w:rsidRDefault="002635C9"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3FDCF269" w14:textId="77777777" w:rsidR="002635C9" w:rsidRDefault="002635C9" w:rsidP="002147D2">
            <w:pPr>
              <w:pStyle w:val="TableText"/>
            </w:pPr>
            <w:r>
              <w:t>This would replace the current treatment, with the potential clinical benefit described above.</w:t>
            </w:r>
          </w:p>
          <w:p w14:paraId="1A4C70C7" w14:textId="77777777" w:rsidR="002635C9" w:rsidRDefault="002635C9" w:rsidP="002147D2">
            <w:pPr>
              <w:pStyle w:val="TableText"/>
            </w:pPr>
            <w:r>
              <w:t>Compared with the current treatment, there would be minimal difference in terms of the practicalities of treatment. The treatment would still require travel to an infusion centre every three weeks for about 10 months after surgery, with a similar number of follow-up appointments.</w:t>
            </w:r>
          </w:p>
          <w:p w14:paraId="018F327A" w14:textId="77777777" w:rsidR="002635C9" w:rsidRDefault="002635C9" w:rsidP="002635C9">
            <w:pPr>
              <w:pStyle w:val="TableText"/>
            </w:pPr>
            <w:r>
              <w:t>This treatment is more likely to cause side effects than the current treatment.</w:t>
            </w:r>
          </w:p>
        </w:tc>
      </w:tr>
      <w:tr w:rsidR="002635C9" w14:paraId="717BE130" w14:textId="77777777" w:rsidTr="00290AF3">
        <w:trPr>
          <w:cantSplit/>
        </w:trPr>
        <w:tc>
          <w:tcPr>
            <w:tcW w:w="2020" w:type="dxa"/>
            <w:tcBorders>
              <w:top w:val="single" w:sz="4" w:space="0" w:color="C2D9BA"/>
              <w:bottom w:val="single" w:sz="4" w:space="0" w:color="C2D9BA"/>
            </w:tcBorders>
            <w:shd w:val="clear" w:color="auto" w:fill="auto"/>
          </w:tcPr>
          <w:p w14:paraId="4CD9025C" w14:textId="77777777" w:rsidR="002635C9" w:rsidRPr="0038658B" w:rsidRDefault="002635C9"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3C3C7324" w14:textId="77777777" w:rsidR="002635C9" w:rsidRDefault="002635C9" w:rsidP="002147D2">
            <w:pPr>
              <w:pStyle w:val="TableText"/>
            </w:pPr>
            <w:r>
              <w:t xml:space="preserve">No substantial change to treatment, follow-up appointments or </w:t>
            </w:r>
            <w:r w:rsidRPr="00614693">
              <w:t xml:space="preserve">chair time </w:t>
            </w:r>
            <w:r>
              <w:t>for administration of treatment.</w:t>
            </w:r>
          </w:p>
          <w:p w14:paraId="7619FF3F" w14:textId="77777777" w:rsidR="002635C9" w:rsidRDefault="002635C9" w:rsidP="002147D2">
            <w:pPr>
              <w:pStyle w:val="TableText"/>
            </w:pPr>
            <w:r>
              <w:t>Potentially i</w:t>
            </w:r>
            <w:r w:rsidRPr="00614693">
              <w:t>ncreased demand for laboratory</w:t>
            </w:r>
            <w:r>
              <w:t xml:space="preserve"> and pathology services to monitor for treatment toxicities.</w:t>
            </w:r>
          </w:p>
          <w:p w14:paraId="5E62058D" w14:textId="77777777" w:rsidR="002635C9" w:rsidRDefault="002635C9" w:rsidP="002147D2">
            <w:pPr>
              <w:pStyle w:val="TableText"/>
            </w:pPr>
            <w:r>
              <w:t>Increased demand for supportive care and toxicity management.</w:t>
            </w:r>
          </w:p>
        </w:tc>
      </w:tr>
    </w:tbl>
    <w:p w14:paraId="387AEF04" w14:textId="77777777" w:rsidR="0038658B" w:rsidRPr="0038658B" w:rsidRDefault="0038658B" w:rsidP="002635C9"/>
    <w:p w14:paraId="5F303A9A" w14:textId="77777777" w:rsidR="00C338E8" w:rsidRDefault="006D7F10" w:rsidP="002635C9">
      <w:pPr>
        <w:pStyle w:val="Heading4"/>
      </w:pPr>
      <w:bookmarkStart w:id="400" w:name="_Toc100739064"/>
      <w:bookmarkEnd w:id="399"/>
      <w:r>
        <w:t>Epidemiology of breast cancer</w:t>
      </w:r>
      <w:bookmarkEnd w:id="400"/>
    </w:p>
    <w:p w14:paraId="58451117" w14:textId="77777777" w:rsidR="00C338E8" w:rsidRDefault="006D7F10" w:rsidP="002635C9">
      <w:pPr>
        <w:pStyle w:val="Heading5"/>
      </w:pPr>
      <w:r>
        <w:t>Incidence</w:t>
      </w:r>
    </w:p>
    <w:p w14:paraId="6CAD95D1" w14:textId="77777777" w:rsidR="00C338E8" w:rsidRDefault="006D7F10" w:rsidP="002635C9">
      <w:r w:rsidRPr="007C6F6B">
        <w:t xml:space="preserve">Breast cancer is the </w:t>
      </w:r>
      <w:r>
        <w:t>second</w:t>
      </w:r>
      <w:r w:rsidRPr="007C6F6B">
        <w:t xml:space="preserve"> most commonly diagnosed cancer in </w:t>
      </w:r>
      <w:r>
        <w:t>Aotearoa</w:t>
      </w:r>
      <w:r w:rsidRPr="007C6F6B">
        <w:t xml:space="preserve"> – with an average of 3,000 women, including 400 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t xml:space="preserve"> and around 25</w:t>
      </w:r>
      <w:r w:rsidR="002635C9">
        <w:t> </w:t>
      </w:r>
      <w:r>
        <w:t xml:space="preserve">men diagnosed each year </w:t>
      </w:r>
      <w:r>
        <w:rPr>
          <w:noProof/>
        </w:rPr>
        <w:t>(Breast Cancer Foundation New Zealand 2022)</w:t>
      </w:r>
      <w:r w:rsidRPr="007C6F6B">
        <w:t>.</w:t>
      </w:r>
      <w:r>
        <w:t xml:space="preserve"> </w:t>
      </w:r>
      <w:r w:rsidRPr="007C6F6B">
        <w:t xml:space="preserve">The rate of breast cancer is higher for Māori (46 per 100,000, total population) compared </w:t>
      </w:r>
      <w:r>
        <w:t>with</w:t>
      </w:r>
      <w:r w:rsidRPr="007C6F6B">
        <w:t xml:space="preserve"> non</w:t>
      </w:r>
      <w:r w:rsidR="002635C9">
        <w:noBreakHyphen/>
      </w:r>
      <w:r w:rsidRPr="007C6F6B">
        <w:t xml:space="preserve">Māori (40 per 100,000). The rate of breast cancer is also higher among Pacific peoples (44 per 100,000) compared </w:t>
      </w:r>
      <w:r>
        <w:t>with</w:t>
      </w:r>
      <w:r w:rsidRPr="007C6F6B">
        <w:t xml:space="preserve"> </w:t>
      </w:r>
      <w:r>
        <w:t xml:space="preserve">the </w:t>
      </w:r>
      <w:r w:rsidRPr="007C6F6B">
        <w:t>non-Māori</w:t>
      </w:r>
      <w:r>
        <w:t>, non-</w:t>
      </w:r>
      <w:r w:rsidRPr="007C6F6B">
        <w:t>Pacific</w:t>
      </w:r>
      <w:r>
        <w:t>, non-</w:t>
      </w:r>
      <w:r w:rsidRPr="007C6F6B">
        <w:t xml:space="preserve">Asian </w:t>
      </w:r>
      <w:r>
        <w:t>population</w:t>
      </w:r>
      <w:r w:rsidRPr="007C6F6B">
        <w:t xml:space="preserve"> (42 per 100,000)</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7C6F6B">
        <w:t>.</w:t>
      </w:r>
      <w:r>
        <w:t xml:space="preserve"> Around 15</w:t>
      </w:r>
      <w:r w:rsidR="00F64599">
        <w:t> percent</w:t>
      </w:r>
      <w:r>
        <w:t xml:space="preserve"> of women with breast cancer will be HER-2+ve (Māori 18</w:t>
      </w:r>
      <w:r w:rsidR="00F64599">
        <w:t> percent</w:t>
      </w:r>
      <w:r>
        <w:t>; Pacific 24</w:t>
      </w:r>
      <w:r w:rsidR="00F64599">
        <w:t> percent</w:t>
      </w:r>
      <w:r>
        <w:t>; Asian 18</w:t>
      </w:r>
      <w:r w:rsidR="00F64599">
        <w:t> percent</w:t>
      </w:r>
      <w:r>
        <w:t>; non-Māori, non-Pacific, non-Asian 15</w:t>
      </w:r>
      <w:r w:rsidR="00F64599">
        <w:t> percent</w:t>
      </w:r>
      <w:r>
        <w:t>). However, it should be noted that HER</w:t>
      </w:r>
      <w:r w:rsidR="002635C9">
        <w:noBreakHyphen/>
      </w:r>
      <w:r>
        <w:t>2</w:t>
      </w:r>
      <w:r w:rsidR="002635C9">
        <w:t> </w:t>
      </w:r>
      <w:r>
        <w:t>status is unknown for around 20</w:t>
      </w:r>
      <w:r w:rsidR="00F64599">
        <w:t> percent</w:t>
      </w:r>
      <w:r>
        <w:t xml:space="preserve"> of breast cancer cases, so this proportion may be conservative </w:t>
      </w:r>
      <w:r w:rsidRPr="007C6F6B">
        <w:rPr>
          <w:noProof/>
        </w:rPr>
        <w:t>(Breast Cancer Foundation N</w:t>
      </w:r>
      <w:r>
        <w:rPr>
          <w:noProof/>
        </w:rPr>
        <w:t xml:space="preserve">ew </w:t>
      </w:r>
      <w:r w:rsidRPr="007C6F6B">
        <w:rPr>
          <w:noProof/>
        </w:rPr>
        <w:t>Z</w:t>
      </w:r>
      <w:r>
        <w:rPr>
          <w:noProof/>
        </w:rPr>
        <w:t>ealand</w:t>
      </w:r>
      <w:r w:rsidRPr="007C6F6B">
        <w:rPr>
          <w:noProof/>
        </w:rPr>
        <w:t xml:space="preserve"> 2022)</w:t>
      </w:r>
      <w:r w:rsidRPr="007C6F6B">
        <w:t>.</w:t>
      </w:r>
    </w:p>
    <w:p w14:paraId="5A59536F" w14:textId="77777777" w:rsidR="00C338E8" w:rsidRDefault="00C338E8" w:rsidP="002635C9"/>
    <w:p w14:paraId="2FE2A15E" w14:textId="77777777" w:rsidR="00C338E8" w:rsidRDefault="006D7F10" w:rsidP="002635C9">
      <w:pPr>
        <w:pStyle w:val="Heading5"/>
      </w:pPr>
      <w:r w:rsidRPr="00090A22">
        <w:t>Stage at diagnosis</w:t>
      </w:r>
    </w:p>
    <w:p w14:paraId="24555709" w14:textId="77777777" w:rsidR="00C338E8" w:rsidRDefault="006D7F10" w:rsidP="002635C9">
      <w:r w:rsidRPr="001336C7">
        <w:t>Early</w:t>
      </w:r>
      <w:r>
        <w:t>-</w:t>
      </w:r>
      <w:r w:rsidRPr="001336C7">
        <w:t xml:space="preserve">stage breast cancer includes ductal carcinoma in situ as well as breast cancers in stages I, II and IIIa. </w:t>
      </w:r>
      <w:r>
        <w:t>Around 80</w:t>
      </w:r>
      <w:r w:rsidR="00F64599">
        <w:t> percent</w:t>
      </w:r>
      <w:r>
        <w:t xml:space="preserve"> of women with breast cancer are diagnosed with either stage I (43</w:t>
      </w:r>
      <w:r w:rsidR="00F64599">
        <w:t> percent</w:t>
      </w:r>
      <w:r>
        <w:t xml:space="preserve"> Māori; 32</w:t>
      </w:r>
      <w:r w:rsidR="00F64599">
        <w:t> percent</w:t>
      </w:r>
      <w:r>
        <w:t xml:space="preserve"> Pacific; 47</w:t>
      </w:r>
      <w:r w:rsidR="00F64599">
        <w:t> percent</w:t>
      </w:r>
      <w:r>
        <w:t xml:space="preserve"> Asian; 60</w:t>
      </w:r>
      <w:r w:rsidR="00F64599">
        <w:t> percent</w:t>
      </w:r>
      <w:r>
        <w:t xml:space="preserve"> non</w:t>
      </w:r>
      <w:r w:rsidR="002635C9">
        <w:noBreakHyphen/>
      </w:r>
      <w:r>
        <w:t>Māori, non-Pacific, non-Asian) or stage II disease (Māori 38</w:t>
      </w:r>
      <w:r w:rsidR="00F64599">
        <w:t> percent</w:t>
      </w:r>
      <w:r>
        <w:t>; Pacific 38</w:t>
      </w:r>
      <w:r w:rsidR="00F64599">
        <w:t> percent</w:t>
      </w:r>
      <w:r>
        <w:t>; Asian 37</w:t>
      </w:r>
      <w:r w:rsidR="00F64599">
        <w:t> percent</w:t>
      </w:r>
      <w:r>
        <w:t>; non-Māori, non-Pacific, non-Asian 34</w:t>
      </w:r>
      <w:r w:rsidR="00F64599">
        <w:t> percent</w:t>
      </w:r>
      <w:r>
        <w:t>). Around 13</w:t>
      </w:r>
      <w:r w:rsidR="00F64599">
        <w:t> percent</w:t>
      </w:r>
      <w:r>
        <w:t xml:space="preserve"> are diagnosed with stage III disease (Māori 14</w:t>
      </w:r>
      <w:r w:rsidR="00F64599">
        <w:t> percent</w:t>
      </w:r>
      <w:r>
        <w:t>; Pacific 19</w:t>
      </w:r>
      <w:r w:rsidR="00F64599">
        <w:t> percent</w:t>
      </w:r>
      <w:r>
        <w:t>; Asian 12</w:t>
      </w:r>
      <w:r w:rsidR="00F64599">
        <w:t> percent</w:t>
      </w:r>
      <w:r>
        <w:t>; non-Māori, non-Pacific, non-Asian 12</w:t>
      </w:r>
      <w:r w:rsidR="00F64599">
        <w:t> percent</w:t>
      </w:r>
      <w:r>
        <w:t>) and the remaining 5</w:t>
      </w:r>
      <w:r w:rsidR="00F64599">
        <w:t> percent</w:t>
      </w:r>
      <w:r>
        <w:t xml:space="preserve"> with advanced disease </w:t>
      </w:r>
      <w:r>
        <w:rPr>
          <w:noProof/>
        </w:rPr>
        <w:t>(Breast Cancer Foundation New Zealand 2022)</w:t>
      </w:r>
      <w:r>
        <w:t>.</w:t>
      </w:r>
    </w:p>
    <w:p w14:paraId="78F8BD79" w14:textId="77777777" w:rsidR="00C338E8" w:rsidRDefault="00C338E8" w:rsidP="002635C9"/>
    <w:p w14:paraId="7989B68D" w14:textId="77777777" w:rsidR="00C338E8" w:rsidRDefault="006D7F10" w:rsidP="002635C9">
      <w:pPr>
        <w:pStyle w:val="Heading5"/>
      </w:pPr>
      <w:r w:rsidRPr="007C6F6B">
        <w:lastRenderedPageBreak/>
        <w:t>Survival</w:t>
      </w:r>
    </w:p>
    <w:p w14:paraId="332D3922" w14:textId="77777777" w:rsidR="00C338E8" w:rsidRDefault="006D7F10" w:rsidP="00CE5715">
      <w:pPr>
        <w:keepNext/>
        <w:keepLines/>
      </w:pPr>
      <w:r w:rsidRPr="007C6F6B">
        <w:rPr>
          <w:bCs/>
        </w:rPr>
        <w:t xml:space="preserve">Around </w:t>
      </w:r>
      <w:r>
        <w:rPr>
          <w:bCs/>
        </w:rPr>
        <w:t>91</w:t>
      </w:r>
      <w:r w:rsidR="00F64599">
        <w:rPr>
          <w:bCs/>
        </w:rPr>
        <w:t> percent</w:t>
      </w:r>
      <w:r w:rsidRPr="007C6F6B">
        <w:rPr>
          <w:bCs/>
        </w:rPr>
        <w:t xml:space="preserve"> of those diagnosed with</w:t>
      </w:r>
      <w:r w:rsidRPr="007C6F6B">
        <w:t xml:space="preserve"> breast cancer </w:t>
      </w:r>
      <w:r>
        <w:t>(stage 1 or higher)</w:t>
      </w:r>
      <w:r w:rsidRPr="007C6F6B">
        <w:t xml:space="preserve"> will survive to </w:t>
      </w:r>
      <w:r>
        <w:t>five</w:t>
      </w:r>
      <w:r w:rsidRPr="007C6F6B">
        <w:t xml:space="preserve"> years (</w:t>
      </w:r>
      <w:r>
        <w:t>89</w:t>
      </w:r>
      <w:r w:rsidR="00F64599">
        <w:t> percent</w:t>
      </w:r>
      <w:r>
        <w:t xml:space="preserve"> Māori, 87</w:t>
      </w:r>
      <w:r w:rsidR="00F64599">
        <w:t> percent</w:t>
      </w:r>
      <w:r>
        <w:t xml:space="preserve"> Pacific</w:t>
      </w:r>
      <w:r w:rsidRPr="007C6F6B">
        <w:t>)</w:t>
      </w:r>
      <w:r>
        <w:t>.</w:t>
      </w:r>
      <w:r w:rsidRPr="007C6F6B">
        <w:t xml:space="preserve"> In terms of survival by stage of disease, data from the N</w:t>
      </w:r>
      <w:r>
        <w:t xml:space="preserve">ew </w:t>
      </w:r>
      <w:r w:rsidRPr="007C6F6B">
        <w:t>Z</w:t>
      </w:r>
      <w:r>
        <w:t>ealand</w:t>
      </w:r>
      <w:r w:rsidRPr="007C6F6B">
        <w:t xml:space="preserve"> Cancer Regist</w:t>
      </w:r>
      <w:r>
        <w:t>ry</w:t>
      </w:r>
      <w:r w:rsidRPr="007C6F6B">
        <w:t xml:space="preserve"> indicates that 99</w:t>
      </w:r>
      <w:r w:rsidR="00F64599">
        <w:t> percent</w:t>
      </w:r>
      <w:r w:rsidRPr="007C6F6B">
        <w:t xml:space="preserve"> of patients diagnosed with </w:t>
      </w:r>
      <w:r>
        <w:t>s</w:t>
      </w:r>
      <w:r w:rsidRPr="007C6F6B">
        <w:t>tage 1, 93</w:t>
      </w:r>
      <w:r w:rsidR="00F64599">
        <w:t> percent</w:t>
      </w:r>
      <w:r w:rsidRPr="007C6F6B">
        <w:t xml:space="preserve"> of those with </w:t>
      </w:r>
      <w:r>
        <w:t>s</w:t>
      </w:r>
      <w:r w:rsidRPr="007C6F6B">
        <w:t>tage II, 81</w:t>
      </w:r>
      <w:r w:rsidR="00F64599">
        <w:t> percent</w:t>
      </w:r>
      <w:r w:rsidRPr="007C6F6B">
        <w:t xml:space="preserve"> of those with </w:t>
      </w:r>
      <w:r>
        <w:t>s</w:t>
      </w:r>
      <w:r w:rsidRPr="007C6F6B">
        <w:t>tage</w:t>
      </w:r>
      <w:r w:rsidR="00CE5715">
        <w:t> </w:t>
      </w:r>
      <w:r w:rsidRPr="007C6F6B">
        <w:t>III and 29</w:t>
      </w:r>
      <w:r w:rsidR="00F64599">
        <w:t> percent</w:t>
      </w:r>
      <w:r w:rsidRPr="007C6F6B">
        <w:t xml:space="preserve"> of those with </w:t>
      </w:r>
      <w:r>
        <w:t>s</w:t>
      </w:r>
      <w:r w:rsidRPr="007C6F6B">
        <w:t xml:space="preserve">tage IV will survive to </w:t>
      </w:r>
      <w:r>
        <w:t>five</w:t>
      </w:r>
      <w:r w:rsidRPr="007C6F6B">
        <w:t xml:space="preserve"> years </w:t>
      </w:r>
      <w:r w:rsidRPr="007C6F6B">
        <w:rPr>
          <w:noProof/>
        </w:rPr>
        <w:t>(Breast Cancer Foundation N</w:t>
      </w:r>
      <w:r>
        <w:rPr>
          <w:noProof/>
        </w:rPr>
        <w:t xml:space="preserve">ew </w:t>
      </w:r>
      <w:r w:rsidRPr="007C6F6B">
        <w:rPr>
          <w:noProof/>
        </w:rPr>
        <w:t>Z</w:t>
      </w:r>
      <w:r>
        <w:rPr>
          <w:noProof/>
        </w:rPr>
        <w:t>ealand</w:t>
      </w:r>
      <w:r w:rsidRPr="007C6F6B">
        <w:rPr>
          <w:noProof/>
        </w:rPr>
        <w:t xml:space="preserve"> 2022)</w:t>
      </w:r>
      <w:r w:rsidRPr="007C6F6B">
        <w:t>.</w:t>
      </w:r>
    </w:p>
    <w:p w14:paraId="68F59535" w14:textId="77777777" w:rsidR="002635C9" w:rsidRDefault="002635C9" w:rsidP="00CE5715">
      <w:pPr>
        <w:keepNext/>
        <w:keepLines/>
      </w:pPr>
    </w:p>
    <w:p w14:paraId="3069F383" w14:textId="77777777" w:rsidR="00C338E8" w:rsidRDefault="006D7F10" w:rsidP="002635C9">
      <w:r>
        <w:t>From 2003–2020 data, Māori patients with breast cancer are 33</w:t>
      </w:r>
      <w:r w:rsidR="00F64599">
        <w:t> percent</w:t>
      </w:r>
      <w:r>
        <w:t xml:space="preserve"> more likely and Pacific patients are 52</w:t>
      </w:r>
      <w:r w:rsidR="00F64599">
        <w:t> percent</w:t>
      </w:r>
      <w:r>
        <w:t xml:space="preserve"> more likely to die than non-Māori, non-Pacific, non-Asian patients </w:t>
      </w:r>
      <w:r>
        <w:rPr>
          <w:noProof/>
        </w:rPr>
        <w:t>(Breast Cancer Foundation New Zealand 2022)</w:t>
      </w:r>
      <w:r>
        <w:t>.</w:t>
      </w:r>
    </w:p>
    <w:p w14:paraId="6BAFB996" w14:textId="77777777" w:rsidR="00C338E8" w:rsidRDefault="00C338E8" w:rsidP="002635C9"/>
    <w:p w14:paraId="4F6F96E5" w14:textId="77777777" w:rsidR="00C338E8" w:rsidRDefault="006D7F10" w:rsidP="002635C9">
      <w:pPr>
        <w:pStyle w:val="Heading5"/>
      </w:pPr>
      <w:r w:rsidRPr="007C6F6B">
        <w:t>Mortality</w:t>
      </w:r>
    </w:p>
    <w:p w14:paraId="06FC9C26" w14:textId="77777777" w:rsidR="00C338E8" w:rsidRPr="002635C9" w:rsidRDefault="006D7F10" w:rsidP="002635C9">
      <w:r w:rsidRPr="007C6F6B">
        <w:rPr>
          <w:bCs/>
        </w:rPr>
        <w:t xml:space="preserve">On average over the last decade, there have been </w:t>
      </w:r>
      <w:r w:rsidRPr="007C6F6B">
        <w:t xml:space="preserve">638 female deaths </w:t>
      </w:r>
      <w:r>
        <w:t>each</w:t>
      </w:r>
      <w:r w:rsidRPr="007C6F6B">
        <w:t xml:space="preserve"> year from breast cancer, including 77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7C6F6B">
        <w:t xml:space="preserve">. Mortality rates for </w:t>
      </w:r>
      <w:r>
        <w:t xml:space="preserve">breast </w:t>
      </w:r>
      <w:r w:rsidRPr="007C6F6B">
        <w:t xml:space="preserve">cancer are higher among Māori (9 per 100,000) compared </w:t>
      </w:r>
      <w:r>
        <w:t>with</w:t>
      </w:r>
      <w:r w:rsidRPr="007C6F6B">
        <w:t xml:space="preserve"> non-Māori (6 per 100,000). The rate of breast cancer mortality is also higher for Pacific peoples (10 per 100,000) compared </w:t>
      </w:r>
      <w:r>
        <w:t>with</w:t>
      </w:r>
      <w:r w:rsidRPr="007C6F6B">
        <w:t xml:space="preserve"> </w:t>
      </w:r>
      <w:r>
        <w:t>the non-Māori, non-Pacific, non-Asian</w:t>
      </w:r>
      <w:r w:rsidRPr="007C6F6B">
        <w:t xml:space="preserve"> </w:t>
      </w:r>
      <w:r>
        <w:t xml:space="preserve">population </w:t>
      </w:r>
      <w:r w:rsidRPr="007C6F6B">
        <w:t>(7 per 100,000)</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7C6F6B">
        <w:t>.</w:t>
      </w:r>
    </w:p>
    <w:p w14:paraId="23FEFFD3" w14:textId="77777777" w:rsidR="00C338E8" w:rsidRDefault="00C338E8" w:rsidP="002635C9"/>
    <w:p w14:paraId="08A906F7" w14:textId="77777777" w:rsidR="00C338E8" w:rsidRDefault="006D7F10" w:rsidP="00B004AC">
      <w:pPr>
        <w:pStyle w:val="Heading3"/>
        <w:keepNext w:val="0"/>
        <w:pageBreakBefore/>
        <w:spacing w:before="0"/>
      </w:pPr>
      <w:bookmarkStart w:id="401" w:name="_Toc100739065"/>
      <w:r>
        <w:lastRenderedPageBreak/>
        <w:t>Liver cancer</w:t>
      </w:r>
      <w:bookmarkEnd w:id="401"/>
    </w:p>
    <w:p w14:paraId="577CE5E1" w14:textId="77777777" w:rsidR="006D7F10" w:rsidRDefault="006D7F10" w:rsidP="002635C9">
      <w:pPr>
        <w:pStyle w:val="Table"/>
      </w:pPr>
      <w:bookmarkStart w:id="402" w:name="_Toc101365623"/>
      <w:bookmarkStart w:id="403" w:name="Appendix_7_Table_7point7"/>
      <w:r>
        <w:t>Table</w:t>
      </w:r>
      <w:r w:rsidR="002635C9">
        <w:t> </w:t>
      </w:r>
      <w:r>
        <w:t>7.7: Atezolizumab with bevacizumab for liver cancer</w:t>
      </w:r>
      <w:bookmarkEnd w:id="40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A93E39" w14:paraId="230CEF9D" w14:textId="77777777" w:rsidTr="00290AF3">
        <w:trPr>
          <w:cantSplit/>
        </w:trPr>
        <w:tc>
          <w:tcPr>
            <w:tcW w:w="2020" w:type="dxa"/>
            <w:tcBorders>
              <w:top w:val="nil"/>
              <w:bottom w:val="nil"/>
            </w:tcBorders>
            <w:shd w:val="clear" w:color="auto" w:fill="C2D9BA"/>
          </w:tcPr>
          <w:p w14:paraId="6D8BD2C2" w14:textId="77777777" w:rsidR="00A93E39" w:rsidRPr="00181CD3" w:rsidRDefault="00A93E39"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28215D81" w14:textId="77777777" w:rsidR="00A93E39" w:rsidRDefault="00A93E39" w:rsidP="002147D2">
            <w:pPr>
              <w:pStyle w:val="TableText"/>
            </w:pPr>
            <w:r w:rsidRPr="001043A2">
              <w:t xml:space="preserve">Hepatocellular carcinoma (HCC), advanced stage, unresectable, </w:t>
            </w:r>
            <w:r>
              <w:t>first-</w:t>
            </w:r>
            <w:r w:rsidRPr="001043A2">
              <w:t>line</w:t>
            </w:r>
            <w:r>
              <w:t xml:space="preserve"> therapy</w:t>
            </w:r>
          </w:p>
        </w:tc>
      </w:tr>
      <w:tr w:rsidR="00A93E39" w14:paraId="5C1CDC37" w14:textId="77777777" w:rsidTr="00290AF3">
        <w:trPr>
          <w:cantSplit/>
        </w:trPr>
        <w:tc>
          <w:tcPr>
            <w:tcW w:w="2020" w:type="dxa"/>
            <w:tcBorders>
              <w:top w:val="single" w:sz="4" w:space="0" w:color="C2D9BA"/>
              <w:bottom w:val="single" w:sz="4" w:space="0" w:color="C2D9BA"/>
            </w:tcBorders>
            <w:shd w:val="clear" w:color="auto" w:fill="E7F0E3"/>
          </w:tcPr>
          <w:p w14:paraId="42511408" w14:textId="77777777" w:rsidR="00A93E39" w:rsidRPr="00181CD3" w:rsidRDefault="00A93E39" w:rsidP="00A93E39">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3B7A4103" w14:textId="77777777" w:rsidR="00A93E39" w:rsidRDefault="00A93E39" w:rsidP="002147D2">
            <w:pPr>
              <w:pStyle w:val="TableText"/>
            </w:pPr>
            <w:r>
              <w:t>Atezolizumab with bevacizumab</w:t>
            </w:r>
          </w:p>
        </w:tc>
      </w:tr>
      <w:tr w:rsidR="00A93E39" w14:paraId="3DD4177A" w14:textId="77777777" w:rsidTr="00290AF3">
        <w:trPr>
          <w:cantSplit/>
        </w:trPr>
        <w:tc>
          <w:tcPr>
            <w:tcW w:w="2020" w:type="dxa"/>
            <w:tcBorders>
              <w:top w:val="single" w:sz="4" w:space="0" w:color="C2D9BA"/>
              <w:bottom w:val="single" w:sz="4" w:space="0" w:color="C2D9BA"/>
            </w:tcBorders>
            <w:shd w:val="clear" w:color="auto" w:fill="auto"/>
          </w:tcPr>
          <w:p w14:paraId="5A3918CC" w14:textId="77777777" w:rsidR="00A93E39" w:rsidRPr="00181CD3" w:rsidRDefault="00A93E39"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5B793CC0" w14:textId="77777777" w:rsidR="00A93E39" w:rsidRDefault="00A93E39" w:rsidP="002147D2">
            <w:pPr>
              <w:pStyle w:val="TableText"/>
            </w:pPr>
            <w:r>
              <w:t>Atezolizumab: immune checkpoint inhibitor (monoclonal antibody targeting PD-L1 protein)</w:t>
            </w:r>
          </w:p>
          <w:p w14:paraId="551C6824" w14:textId="77777777" w:rsidR="00A93E39" w:rsidRDefault="00A93E39" w:rsidP="002147D2">
            <w:pPr>
              <w:pStyle w:val="TableText"/>
            </w:pPr>
            <w:r>
              <w:t>Bevacizumab: targeted treatment (monoclonal antibody targeting VEGF protein)</w:t>
            </w:r>
          </w:p>
        </w:tc>
      </w:tr>
      <w:tr w:rsidR="00A93E39" w14:paraId="414B3300" w14:textId="77777777" w:rsidTr="00290AF3">
        <w:trPr>
          <w:cantSplit/>
        </w:trPr>
        <w:tc>
          <w:tcPr>
            <w:tcW w:w="2020" w:type="dxa"/>
            <w:tcBorders>
              <w:top w:val="single" w:sz="4" w:space="0" w:color="C2D9BA"/>
              <w:bottom w:val="single" w:sz="4" w:space="0" w:color="C2D9BA"/>
            </w:tcBorders>
            <w:shd w:val="clear" w:color="auto" w:fill="auto"/>
          </w:tcPr>
          <w:p w14:paraId="0C957A77" w14:textId="77777777" w:rsidR="00A93E39" w:rsidRPr="00181CD3" w:rsidRDefault="00A93E39"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5D87E438" w14:textId="77777777" w:rsidR="00A93E39" w:rsidRDefault="00A93E39" w:rsidP="002147D2">
            <w:pPr>
              <w:pStyle w:val="TableText"/>
            </w:pPr>
            <w:r>
              <w:t>Non-curative</w:t>
            </w:r>
          </w:p>
        </w:tc>
      </w:tr>
      <w:tr w:rsidR="00A93E39" w14:paraId="0A2612B2" w14:textId="77777777" w:rsidTr="00A93E39">
        <w:trPr>
          <w:cantSplit/>
        </w:trPr>
        <w:tc>
          <w:tcPr>
            <w:tcW w:w="2020" w:type="dxa"/>
            <w:tcBorders>
              <w:top w:val="single" w:sz="4" w:space="0" w:color="C2D9BA"/>
              <w:bottom w:val="single" w:sz="4" w:space="0" w:color="C2D9BA"/>
            </w:tcBorders>
            <w:shd w:val="clear" w:color="auto" w:fill="auto"/>
          </w:tcPr>
          <w:p w14:paraId="7CF06E19" w14:textId="77777777" w:rsidR="00A93E39" w:rsidRPr="00181CD3" w:rsidRDefault="00A93E39"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2EBCB2E3" w14:textId="77777777" w:rsidR="00A93E39" w:rsidRDefault="00A93E39" w:rsidP="002147D2">
            <w:pPr>
              <w:pStyle w:val="TableText"/>
            </w:pPr>
            <w:r>
              <w:t>Application received September 2020</w:t>
            </w:r>
          </w:p>
          <w:p w14:paraId="18278768" w14:textId="77777777" w:rsidR="00A93E39" w:rsidRDefault="00A93E39" w:rsidP="002147D2">
            <w:pPr>
              <w:pStyle w:val="TableText"/>
            </w:pPr>
            <w:r>
              <w:t>Seeking clinical advice – this means that Pharmac is seeking expert advice before it assesses and ranks this application.</w:t>
            </w:r>
          </w:p>
          <w:p w14:paraId="3F826B8F" w14:textId="77777777" w:rsidR="00A93E39" w:rsidRPr="00A93E39" w:rsidRDefault="00A93E39" w:rsidP="002147D2">
            <w:pPr>
              <w:pStyle w:val="TableText"/>
            </w:pPr>
            <w:r>
              <w:t xml:space="preserve">Note: At the time of publication, Pharmac had ranked this application as an option for </w:t>
            </w:r>
            <w:r w:rsidRPr="00A93E39">
              <w:t>investment. This means that this option would be funded if the budget allowed.</w:t>
            </w:r>
          </w:p>
          <w:p w14:paraId="0965316F" w14:textId="77777777" w:rsidR="00A93E39" w:rsidRDefault="0056499C" w:rsidP="002147D2">
            <w:pPr>
              <w:pStyle w:val="TableText"/>
            </w:pPr>
            <w:hyperlink r:id="rId95" w:history="1">
              <w:r w:rsidR="00A93E39" w:rsidRPr="002B1C49">
                <w:rPr>
                  <w:rStyle w:val="Hyperlink"/>
                  <w:rFonts w:eastAsia="MS Gothic"/>
                </w:rPr>
                <w:t>https://connect.pharmac.govt.nz/apptracker/s/application-public/a102P00000AlzxU/p001618</w:t>
              </w:r>
            </w:hyperlink>
          </w:p>
        </w:tc>
      </w:tr>
      <w:tr w:rsidR="00A93E39" w14:paraId="1807C172" w14:textId="77777777" w:rsidTr="00A93E39">
        <w:trPr>
          <w:cantSplit/>
        </w:trPr>
        <w:tc>
          <w:tcPr>
            <w:tcW w:w="2020" w:type="dxa"/>
            <w:tcBorders>
              <w:top w:val="single" w:sz="4" w:space="0" w:color="C2D9BA"/>
              <w:bottom w:val="single" w:sz="4" w:space="0" w:color="C2D9BA"/>
            </w:tcBorders>
            <w:shd w:val="clear" w:color="auto" w:fill="auto"/>
          </w:tcPr>
          <w:p w14:paraId="71A7DFF2" w14:textId="77777777" w:rsidR="00A93E39" w:rsidRPr="0038658B" w:rsidRDefault="00A93E39"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50474A56" w14:textId="77777777" w:rsidR="00A93E39" w:rsidRDefault="00A93E39" w:rsidP="002147D2">
            <w:pPr>
              <w:pStyle w:val="TableText"/>
            </w:pPr>
            <w:r>
              <w:t>5</w:t>
            </w:r>
          </w:p>
        </w:tc>
        <w:tc>
          <w:tcPr>
            <w:tcW w:w="5528" w:type="dxa"/>
            <w:tcBorders>
              <w:top w:val="single" w:sz="4" w:space="0" w:color="C2D9BA"/>
              <w:bottom w:val="single" w:sz="4" w:space="0" w:color="C2D9BA"/>
            </w:tcBorders>
            <w:shd w:val="clear" w:color="auto" w:fill="auto"/>
          </w:tcPr>
          <w:p w14:paraId="59FBB628" w14:textId="77777777" w:rsidR="00A93E39" w:rsidRDefault="00A93E39" w:rsidP="002147D2">
            <w:pPr>
              <w:pStyle w:val="TableText"/>
            </w:pPr>
            <w:r>
              <w:t>Compared with sorafenib:</w:t>
            </w:r>
          </w:p>
          <w:p w14:paraId="28881278" w14:textId="77777777" w:rsidR="00A93E39" w:rsidRDefault="00A93E39" w:rsidP="002147D2">
            <w:pPr>
              <w:pStyle w:val="TableText"/>
            </w:pPr>
            <w:r>
              <w:t>Gain in median overall survival of 9.6 months</w:t>
            </w:r>
          </w:p>
          <w:p w14:paraId="07395BB1" w14:textId="77777777" w:rsidR="00A93E39" w:rsidRDefault="00A93E39" w:rsidP="002147D2">
            <w:pPr>
              <w:pStyle w:val="TableText"/>
            </w:pPr>
            <w:r>
              <w:t>Gain in median progression-free survival of 2.5 months</w:t>
            </w:r>
          </w:p>
          <w:p w14:paraId="3E7F3D76" w14:textId="77777777" w:rsidR="00A93E39" w:rsidRDefault="00A93E39" w:rsidP="002147D2">
            <w:pPr>
              <w:pStyle w:val="TableText"/>
            </w:pPr>
            <w:r>
              <w:t>Toxicities did not factor in the scoring.</w:t>
            </w:r>
          </w:p>
          <w:p w14:paraId="3265BF7F" w14:textId="77777777" w:rsidR="00A93E39" w:rsidRDefault="00A93E39" w:rsidP="002147D2">
            <w:pPr>
              <w:pStyle w:val="TableText"/>
            </w:pPr>
            <w:r>
              <w:t>Improved quality of life associated with delayed deterioration contributed to the score.</w:t>
            </w:r>
          </w:p>
          <w:p w14:paraId="047026A2" w14:textId="77777777" w:rsidR="00A93E39" w:rsidRDefault="00A93E39" w:rsidP="002147D2">
            <w:pPr>
              <w:pStyle w:val="TableText"/>
            </w:pPr>
            <w:r w:rsidRPr="00614693">
              <w:t xml:space="preserve">Note: </w:t>
            </w:r>
            <w:r>
              <w:t>These were the results in a comparison against sorafenib,</w:t>
            </w:r>
            <w:r w:rsidRPr="00614693">
              <w:t xml:space="preserve"> </w:t>
            </w:r>
            <w:r>
              <w:t xml:space="preserve">which </w:t>
            </w:r>
            <w:r w:rsidRPr="00614693">
              <w:t>is not funded in Aotearoa</w:t>
            </w:r>
            <w:r>
              <w:t xml:space="preserve"> for this indication. The</w:t>
            </w:r>
            <w:r w:rsidRPr="00614693">
              <w:t xml:space="preserve"> </w:t>
            </w:r>
            <w:r>
              <w:t>relevant comparator</w:t>
            </w:r>
            <w:r w:rsidRPr="00614693">
              <w:t xml:space="preserve"> </w:t>
            </w:r>
            <w:r>
              <w:t xml:space="preserve">for Aotearoa </w:t>
            </w:r>
            <w:r w:rsidRPr="00614693">
              <w:t xml:space="preserve">would be </w:t>
            </w:r>
            <w:r>
              <w:t>best supportive care. Clinical advice indicated that, against this comparator, the ESMO-MCBS score would likely be at least 4.</w:t>
            </w:r>
          </w:p>
          <w:p w14:paraId="5D86D0DE" w14:textId="77777777" w:rsidR="00A93E39" w:rsidRDefault="0056499C" w:rsidP="002147D2">
            <w:pPr>
              <w:pStyle w:val="TableText"/>
            </w:pPr>
            <w:hyperlink r:id="rId96" w:history="1">
              <w:r w:rsidR="00A93E39" w:rsidRPr="00333377">
                <w:rPr>
                  <w:rStyle w:val="Hyperlink"/>
                  <w:rFonts w:eastAsia="MS Gothic"/>
                </w:rPr>
                <w:t>www.esmo.org/guidelines/esmo-mcbs/esmo-mcbs-scorecards/scorecard-215-1</w:t>
              </w:r>
            </w:hyperlink>
          </w:p>
        </w:tc>
      </w:tr>
      <w:tr w:rsidR="00A93E39" w14:paraId="28E8A5EC" w14:textId="77777777" w:rsidTr="00290AF3">
        <w:trPr>
          <w:cantSplit/>
        </w:trPr>
        <w:tc>
          <w:tcPr>
            <w:tcW w:w="2020" w:type="dxa"/>
            <w:tcBorders>
              <w:top w:val="single" w:sz="4" w:space="0" w:color="C2D9BA"/>
              <w:bottom w:val="single" w:sz="4" w:space="0" w:color="C2D9BA"/>
            </w:tcBorders>
            <w:shd w:val="clear" w:color="auto" w:fill="auto"/>
          </w:tcPr>
          <w:p w14:paraId="7C95025C" w14:textId="77777777" w:rsidR="00A93E39" w:rsidRPr="0038658B" w:rsidRDefault="00A93E39"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7B887C5A" w14:textId="77777777" w:rsidR="00A93E39" w:rsidRDefault="00A93E39" w:rsidP="002147D2">
            <w:pPr>
              <w:pStyle w:val="TableText"/>
            </w:pPr>
            <w:r>
              <w:t>The current approach for these patients is best supportive care – there is no active treatment option funded in Aotearoa.</w:t>
            </w:r>
          </w:p>
          <w:p w14:paraId="3E178F7E" w14:textId="77777777" w:rsidR="00A93E39" w:rsidRDefault="00A93E39" w:rsidP="002147D2">
            <w:pPr>
              <w:pStyle w:val="TableText"/>
            </w:pPr>
            <w:r>
              <w:t>If this regimen were funded, this would become the first line of active treatment for these patients.</w:t>
            </w:r>
          </w:p>
        </w:tc>
      </w:tr>
      <w:tr w:rsidR="00A93E39" w14:paraId="33F5F526" w14:textId="77777777" w:rsidTr="00290AF3">
        <w:trPr>
          <w:cantSplit/>
        </w:trPr>
        <w:tc>
          <w:tcPr>
            <w:tcW w:w="2020" w:type="dxa"/>
            <w:tcBorders>
              <w:top w:val="single" w:sz="4" w:space="0" w:color="C2D9BA"/>
              <w:bottom w:val="single" w:sz="4" w:space="0" w:color="C2D9BA"/>
            </w:tcBorders>
            <w:shd w:val="clear" w:color="auto" w:fill="auto"/>
          </w:tcPr>
          <w:p w14:paraId="00321DB7" w14:textId="77777777" w:rsidR="00A93E39" w:rsidRPr="0038658B" w:rsidRDefault="00A93E39"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1DAA93D4" w14:textId="77777777" w:rsidR="00A93E39" w:rsidRDefault="00A93E39" w:rsidP="002147D2">
            <w:pPr>
              <w:pStyle w:val="TableText"/>
            </w:pPr>
            <w:r>
              <w:t>Approximately</w:t>
            </w:r>
            <w:r w:rsidRPr="001043A2">
              <w:t xml:space="preserve"> 60</w:t>
            </w:r>
            <w:r>
              <w:t>–</w:t>
            </w:r>
            <w:r w:rsidRPr="001043A2">
              <w:t xml:space="preserve">70 people </w:t>
            </w:r>
            <w:r>
              <w:t>each</w:t>
            </w:r>
            <w:r w:rsidRPr="001043A2">
              <w:t xml:space="preserve"> year</w:t>
            </w:r>
            <w:r>
              <w:t xml:space="preserve"> </w:t>
            </w:r>
            <w:r>
              <w:rPr>
                <w:noProof/>
              </w:rPr>
              <w:t>(CaTSoP 2021)</w:t>
            </w:r>
            <w:r>
              <w:t>.</w:t>
            </w:r>
          </w:p>
        </w:tc>
      </w:tr>
      <w:tr w:rsidR="00A93E39" w14:paraId="6C907EE0" w14:textId="77777777" w:rsidTr="00290AF3">
        <w:trPr>
          <w:cantSplit/>
        </w:trPr>
        <w:tc>
          <w:tcPr>
            <w:tcW w:w="2020" w:type="dxa"/>
            <w:tcBorders>
              <w:top w:val="single" w:sz="4" w:space="0" w:color="C2D9BA"/>
              <w:bottom w:val="single" w:sz="4" w:space="0" w:color="C2D9BA"/>
            </w:tcBorders>
            <w:shd w:val="clear" w:color="auto" w:fill="auto"/>
          </w:tcPr>
          <w:p w14:paraId="7DCA7F74" w14:textId="77777777" w:rsidR="00A93E39" w:rsidRPr="0038658B" w:rsidRDefault="00A93E39"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5C887E60" w14:textId="77777777" w:rsidR="00A93E39" w:rsidRDefault="00A93E39" w:rsidP="002147D2">
            <w:pPr>
              <w:pStyle w:val="TableText"/>
            </w:pPr>
            <w:r>
              <w:t>These medicines are both given by infusion.</w:t>
            </w:r>
          </w:p>
          <w:p w14:paraId="7B64FED0" w14:textId="77777777" w:rsidR="00A93E39" w:rsidRDefault="00A93E39" w:rsidP="00A93E39">
            <w:pPr>
              <w:pStyle w:val="TableText"/>
            </w:pPr>
            <w:r>
              <w:t xml:space="preserve">Both medicines would be given </w:t>
            </w:r>
            <w:r w:rsidRPr="009D213E">
              <w:t>every</w:t>
            </w:r>
            <w:r>
              <w:t xml:space="preserve"> three weeks </w:t>
            </w:r>
            <w:r w:rsidRPr="009D213E">
              <w:t xml:space="preserve">until disease progression </w:t>
            </w:r>
            <w:r>
              <w:t>(</w:t>
            </w:r>
            <w:r w:rsidRPr="009D213E">
              <w:t xml:space="preserve">or </w:t>
            </w:r>
            <w:r>
              <w:t xml:space="preserve">unacceptable </w:t>
            </w:r>
            <w:r w:rsidRPr="009D213E">
              <w:t>toxicity</w:t>
            </w:r>
            <w:r>
              <w:t>).</w:t>
            </w:r>
          </w:p>
        </w:tc>
      </w:tr>
      <w:tr w:rsidR="00A93E39" w14:paraId="06955CEC" w14:textId="77777777" w:rsidTr="00290AF3">
        <w:trPr>
          <w:cantSplit/>
        </w:trPr>
        <w:tc>
          <w:tcPr>
            <w:tcW w:w="2020" w:type="dxa"/>
            <w:tcBorders>
              <w:top w:val="single" w:sz="4" w:space="0" w:color="C2D9BA"/>
              <w:bottom w:val="single" w:sz="4" w:space="0" w:color="C2D9BA"/>
            </w:tcBorders>
            <w:shd w:val="clear" w:color="auto" w:fill="auto"/>
          </w:tcPr>
          <w:p w14:paraId="7E604764" w14:textId="77777777" w:rsidR="00A93E39" w:rsidRPr="0038658B" w:rsidRDefault="00A93E39"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4E9FB672" w14:textId="77777777" w:rsidR="00A93E39" w:rsidRDefault="00A93E39" w:rsidP="002147D2">
            <w:pPr>
              <w:pStyle w:val="TableText"/>
            </w:pPr>
            <w:r>
              <w:t>This would provide an active treatment option, where currently there is none, with the potential clinical benefit described above.</w:t>
            </w:r>
          </w:p>
          <w:p w14:paraId="60271BA3" w14:textId="77777777" w:rsidR="00A93E39" w:rsidRDefault="00A93E39" w:rsidP="002147D2">
            <w:pPr>
              <w:pStyle w:val="TableText"/>
            </w:pPr>
            <w:r>
              <w:t>This would mean that, compared with the current approach, there would be more treatment appointments to attend and more follow-up visits. Both medicines would be administered in the outpatient infusion centre, so patients would need to travel, but there would be no prescription charge. There may be other medicines needed to manage side effects that may have a prescription charge. This treatment is associated with an increased risk of potentially fatal gastro-oesophageal variceal bleeding.</w:t>
            </w:r>
          </w:p>
          <w:p w14:paraId="575C2F74" w14:textId="77777777" w:rsidR="00A93E39" w:rsidRDefault="00A93E39" w:rsidP="002147D2">
            <w:pPr>
              <w:pStyle w:val="TableText"/>
            </w:pPr>
            <w:r>
              <w:t>There are some particular side effects associated with immune checkpoint inhibitors that are quite different to the side effects of chemotherapy. These can develop long after treatment has stopped and may require specialised management.</w:t>
            </w:r>
          </w:p>
        </w:tc>
      </w:tr>
      <w:tr w:rsidR="00A93E39" w14:paraId="1A572EAE" w14:textId="77777777" w:rsidTr="00290AF3">
        <w:trPr>
          <w:cantSplit/>
        </w:trPr>
        <w:tc>
          <w:tcPr>
            <w:tcW w:w="2020" w:type="dxa"/>
            <w:tcBorders>
              <w:top w:val="single" w:sz="4" w:space="0" w:color="C2D9BA"/>
              <w:bottom w:val="single" w:sz="4" w:space="0" w:color="C2D9BA"/>
            </w:tcBorders>
            <w:shd w:val="clear" w:color="auto" w:fill="auto"/>
          </w:tcPr>
          <w:p w14:paraId="2B1A6CCD" w14:textId="77777777" w:rsidR="00A93E39" w:rsidRPr="0038658B" w:rsidRDefault="00A93E39"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2FCCCE9D" w14:textId="77777777" w:rsidR="00A93E39" w:rsidRDefault="00A93E39" w:rsidP="002147D2">
            <w:pPr>
              <w:pStyle w:val="TableText"/>
            </w:pPr>
            <w:r w:rsidRPr="00614693">
              <w:t xml:space="preserve">Additional </w:t>
            </w:r>
            <w:r>
              <w:t>treatment appointments required.</w:t>
            </w:r>
          </w:p>
          <w:p w14:paraId="5F1F2437" w14:textId="77777777" w:rsidR="00A93E39" w:rsidRDefault="00A93E39" w:rsidP="002147D2">
            <w:pPr>
              <w:pStyle w:val="TableText"/>
            </w:pPr>
            <w:r>
              <w:t xml:space="preserve">Additional </w:t>
            </w:r>
            <w:r w:rsidRPr="00614693">
              <w:t>follow-up appointments required.</w:t>
            </w:r>
          </w:p>
          <w:p w14:paraId="48BD4140" w14:textId="77777777" w:rsidR="00A93E39" w:rsidRDefault="00A93E39" w:rsidP="002147D2">
            <w:pPr>
              <w:pStyle w:val="TableText"/>
            </w:pPr>
            <w:r w:rsidRPr="00614693">
              <w:t xml:space="preserve">Additional chair time </w:t>
            </w:r>
            <w:r>
              <w:t>for administration of treatment required</w:t>
            </w:r>
            <w:r w:rsidRPr="00614693">
              <w:t>.</w:t>
            </w:r>
          </w:p>
          <w:p w14:paraId="1F7D03FA" w14:textId="77777777" w:rsidR="00A93E39" w:rsidRDefault="00A93E39" w:rsidP="002147D2">
            <w:pPr>
              <w:pStyle w:val="TableText"/>
            </w:pPr>
            <w:r w:rsidRPr="00614693">
              <w:t>Increased demand for laboratory</w:t>
            </w:r>
            <w:r>
              <w:t xml:space="preserve"> and pathology services to monitor for treatment toxicities.</w:t>
            </w:r>
          </w:p>
          <w:p w14:paraId="1A0E4B7D" w14:textId="77777777" w:rsidR="00A93E39" w:rsidRDefault="00A93E39" w:rsidP="002147D2">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3172C0B2" w14:textId="77777777" w:rsidR="00A93E39" w:rsidRDefault="00A93E39" w:rsidP="002147D2">
            <w:pPr>
              <w:pStyle w:val="TableText"/>
            </w:pPr>
            <w:r>
              <w:t>Increased demand for supportive care and toxicity management (including health care professionals’ time and pharmaceuticals).</w:t>
            </w:r>
          </w:p>
        </w:tc>
      </w:tr>
    </w:tbl>
    <w:p w14:paraId="1DA67DAA" w14:textId="77777777" w:rsidR="0038658B" w:rsidRPr="0038658B" w:rsidRDefault="0038658B" w:rsidP="00A93E39"/>
    <w:p w14:paraId="172F9BEE" w14:textId="77777777" w:rsidR="00C338E8" w:rsidRDefault="006D7F10" w:rsidP="00A93E39">
      <w:pPr>
        <w:pStyle w:val="Heading4"/>
      </w:pPr>
      <w:bookmarkStart w:id="404" w:name="_Toc100739066"/>
      <w:bookmarkEnd w:id="403"/>
      <w:r>
        <w:t>Epidemiology of liver cancer</w:t>
      </w:r>
      <w:bookmarkEnd w:id="404"/>
    </w:p>
    <w:p w14:paraId="187DC3A5" w14:textId="77777777" w:rsidR="00C338E8" w:rsidRDefault="006D7F10" w:rsidP="00A93E39">
      <w:pPr>
        <w:pStyle w:val="Heading5"/>
      </w:pPr>
      <w:r w:rsidRPr="001043A2">
        <w:t>Incidence</w:t>
      </w:r>
    </w:p>
    <w:p w14:paraId="2BC73DAD" w14:textId="77777777" w:rsidR="00C338E8" w:rsidRDefault="006D7F10" w:rsidP="00A93E39">
      <w:r w:rsidRPr="001043A2">
        <w:t xml:space="preserve">Liver cancers, of which the vast majority are </w:t>
      </w:r>
      <w:r>
        <w:t>hepatocellular carcinomas</w:t>
      </w:r>
      <w:r w:rsidRPr="001043A2">
        <w:t xml:space="preserve">, are the </w:t>
      </w:r>
      <w:r>
        <w:t>thirteenth</w:t>
      </w:r>
      <w:r w:rsidRPr="001043A2">
        <w:t xml:space="preserve"> most common cancer in </w:t>
      </w:r>
      <w:r>
        <w:t>Aotearoa</w:t>
      </w:r>
      <w:r w:rsidRPr="001043A2">
        <w:t xml:space="preserve"> (</w:t>
      </w:r>
      <w:r>
        <w:t>ninth</w:t>
      </w:r>
      <w:r w:rsidRPr="001043A2">
        <w:t xml:space="preserve"> most common for Māori) – with an average of 315 people diagnosed </w:t>
      </w:r>
      <w:r>
        <w:t>each</w:t>
      </w:r>
      <w:r w:rsidRPr="001043A2">
        <w:t xml:space="preserve"> year, including 66 Māori. Liver cancer is more common among males than females, with around two-thirds of all cases occurring among males</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043A2">
        <w:t>.</w:t>
      </w:r>
      <w:r>
        <w:t xml:space="preserve"> </w:t>
      </w:r>
      <w:r w:rsidRPr="001043A2">
        <w:t xml:space="preserve">There are substantial disparities in the incidence of liver cancer between Māori and non-Māori, with the rate for Māori three times higher than </w:t>
      </w:r>
      <w:r>
        <w:t xml:space="preserve">that </w:t>
      </w:r>
      <w:r w:rsidRPr="001043A2">
        <w:t>for non-Māori (7 per 100,000 for Māori, 2 per 100,000 for non-Māori</w:t>
      </w:r>
      <w:r>
        <w:t xml:space="preserve">) </w:t>
      </w:r>
      <w:r>
        <w:rPr>
          <w:noProof/>
        </w:rPr>
        <w:t xml:space="preserve">(Gurney, Robson, </w:t>
      </w:r>
      <w:r w:rsidR="00C338E8">
        <w:rPr>
          <w:noProof/>
        </w:rPr>
        <w:t>et al</w:t>
      </w:r>
      <w:r w:rsidR="003B51F4">
        <w:rPr>
          <w:noProof/>
        </w:rPr>
        <w:t xml:space="preserve"> 2</w:t>
      </w:r>
      <w:r>
        <w:rPr>
          <w:noProof/>
        </w:rPr>
        <w:t>020)</w:t>
      </w:r>
      <w:r w:rsidRPr="001043A2">
        <w:t xml:space="preserve">. A similar pattern is seen for Pacific peoples, who have a rate of liver cancer of 8 per 100,000 compared </w:t>
      </w:r>
      <w:r>
        <w:t>with</w:t>
      </w:r>
      <w:r w:rsidRPr="001043A2">
        <w:t xml:space="preserve"> 2 per 100,000 </w:t>
      </w:r>
      <w:r>
        <w:t xml:space="preserve">for the </w:t>
      </w:r>
      <w:r w:rsidRPr="001043A2">
        <w:t>n</w:t>
      </w:r>
      <w:r>
        <w:t xml:space="preserve">on-Māori, non-Pacific, non-Asian population </w:t>
      </w:r>
      <w:r>
        <w:rPr>
          <w:noProof/>
        </w:rPr>
        <w:t>(</w:t>
      </w:r>
      <w:r w:rsidR="00F64599">
        <w:rPr>
          <w:noProof/>
        </w:rPr>
        <w:t>Te Aho</w:t>
      </w:r>
      <w:r>
        <w:rPr>
          <w:noProof/>
        </w:rPr>
        <w:t xml:space="preserve"> o </w:t>
      </w:r>
      <w:r w:rsidR="00B537E2">
        <w:rPr>
          <w:noProof/>
        </w:rPr>
        <w:t>Te Kahu</w:t>
      </w:r>
      <w:r>
        <w:rPr>
          <w:noProof/>
        </w:rPr>
        <w:t xml:space="preserve"> 2021a)</w:t>
      </w:r>
      <w:r w:rsidRPr="001043A2">
        <w:t>.</w:t>
      </w:r>
    </w:p>
    <w:p w14:paraId="1595DA2F" w14:textId="77777777" w:rsidR="00C338E8" w:rsidRDefault="00C338E8" w:rsidP="00A93E39"/>
    <w:p w14:paraId="30E009BA" w14:textId="77777777" w:rsidR="00C338E8" w:rsidRDefault="006D7F10" w:rsidP="00A93E39">
      <w:pPr>
        <w:pStyle w:val="Heading5"/>
      </w:pPr>
      <w:r w:rsidRPr="00090A22">
        <w:t>Stage at diagnosis</w:t>
      </w:r>
    </w:p>
    <w:p w14:paraId="1DE1F772" w14:textId="77777777" w:rsidR="00C338E8" w:rsidRDefault="006D7F10" w:rsidP="00A93E39">
      <w:r w:rsidRPr="001043A2">
        <w:t>Based on an audit of clinical notes between 2006</w:t>
      </w:r>
      <w:r>
        <w:t xml:space="preserve"> and </w:t>
      </w:r>
      <w:r w:rsidRPr="001043A2">
        <w:t xml:space="preserve">2008, more than </w:t>
      </w:r>
      <w:r>
        <w:t>one-</w:t>
      </w:r>
      <w:r w:rsidRPr="001043A2">
        <w:t>third (34</w:t>
      </w:r>
      <w:r w:rsidR="00F64599">
        <w:t> percent</w:t>
      </w:r>
      <w:r w:rsidRPr="001043A2">
        <w:t xml:space="preserve"> Māori, 38</w:t>
      </w:r>
      <w:r w:rsidR="00F64599">
        <w:t> percent</w:t>
      </w:r>
      <w:r w:rsidRPr="001043A2">
        <w:t xml:space="preserve"> non-Māori) of liver cancers are diagnosed at an advanced stage </w:t>
      </w:r>
      <w:r w:rsidRPr="001043A2">
        <w:rPr>
          <w:noProof/>
        </w:rPr>
        <w:t xml:space="preserve">(Chamberlain </w:t>
      </w:r>
      <w:r w:rsidR="00C338E8">
        <w:rPr>
          <w:noProof/>
        </w:rPr>
        <w:t>et al</w:t>
      </w:r>
      <w:r w:rsidR="003B51F4">
        <w:rPr>
          <w:noProof/>
        </w:rPr>
        <w:t xml:space="preserve"> 2</w:t>
      </w:r>
      <w:r w:rsidRPr="001043A2">
        <w:rPr>
          <w:noProof/>
        </w:rPr>
        <w:t>013)</w:t>
      </w:r>
      <w:r w:rsidRPr="001043A2">
        <w:t>.</w:t>
      </w:r>
    </w:p>
    <w:p w14:paraId="00DE7FD9" w14:textId="77777777" w:rsidR="00C338E8" w:rsidRDefault="00C338E8" w:rsidP="00A93E39"/>
    <w:p w14:paraId="72DB5A7B" w14:textId="77777777" w:rsidR="00C338E8" w:rsidRDefault="006D7F10" w:rsidP="00A93E39">
      <w:pPr>
        <w:pStyle w:val="Heading5"/>
      </w:pPr>
      <w:r w:rsidRPr="001043A2">
        <w:lastRenderedPageBreak/>
        <w:t>Survival</w:t>
      </w:r>
    </w:p>
    <w:p w14:paraId="642B18CB" w14:textId="77777777" w:rsidR="00C338E8" w:rsidRDefault="006D7F10" w:rsidP="00B004AC">
      <w:pPr>
        <w:keepNext/>
        <w:keepLines/>
      </w:pPr>
      <w:r w:rsidRPr="001043A2">
        <w:rPr>
          <w:bCs/>
        </w:rPr>
        <w:t>Those diagnosed with</w:t>
      </w:r>
      <w:r w:rsidRPr="001043A2">
        <w:t xml:space="preserve"> liver cancer have approximately 20</w:t>
      </w:r>
      <w:r w:rsidR="00F64599">
        <w:t> percent</w:t>
      </w:r>
      <w:r w:rsidRPr="001043A2">
        <w:t xml:space="preserve"> survival at </w:t>
      </w:r>
      <w:r>
        <w:t>five</w:t>
      </w:r>
      <w:r w:rsidRPr="001043A2">
        <w:t xml:space="preserve"> years (20</w:t>
      </w:r>
      <w:r w:rsidR="00F64599">
        <w:t> percent</w:t>
      </w:r>
      <w:r w:rsidRPr="001043A2">
        <w:t xml:space="preserve"> Māori, 22</w:t>
      </w:r>
      <w:r w:rsidR="00F64599">
        <w:t> percent</w:t>
      </w:r>
      <w:r w:rsidRPr="001043A2">
        <w:t xml:space="preserve"> non-Māori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 From 2007</w:t>
      </w:r>
      <w:r>
        <w:t>–</w:t>
      </w:r>
      <w:r w:rsidRPr="001043A2">
        <w:t>2016 data, Māori patients with liver cancer are 31</w:t>
      </w:r>
      <w:r w:rsidR="00F64599">
        <w:t> percent</w:t>
      </w:r>
      <w:r w:rsidRPr="001043A2">
        <w:t xml:space="preserve"> more likely to die than non-Māori patients with liver cancer</w:t>
      </w:r>
      <w:r>
        <w:t xml:space="preserve"> </w:t>
      </w:r>
      <w:r>
        <w:rPr>
          <w:noProof/>
        </w:rPr>
        <w:t xml:space="preserve">(Gurney, Stanley, McLeod, </w:t>
      </w:r>
      <w:r w:rsidR="00C338E8">
        <w:rPr>
          <w:noProof/>
        </w:rPr>
        <w:t>et al</w:t>
      </w:r>
      <w:r w:rsidR="003B51F4">
        <w:rPr>
          <w:noProof/>
        </w:rPr>
        <w:t xml:space="preserve"> 2</w:t>
      </w:r>
      <w:r>
        <w:rPr>
          <w:noProof/>
        </w:rPr>
        <w:t>020)</w:t>
      </w:r>
      <w:r w:rsidRPr="001043A2">
        <w:t>. Using staging data from the N</w:t>
      </w:r>
      <w:r>
        <w:t xml:space="preserve">ew </w:t>
      </w:r>
      <w:r w:rsidRPr="001043A2">
        <w:t>Z</w:t>
      </w:r>
      <w:r>
        <w:t>ealand</w:t>
      </w:r>
      <w:r w:rsidRPr="001043A2">
        <w:t xml:space="preserve"> Cancer Registry, survival disparities between Māori and non-Māori were found to be the strongest among those with either advanced or unstaged disease</w:t>
      </w:r>
      <w:r>
        <w:t xml:space="preserve"> </w:t>
      </w:r>
      <w:r>
        <w:rPr>
          <w:noProof/>
        </w:rPr>
        <w:t xml:space="preserve">(Gurney, Stanley, McLeod, </w:t>
      </w:r>
      <w:r w:rsidR="00C338E8">
        <w:rPr>
          <w:noProof/>
        </w:rPr>
        <w:t>et al</w:t>
      </w:r>
      <w:r w:rsidR="003B51F4">
        <w:rPr>
          <w:noProof/>
        </w:rPr>
        <w:t xml:space="preserve"> 2</w:t>
      </w:r>
      <w:r>
        <w:rPr>
          <w:noProof/>
        </w:rPr>
        <w:t>020)</w:t>
      </w:r>
      <w:r w:rsidRPr="001043A2">
        <w:t>.</w:t>
      </w:r>
    </w:p>
    <w:p w14:paraId="64630FB7" w14:textId="77777777" w:rsidR="00C338E8" w:rsidRDefault="00C338E8" w:rsidP="00A93E39"/>
    <w:p w14:paraId="475ED5DE" w14:textId="77777777" w:rsidR="00C338E8" w:rsidRDefault="006D7F10" w:rsidP="00A93E39">
      <w:pPr>
        <w:pStyle w:val="Heading5"/>
      </w:pPr>
      <w:r w:rsidRPr="001043A2">
        <w:t>Mortality</w:t>
      </w:r>
    </w:p>
    <w:p w14:paraId="1C3F7F31" w14:textId="77777777" w:rsidR="00C338E8" w:rsidRDefault="006D7F10" w:rsidP="00A93E39">
      <w:r w:rsidRPr="001043A2">
        <w:rPr>
          <w:bCs/>
        </w:rPr>
        <w:t xml:space="preserve">On average over the last decade, there have been </w:t>
      </w:r>
      <w:r w:rsidRPr="001043A2">
        <w:t xml:space="preserve">234 deaths </w:t>
      </w:r>
      <w:r>
        <w:t>each</w:t>
      </w:r>
      <w:r w:rsidRPr="001043A2">
        <w:t xml:space="preserve"> year from liver cancer, including 43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043A2">
        <w:t xml:space="preserve">. Mortality rates for liver cancer are nearly three times higher for Māori compared with non-Māori (5 per 100,000 Māori compared with 2 per 100,000 non-Māori). Mortality from liver cancer in Pacific peoples (6 per 100,000) is also higher compared with </w:t>
      </w:r>
      <w:r>
        <w:t xml:space="preserve">the </w:t>
      </w:r>
      <w:r w:rsidRPr="001043A2">
        <w:t>non-Māori</w:t>
      </w:r>
      <w:r>
        <w:t>, non-</w:t>
      </w:r>
      <w:r w:rsidRPr="001043A2">
        <w:t>Pacific</w:t>
      </w:r>
      <w:r>
        <w:t>, non-</w:t>
      </w:r>
      <w:r w:rsidRPr="001043A2">
        <w:t xml:space="preserve">Asian </w:t>
      </w:r>
      <w:r>
        <w:t>population</w:t>
      </w:r>
      <w:r w:rsidRPr="001043A2">
        <w:t xml:space="preserve"> (2 per 100,000).</w:t>
      </w:r>
    </w:p>
    <w:p w14:paraId="4AFF3099" w14:textId="77777777" w:rsidR="00C338E8" w:rsidRDefault="00C338E8" w:rsidP="00A93E39"/>
    <w:p w14:paraId="3AF84775" w14:textId="77777777" w:rsidR="00C338E8" w:rsidRDefault="006D7F10" w:rsidP="007B1486">
      <w:pPr>
        <w:pStyle w:val="Heading3"/>
        <w:keepNext w:val="0"/>
        <w:pageBreakBefore/>
        <w:spacing w:before="0"/>
      </w:pPr>
      <w:bookmarkStart w:id="405" w:name="_Toc100739067"/>
      <w:r>
        <w:lastRenderedPageBreak/>
        <w:t>Bowel cancer</w:t>
      </w:r>
      <w:bookmarkEnd w:id="405"/>
    </w:p>
    <w:p w14:paraId="61DA203B" w14:textId="77777777" w:rsidR="006D7F10" w:rsidRDefault="006D7F10" w:rsidP="007B1486">
      <w:pPr>
        <w:pStyle w:val="Table"/>
      </w:pPr>
      <w:bookmarkStart w:id="406" w:name="_Toc101365624"/>
      <w:bookmarkStart w:id="407" w:name="Appendix_7_Table_7point8"/>
      <w:r>
        <w:t>Table</w:t>
      </w:r>
      <w:r w:rsidR="007B1486">
        <w:t> </w:t>
      </w:r>
      <w:r>
        <w:t>7.8: Cetuximab or panitumumab for bowel cancer – first-line therapy</w:t>
      </w:r>
      <w:bookmarkEnd w:id="40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1808"/>
        <w:gridCol w:w="425"/>
        <w:gridCol w:w="3827"/>
      </w:tblGrid>
      <w:tr w:rsidR="007B1486" w14:paraId="713A0AD5" w14:textId="77777777" w:rsidTr="00290AF3">
        <w:trPr>
          <w:cantSplit/>
        </w:trPr>
        <w:tc>
          <w:tcPr>
            <w:tcW w:w="2020" w:type="dxa"/>
            <w:tcBorders>
              <w:top w:val="nil"/>
              <w:bottom w:val="nil"/>
            </w:tcBorders>
            <w:shd w:val="clear" w:color="auto" w:fill="C2D9BA"/>
          </w:tcPr>
          <w:p w14:paraId="08135147" w14:textId="77777777" w:rsidR="007B1486" w:rsidRPr="00181CD3" w:rsidRDefault="007B1486" w:rsidP="00290AF3">
            <w:pPr>
              <w:pStyle w:val="TableText"/>
              <w:ind w:right="113"/>
              <w:rPr>
                <w:b/>
              </w:rPr>
            </w:pPr>
            <w:r w:rsidRPr="00181CD3">
              <w:rPr>
                <w:b/>
              </w:rPr>
              <w:t>Indication description</w:t>
            </w:r>
          </w:p>
        </w:tc>
        <w:tc>
          <w:tcPr>
            <w:tcW w:w="6060" w:type="dxa"/>
            <w:gridSpan w:val="3"/>
            <w:tcBorders>
              <w:top w:val="nil"/>
              <w:bottom w:val="nil"/>
            </w:tcBorders>
            <w:shd w:val="clear" w:color="auto" w:fill="C2D9BA"/>
          </w:tcPr>
          <w:p w14:paraId="6821BC19" w14:textId="77777777" w:rsidR="007B1486" w:rsidRDefault="007B1486" w:rsidP="002147D2">
            <w:pPr>
              <w:pStyle w:val="TableText"/>
            </w:pPr>
            <w:r>
              <w:t>Colorectal cancer (CRC), metastatic, RAS wild-type, first-line therapy</w:t>
            </w:r>
          </w:p>
        </w:tc>
      </w:tr>
      <w:tr w:rsidR="007B1486" w14:paraId="529A7226" w14:textId="77777777" w:rsidTr="00290AF3">
        <w:trPr>
          <w:cantSplit/>
        </w:trPr>
        <w:tc>
          <w:tcPr>
            <w:tcW w:w="2020" w:type="dxa"/>
            <w:tcBorders>
              <w:top w:val="single" w:sz="4" w:space="0" w:color="C2D9BA"/>
              <w:bottom w:val="single" w:sz="4" w:space="0" w:color="C2D9BA"/>
            </w:tcBorders>
            <w:shd w:val="clear" w:color="auto" w:fill="E7F0E3"/>
          </w:tcPr>
          <w:p w14:paraId="5ABE81F7" w14:textId="77777777" w:rsidR="007B1486" w:rsidRPr="00181CD3" w:rsidRDefault="007B1486" w:rsidP="007B1486">
            <w:pPr>
              <w:pStyle w:val="TableText"/>
              <w:ind w:right="113"/>
              <w:rPr>
                <w:b/>
              </w:rPr>
            </w:pPr>
            <w:r w:rsidRPr="00181CD3">
              <w:rPr>
                <w:b/>
              </w:rPr>
              <w:t>Medicine option to fill the gap</w:t>
            </w:r>
          </w:p>
        </w:tc>
        <w:tc>
          <w:tcPr>
            <w:tcW w:w="6060" w:type="dxa"/>
            <w:gridSpan w:val="3"/>
            <w:tcBorders>
              <w:top w:val="single" w:sz="4" w:space="0" w:color="C2D9BA"/>
              <w:bottom w:val="single" w:sz="4" w:space="0" w:color="C2D9BA"/>
            </w:tcBorders>
            <w:shd w:val="clear" w:color="auto" w:fill="E7F0E3"/>
          </w:tcPr>
          <w:p w14:paraId="598CD2D8" w14:textId="77777777" w:rsidR="007B1486" w:rsidRDefault="007B1486" w:rsidP="002147D2">
            <w:pPr>
              <w:pStyle w:val="TableText"/>
            </w:pPr>
            <w:r>
              <w:t>Cetuximab (used in combination with chemotherapy)</w:t>
            </w:r>
          </w:p>
          <w:p w14:paraId="0A819AD0" w14:textId="77777777" w:rsidR="007B1486" w:rsidRDefault="007B1486" w:rsidP="002147D2">
            <w:pPr>
              <w:pStyle w:val="TableText"/>
            </w:pPr>
            <w:r>
              <w:t>OR</w:t>
            </w:r>
          </w:p>
          <w:p w14:paraId="291CD815" w14:textId="77777777" w:rsidR="007B1486" w:rsidRDefault="007B1486" w:rsidP="002147D2">
            <w:pPr>
              <w:pStyle w:val="TableText"/>
            </w:pPr>
            <w:r>
              <w:t>Panitumumab (used in combination with chemotherapy)</w:t>
            </w:r>
          </w:p>
        </w:tc>
      </w:tr>
      <w:tr w:rsidR="007B1486" w14:paraId="4E45128C" w14:textId="77777777" w:rsidTr="00290AF3">
        <w:trPr>
          <w:cantSplit/>
        </w:trPr>
        <w:tc>
          <w:tcPr>
            <w:tcW w:w="2020" w:type="dxa"/>
            <w:tcBorders>
              <w:top w:val="single" w:sz="4" w:space="0" w:color="C2D9BA"/>
              <w:bottom w:val="single" w:sz="4" w:space="0" w:color="C2D9BA"/>
            </w:tcBorders>
            <w:shd w:val="clear" w:color="auto" w:fill="auto"/>
          </w:tcPr>
          <w:p w14:paraId="0A19F174" w14:textId="77777777" w:rsidR="007B1486" w:rsidRPr="00181CD3" w:rsidRDefault="007B1486" w:rsidP="00290AF3">
            <w:pPr>
              <w:pStyle w:val="TableText"/>
              <w:ind w:right="113"/>
              <w:rPr>
                <w:b/>
              </w:rPr>
            </w:pPr>
            <w:r w:rsidRPr="00181CD3">
              <w:rPr>
                <w:b/>
              </w:rPr>
              <w:t>Descripti</w:t>
            </w:r>
            <w:r>
              <w:rPr>
                <w:b/>
              </w:rPr>
              <w:t>on of medicine class</w:t>
            </w:r>
          </w:p>
        </w:tc>
        <w:tc>
          <w:tcPr>
            <w:tcW w:w="6060" w:type="dxa"/>
            <w:gridSpan w:val="3"/>
            <w:tcBorders>
              <w:top w:val="single" w:sz="4" w:space="0" w:color="C2D9BA"/>
              <w:bottom w:val="single" w:sz="4" w:space="0" w:color="C2D9BA"/>
            </w:tcBorders>
            <w:shd w:val="clear" w:color="auto" w:fill="auto"/>
          </w:tcPr>
          <w:p w14:paraId="205093DC" w14:textId="77777777" w:rsidR="007B1486" w:rsidRDefault="007B1486" w:rsidP="002147D2">
            <w:pPr>
              <w:pStyle w:val="TableText"/>
            </w:pPr>
            <w:r>
              <w:t>Targeted therapy (monoclonal antibodies targeting the EGFR protein)</w:t>
            </w:r>
          </w:p>
        </w:tc>
      </w:tr>
      <w:tr w:rsidR="007B1486" w14:paraId="4C90E7FF" w14:textId="77777777" w:rsidTr="00290AF3">
        <w:trPr>
          <w:cantSplit/>
        </w:trPr>
        <w:tc>
          <w:tcPr>
            <w:tcW w:w="2020" w:type="dxa"/>
            <w:tcBorders>
              <w:top w:val="single" w:sz="4" w:space="0" w:color="C2D9BA"/>
              <w:bottom w:val="single" w:sz="4" w:space="0" w:color="C2D9BA"/>
            </w:tcBorders>
            <w:shd w:val="clear" w:color="auto" w:fill="auto"/>
          </w:tcPr>
          <w:p w14:paraId="4AE56478" w14:textId="77777777" w:rsidR="007B1486" w:rsidRPr="00181CD3" w:rsidRDefault="007B1486" w:rsidP="00290AF3">
            <w:pPr>
              <w:pStyle w:val="TableText"/>
              <w:ind w:right="113"/>
              <w:rPr>
                <w:b/>
              </w:rPr>
            </w:pPr>
            <w:r w:rsidRPr="00181CD3">
              <w:rPr>
                <w:b/>
              </w:rPr>
              <w:t>Intent of treatment</w:t>
            </w:r>
          </w:p>
        </w:tc>
        <w:tc>
          <w:tcPr>
            <w:tcW w:w="6060" w:type="dxa"/>
            <w:gridSpan w:val="3"/>
            <w:tcBorders>
              <w:top w:val="single" w:sz="4" w:space="0" w:color="C2D9BA"/>
              <w:bottom w:val="single" w:sz="4" w:space="0" w:color="C2D9BA"/>
            </w:tcBorders>
            <w:shd w:val="clear" w:color="auto" w:fill="auto"/>
          </w:tcPr>
          <w:p w14:paraId="5D4C20BD" w14:textId="77777777" w:rsidR="007B1486" w:rsidRDefault="007B1486" w:rsidP="002147D2">
            <w:pPr>
              <w:pStyle w:val="TableText"/>
            </w:pPr>
            <w:r>
              <w:t>Non-curative</w:t>
            </w:r>
          </w:p>
        </w:tc>
      </w:tr>
      <w:tr w:rsidR="007B1486" w14:paraId="4307AE7B" w14:textId="77777777" w:rsidTr="00290AF3">
        <w:trPr>
          <w:cantSplit/>
        </w:trPr>
        <w:tc>
          <w:tcPr>
            <w:tcW w:w="2020" w:type="dxa"/>
            <w:vMerge w:val="restart"/>
            <w:tcBorders>
              <w:top w:val="single" w:sz="4" w:space="0" w:color="C2D9BA"/>
            </w:tcBorders>
            <w:shd w:val="clear" w:color="auto" w:fill="auto"/>
          </w:tcPr>
          <w:p w14:paraId="6E210CB5" w14:textId="77777777" w:rsidR="007B1486" w:rsidRPr="00181CD3" w:rsidRDefault="007B1486" w:rsidP="00290AF3">
            <w:pPr>
              <w:pStyle w:val="TableText"/>
              <w:ind w:right="113"/>
              <w:rPr>
                <w:b/>
              </w:rPr>
            </w:pPr>
            <w:r w:rsidRPr="00181CD3">
              <w:rPr>
                <w:b/>
              </w:rPr>
              <w:t>Pharmac status at time of analysis</w:t>
            </w:r>
          </w:p>
        </w:tc>
        <w:tc>
          <w:tcPr>
            <w:tcW w:w="6060" w:type="dxa"/>
            <w:gridSpan w:val="3"/>
            <w:tcBorders>
              <w:top w:val="single" w:sz="4" w:space="0" w:color="C2D9BA"/>
              <w:bottom w:val="single" w:sz="4" w:space="0" w:color="C2D9BA"/>
            </w:tcBorders>
            <w:shd w:val="clear" w:color="auto" w:fill="auto"/>
          </w:tcPr>
          <w:p w14:paraId="04F16B40" w14:textId="77777777" w:rsidR="007B1486" w:rsidRDefault="007B1486" w:rsidP="002147D2">
            <w:pPr>
              <w:pStyle w:val="TableText"/>
            </w:pPr>
            <w:r w:rsidRPr="002147D2">
              <w:rPr>
                <w:b/>
              </w:rPr>
              <w:t>Cetuximab:</w:t>
            </w:r>
            <w:r w:rsidRPr="001043A2">
              <w:t xml:space="preserve"> multiple applications</w:t>
            </w:r>
            <w:r>
              <w:t xml:space="preserve"> received</w:t>
            </w:r>
          </w:p>
          <w:p w14:paraId="3CAC3484" w14:textId="77777777" w:rsidR="007B1486" w:rsidRPr="007B1486" w:rsidRDefault="007B1486" w:rsidP="002147D2">
            <w:pPr>
              <w:pStyle w:val="TableText"/>
            </w:pPr>
            <w:r w:rsidRPr="001043A2">
              <w:t>One application</w:t>
            </w:r>
            <w:r>
              <w:t xml:space="preserve"> related to this gap is </w:t>
            </w:r>
            <w:r w:rsidRPr="001D5042">
              <w:t>ranked as an option for investment</w:t>
            </w:r>
            <w:r w:rsidRPr="001043A2">
              <w:t xml:space="preserve"> </w:t>
            </w:r>
            <w:r>
              <w:t xml:space="preserve">– this </w:t>
            </w:r>
            <w:r w:rsidRPr="007B1486">
              <w:t>means that this would be funded if the budget allowed.</w:t>
            </w:r>
          </w:p>
          <w:p w14:paraId="3567839F" w14:textId="77777777" w:rsidR="007B1486" w:rsidRPr="007B1486" w:rsidRDefault="007B1486" w:rsidP="002147D2">
            <w:pPr>
              <w:pStyle w:val="TableText"/>
            </w:pPr>
            <w:r>
              <w:t>Two</w:t>
            </w:r>
            <w:r w:rsidRPr="001043A2">
              <w:t xml:space="preserve"> applications</w:t>
            </w:r>
            <w:r>
              <w:t xml:space="preserve"> related to this gap are under consultation as options for decline – this </w:t>
            </w:r>
            <w:r w:rsidRPr="007B1486">
              <w:t>means these would not be funded, even if budget allowed, unless new information came to light, and Pharmac is seeking feedback on declining this application.</w:t>
            </w:r>
          </w:p>
          <w:p w14:paraId="5F31322B" w14:textId="77777777" w:rsidR="007B1486" w:rsidRDefault="007B1486" w:rsidP="002147D2">
            <w:pPr>
              <w:pStyle w:val="TableText"/>
            </w:pPr>
            <w:r>
              <w:t>Note: At the time of publication, Pharmac status has been updated to ‘decision made’ for the two ‘options for decline’ applications. These two applications have now been declined. This means that Pharmac has decided these options will not be funded. This</w:t>
            </w:r>
            <w:r w:rsidRPr="00CD0EC2">
              <w:t xml:space="preserve"> does not prevent Pharmac from reconsidering funding</w:t>
            </w:r>
            <w:r>
              <w:t xml:space="preserve"> if </w:t>
            </w:r>
            <w:r w:rsidRPr="00CD0EC2">
              <w:t>new evidence or other relevant information becomes available.</w:t>
            </w:r>
          </w:p>
          <w:p w14:paraId="7D5E796E" w14:textId="77777777" w:rsidR="007B1486" w:rsidRDefault="007B1486" w:rsidP="002147D2">
            <w:pPr>
              <w:pStyle w:val="TableText"/>
            </w:pPr>
            <w:r>
              <w:t>The other application remains an option for investment.</w:t>
            </w:r>
          </w:p>
          <w:p w14:paraId="2C655AB0" w14:textId="77777777" w:rsidR="007B1486" w:rsidRDefault="0056499C" w:rsidP="002147D2">
            <w:pPr>
              <w:pStyle w:val="TableText"/>
              <w:rPr>
                <w:rStyle w:val="Hyperlink"/>
                <w:rFonts w:eastAsia="MS Gothic"/>
              </w:rPr>
            </w:pPr>
            <w:hyperlink r:id="rId97" w:history="1">
              <w:r w:rsidR="007B1486" w:rsidRPr="00350F67">
                <w:rPr>
                  <w:rStyle w:val="Hyperlink"/>
                  <w:rFonts w:eastAsia="MS Gothic"/>
                </w:rPr>
                <w:t>https://connect.pharmac.govt.nz/apptracker/s/application-public/a102P000008ptyE/p000352</w:t>
              </w:r>
            </w:hyperlink>
          </w:p>
          <w:p w14:paraId="4754D0CD" w14:textId="77777777" w:rsidR="007B1486" w:rsidRDefault="0056499C" w:rsidP="002147D2">
            <w:pPr>
              <w:pStyle w:val="TableText"/>
            </w:pPr>
            <w:hyperlink r:id="rId98" w:history="1">
              <w:r w:rsidR="007B1486" w:rsidRPr="00350F67">
                <w:rPr>
                  <w:rStyle w:val="Hyperlink"/>
                  <w:rFonts w:eastAsia="MS Gothic"/>
                </w:rPr>
                <w:t>https://connect.pharmac.govt.nz/apptracker/s/application-public/a102P000008ptuD/p000218</w:t>
              </w:r>
            </w:hyperlink>
          </w:p>
          <w:p w14:paraId="1BDB3186" w14:textId="77777777" w:rsidR="007B1486" w:rsidRDefault="0056499C" w:rsidP="002147D2">
            <w:pPr>
              <w:pStyle w:val="TableText"/>
            </w:pPr>
            <w:hyperlink r:id="rId99" w:history="1">
              <w:r w:rsidR="007B1486" w:rsidRPr="00350F67">
                <w:rPr>
                  <w:rStyle w:val="Hyperlink"/>
                  <w:rFonts w:eastAsia="MS Gothic"/>
                </w:rPr>
                <w:t>https://connect.pharmac.govt.nz/apptracker/s/application-public/a102P000008puV2/p001111</w:t>
              </w:r>
            </w:hyperlink>
          </w:p>
        </w:tc>
      </w:tr>
      <w:tr w:rsidR="007B1486" w:rsidRPr="005C7CC8" w14:paraId="3C9449EB" w14:textId="77777777" w:rsidTr="002147D2">
        <w:trPr>
          <w:cantSplit/>
        </w:trPr>
        <w:tc>
          <w:tcPr>
            <w:tcW w:w="2020" w:type="dxa"/>
            <w:vMerge/>
            <w:tcBorders>
              <w:bottom w:val="single" w:sz="4" w:space="0" w:color="C2D9BA"/>
            </w:tcBorders>
            <w:shd w:val="clear" w:color="auto" w:fill="auto"/>
          </w:tcPr>
          <w:p w14:paraId="18BD857E" w14:textId="77777777" w:rsidR="007B1486" w:rsidRPr="00181CD3" w:rsidRDefault="007B1486" w:rsidP="00290AF3">
            <w:pPr>
              <w:pStyle w:val="TableText"/>
              <w:rPr>
                <w:b/>
              </w:rPr>
            </w:pPr>
          </w:p>
        </w:tc>
        <w:tc>
          <w:tcPr>
            <w:tcW w:w="6060" w:type="dxa"/>
            <w:gridSpan w:val="3"/>
            <w:tcBorders>
              <w:top w:val="single" w:sz="4" w:space="0" w:color="C2D9BA"/>
              <w:bottom w:val="single" w:sz="4" w:space="0" w:color="C2D9BA"/>
            </w:tcBorders>
            <w:shd w:val="clear" w:color="auto" w:fill="auto"/>
          </w:tcPr>
          <w:p w14:paraId="39B70053" w14:textId="77777777" w:rsidR="007B1486" w:rsidRPr="005C7CC8" w:rsidRDefault="002147D2" w:rsidP="002147D2">
            <w:pPr>
              <w:pStyle w:val="TableText"/>
              <w:rPr>
                <w:u w:val="single"/>
              </w:rPr>
            </w:pPr>
            <w:r w:rsidRPr="002147D2">
              <w:rPr>
                <w:b/>
              </w:rPr>
              <w:t>Panitumumab:</w:t>
            </w:r>
            <w:r w:rsidRPr="001043A2">
              <w:t xml:space="preserve"> no application received</w:t>
            </w:r>
            <w:r>
              <w:t>.</w:t>
            </w:r>
          </w:p>
        </w:tc>
      </w:tr>
      <w:tr w:rsidR="002147D2" w14:paraId="6506592B" w14:textId="77777777" w:rsidTr="002147D2">
        <w:trPr>
          <w:cantSplit/>
        </w:trPr>
        <w:tc>
          <w:tcPr>
            <w:tcW w:w="2020" w:type="dxa"/>
            <w:vMerge w:val="restart"/>
            <w:tcBorders>
              <w:top w:val="single" w:sz="4" w:space="0" w:color="C2D9BA"/>
              <w:bottom w:val="single" w:sz="4" w:space="0" w:color="C2D9BA"/>
            </w:tcBorders>
            <w:shd w:val="clear" w:color="auto" w:fill="auto"/>
          </w:tcPr>
          <w:p w14:paraId="1FE48714" w14:textId="77777777" w:rsidR="002147D2" w:rsidRPr="0038658B" w:rsidRDefault="002147D2" w:rsidP="00290AF3">
            <w:pPr>
              <w:pStyle w:val="TableText"/>
              <w:ind w:right="113"/>
              <w:rPr>
                <w:b/>
              </w:rPr>
            </w:pPr>
            <w:r w:rsidRPr="0038658B">
              <w:rPr>
                <w:b/>
              </w:rPr>
              <w:t>ESMO-MCBS clinical benefit score and summary of data informing the score</w:t>
            </w:r>
          </w:p>
        </w:tc>
        <w:tc>
          <w:tcPr>
            <w:tcW w:w="1808" w:type="dxa"/>
            <w:tcBorders>
              <w:top w:val="single" w:sz="4" w:space="0" w:color="C2D9BA"/>
              <w:bottom w:val="single" w:sz="4" w:space="0" w:color="C2D9BA"/>
            </w:tcBorders>
            <w:shd w:val="clear" w:color="auto" w:fill="auto"/>
          </w:tcPr>
          <w:p w14:paraId="1D1EC16A" w14:textId="77777777" w:rsidR="002147D2" w:rsidRDefault="002147D2" w:rsidP="002147D2">
            <w:pPr>
              <w:pStyle w:val="TableText"/>
            </w:pPr>
            <w:r>
              <w:t>Cetuximab</w:t>
            </w:r>
            <w:r>
              <w:br/>
              <w:t>(with chemotherapy)</w:t>
            </w:r>
          </w:p>
        </w:tc>
        <w:tc>
          <w:tcPr>
            <w:tcW w:w="425" w:type="dxa"/>
            <w:tcBorders>
              <w:top w:val="single" w:sz="4" w:space="0" w:color="C2D9BA"/>
              <w:bottom w:val="single" w:sz="4" w:space="0" w:color="C2D9BA"/>
            </w:tcBorders>
            <w:shd w:val="clear" w:color="auto" w:fill="auto"/>
          </w:tcPr>
          <w:p w14:paraId="3FEECD5C" w14:textId="77777777" w:rsidR="002147D2" w:rsidRDefault="002147D2" w:rsidP="002147D2">
            <w:pPr>
              <w:pStyle w:val="TableText"/>
              <w:jc w:val="center"/>
            </w:pPr>
            <w:r>
              <w:t>4</w:t>
            </w:r>
          </w:p>
        </w:tc>
        <w:tc>
          <w:tcPr>
            <w:tcW w:w="3827" w:type="dxa"/>
            <w:tcBorders>
              <w:top w:val="single" w:sz="4" w:space="0" w:color="C2D9BA"/>
              <w:bottom w:val="single" w:sz="4" w:space="0" w:color="C2D9BA"/>
            </w:tcBorders>
            <w:shd w:val="clear" w:color="auto" w:fill="auto"/>
          </w:tcPr>
          <w:p w14:paraId="474911B2" w14:textId="77777777" w:rsidR="002147D2" w:rsidRDefault="002147D2" w:rsidP="002147D2">
            <w:pPr>
              <w:pStyle w:val="TableText"/>
            </w:pPr>
            <w:r>
              <w:t>Compared with standard chemotherapy:</w:t>
            </w:r>
          </w:p>
          <w:p w14:paraId="5938BA3F" w14:textId="77777777" w:rsidR="002147D2" w:rsidRDefault="002147D2" w:rsidP="002147D2">
            <w:pPr>
              <w:pStyle w:val="TableText"/>
            </w:pPr>
            <w:r>
              <w:t>Gain in median overall survival of 8.2 months</w:t>
            </w:r>
          </w:p>
          <w:p w14:paraId="704DE1E5" w14:textId="77777777" w:rsidR="002147D2" w:rsidRDefault="002147D2" w:rsidP="002147D2">
            <w:pPr>
              <w:pStyle w:val="TableText"/>
            </w:pPr>
            <w:r>
              <w:t>Gain in median progression-free survival of 3 months</w:t>
            </w:r>
          </w:p>
          <w:p w14:paraId="76DFF451" w14:textId="77777777" w:rsidR="002147D2" w:rsidRDefault="002147D2" w:rsidP="002147D2">
            <w:pPr>
              <w:pStyle w:val="TableText"/>
            </w:pPr>
            <w:r>
              <w:t>Toxicity and quality-of-life results did not contribute to this score.</w:t>
            </w:r>
          </w:p>
          <w:p w14:paraId="08ACB773" w14:textId="77777777" w:rsidR="002147D2" w:rsidRPr="002147D2" w:rsidRDefault="0056499C" w:rsidP="002147D2">
            <w:pPr>
              <w:pStyle w:val="TableText"/>
              <w:rPr>
                <w:spacing w:val="-2"/>
              </w:rPr>
            </w:pPr>
            <w:hyperlink r:id="rId100" w:history="1">
              <w:r w:rsidR="002147D2" w:rsidRPr="002147D2">
                <w:rPr>
                  <w:rStyle w:val="Hyperlink"/>
                  <w:rFonts w:eastAsia="MS Gothic"/>
                  <w:spacing w:val="-2"/>
                </w:rPr>
                <w:t>www.esmo.org/guidelines/esmo-mcbs/esmo-mcbs-scorecards/scorecard-17-1</w:t>
              </w:r>
            </w:hyperlink>
          </w:p>
        </w:tc>
      </w:tr>
      <w:tr w:rsidR="002147D2" w:rsidRPr="00181CD3" w14:paraId="10A3E046" w14:textId="77777777" w:rsidTr="00290AF3">
        <w:trPr>
          <w:cantSplit/>
        </w:trPr>
        <w:tc>
          <w:tcPr>
            <w:tcW w:w="2020" w:type="dxa"/>
            <w:vMerge/>
            <w:tcBorders>
              <w:bottom w:val="single" w:sz="4" w:space="0" w:color="C2D9BA"/>
            </w:tcBorders>
            <w:shd w:val="clear" w:color="auto" w:fill="auto"/>
          </w:tcPr>
          <w:p w14:paraId="3F97AEC6" w14:textId="77777777" w:rsidR="002147D2" w:rsidRPr="0074040F" w:rsidRDefault="002147D2" w:rsidP="00290AF3">
            <w:pPr>
              <w:pStyle w:val="TableText"/>
            </w:pPr>
          </w:p>
        </w:tc>
        <w:tc>
          <w:tcPr>
            <w:tcW w:w="1808" w:type="dxa"/>
            <w:tcBorders>
              <w:top w:val="single" w:sz="4" w:space="0" w:color="C2D9BA"/>
              <w:bottom w:val="single" w:sz="4" w:space="0" w:color="C2D9BA"/>
            </w:tcBorders>
            <w:shd w:val="clear" w:color="auto" w:fill="auto"/>
          </w:tcPr>
          <w:p w14:paraId="3918A7D7" w14:textId="77777777" w:rsidR="002147D2" w:rsidRDefault="002147D2" w:rsidP="002147D2">
            <w:pPr>
              <w:pStyle w:val="TableText"/>
            </w:pPr>
            <w:r>
              <w:t>Panitumumab</w:t>
            </w:r>
            <w:r>
              <w:br/>
              <w:t>(with chemotherapy)</w:t>
            </w:r>
          </w:p>
        </w:tc>
        <w:tc>
          <w:tcPr>
            <w:tcW w:w="425" w:type="dxa"/>
            <w:tcBorders>
              <w:top w:val="single" w:sz="4" w:space="0" w:color="C2D9BA"/>
              <w:bottom w:val="single" w:sz="4" w:space="0" w:color="C2D9BA"/>
            </w:tcBorders>
            <w:shd w:val="clear" w:color="auto" w:fill="auto"/>
          </w:tcPr>
          <w:p w14:paraId="01EBA8A5" w14:textId="77777777" w:rsidR="002147D2" w:rsidRDefault="002147D2" w:rsidP="002147D2">
            <w:pPr>
              <w:pStyle w:val="TableText"/>
              <w:jc w:val="center"/>
            </w:pPr>
            <w:r>
              <w:t>4</w:t>
            </w:r>
          </w:p>
        </w:tc>
        <w:tc>
          <w:tcPr>
            <w:tcW w:w="3827" w:type="dxa"/>
            <w:tcBorders>
              <w:top w:val="single" w:sz="4" w:space="0" w:color="C2D9BA"/>
              <w:bottom w:val="single" w:sz="4" w:space="0" w:color="C2D9BA"/>
            </w:tcBorders>
            <w:shd w:val="clear" w:color="auto" w:fill="auto"/>
          </w:tcPr>
          <w:p w14:paraId="48B164A2" w14:textId="77777777" w:rsidR="002147D2" w:rsidRDefault="002147D2" w:rsidP="002147D2">
            <w:pPr>
              <w:pStyle w:val="TableText"/>
            </w:pPr>
            <w:r>
              <w:t>Compared with standard chemotherapy:</w:t>
            </w:r>
          </w:p>
          <w:p w14:paraId="586E7883" w14:textId="77777777" w:rsidR="002147D2" w:rsidRDefault="002147D2" w:rsidP="002147D2">
            <w:pPr>
              <w:pStyle w:val="TableText"/>
            </w:pPr>
            <w:r>
              <w:t>Gain in median overall survival of 7.4 months</w:t>
            </w:r>
          </w:p>
          <w:p w14:paraId="21122C62" w14:textId="77777777" w:rsidR="002147D2" w:rsidRDefault="002147D2" w:rsidP="002147D2">
            <w:pPr>
              <w:pStyle w:val="TableText"/>
            </w:pPr>
            <w:r>
              <w:t>Gain in median progression-free survival of 1.6 months</w:t>
            </w:r>
          </w:p>
          <w:p w14:paraId="513D6991" w14:textId="77777777" w:rsidR="002147D2" w:rsidRDefault="002147D2" w:rsidP="002147D2">
            <w:pPr>
              <w:pStyle w:val="TableText"/>
            </w:pPr>
            <w:r>
              <w:t>Toxicity and quality-of-life results did not contribute to this score.</w:t>
            </w:r>
          </w:p>
          <w:p w14:paraId="3C07C1D5" w14:textId="77777777" w:rsidR="002147D2" w:rsidRPr="002147D2" w:rsidRDefault="0056499C" w:rsidP="002147D2">
            <w:pPr>
              <w:pStyle w:val="TableText"/>
              <w:rPr>
                <w:spacing w:val="-2"/>
              </w:rPr>
            </w:pPr>
            <w:hyperlink r:id="rId101" w:history="1">
              <w:r w:rsidR="002147D2" w:rsidRPr="002147D2">
                <w:rPr>
                  <w:rStyle w:val="Hyperlink"/>
                  <w:rFonts w:eastAsia="MS Gothic"/>
                  <w:spacing w:val="-2"/>
                </w:rPr>
                <w:t>www.esmo.org/guidelines/esmo-mcbs/esmo-mcbs-scorecards/scorecard-15-1</w:t>
              </w:r>
            </w:hyperlink>
          </w:p>
        </w:tc>
      </w:tr>
      <w:tr w:rsidR="002147D2" w14:paraId="2D292153" w14:textId="77777777" w:rsidTr="00290AF3">
        <w:trPr>
          <w:cantSplit/>
        </w:trPr>
        <w:tc>
          <w:tcPr>
            <w:tcW w:w="2020" w:type="dxa"/>
            <w:tcBorders>
              <w:top w:val="single" w:sz="4" w:space="0" w:color="C2D9BA"/>
              <w:bottom w:val="single" w:sz="4" w:space="0" w:color="C2D9BA"/>
            </w:tcBorders>
            <w:shd w:val="clear" w:color="auto" w:fill="auto"/>
          </w:tcPr>
          <w:p w14:paraId="79DF9360" w14:textId="77777777" w:rsidR="002147D2" w:rsidRPr="0038658B" w:rsidRDefault="002147D2" w:rsidP="00290AF3">
            <w:pPr>
              <w:pStyle w:val="TableText"/>
              <w:ind w:right="113"/>
              <w:rPr>
                <w:b/>
              </w:rPr>
            </w:pPr>
            <w:r w:rsidRPr="0038658B">
              <w:rPr>
                <w:b/>
              </w:rPr>
              <w:lastRenderedPageBreak/>
              <w:t>Current clinical practice in Aotearoa and how this would change if the gap were filled</w:t>
            </w:r>
          </w:p>
        </w:tc>
        <w:tc>
          <w:tcPr>
            <w:tcW w:w="6060" w:type="dxa"/>
            <w:gridSpan w:val="3"/>
            <w:tcBorders>
              <w:top w:val="single" w:sz="4" w:space="0" w:color="C2D9BA"/>
              <w:bottom w:val="single" w:sz="4" w:space="0" w:color="C2D9BA"/>
            </w:tcBorders>
            <w:shd w:val="clear" w:color="auto" w:fill="auto"/>
          </w:tcPr>
          <w:p w14:paraId="1125C1B0" w14:textId="77777777" w:rsidR="002147D2" w:rsidRDefault="002147D2" w:rsidP="002147D2">
            <w:pPr>
              <w:pStyle w:val="TableText"/>
            </w:pPr>
            <w:r w:rsidRPr="001043A2">
              <w:t>In Aotearoa</w:t>
            </w:r>
            <w:r>
              <w:t>,</w:t>
            </w:r>
            <w:r w:rsidRPr="001043A2">
              <w:t xml:space="preserve"> the current treatment for these patients is chemotherapy.</w:t>
            </w:r>
          </w:p>
          <w:p w14:paraId="7084417F" w14:textId="77777777" w:rsidR="002147D2" w:rsidRDefault="002147D2" w:rsidP="002147D2">
            <w:pPr>
              <w:pStyle w:val="TableText"/>
            </w:pPr>
            <w:r w:rsidRPr="001043A2">
              <w:t xml:space="preserve">If either cetuximab or panitumumab were funded in the </w:t>
            </w:r>
            <w:r>
              <w:t>first-</w:t>
            </w:r>
            <w:r w:rsidRPr="001043A2">
              <w:t>line setting</w:t>
            </w:r>
            <w:r>
              <w:t>,</w:t>
            </w:r>
            <w:r w:rsidRPr="001043A2">
              <w:t xml:space="preserve"> they would be used as an add-on to chemotherapy.</w:t>
            </w:r>
          </w:p>
          <w:p w14:paraId="1CD186B2" w14:textId="77777777" w:rsidR="002147D2" w:rsidRDefault="002147D2" w:rsidP="002147D2">
            <w:pPr>
              <w:pStyle w:val="TableText"/>
            </w:pPr>
            <w:r>
              <w:t xml:space="preserve">Patients would only receive an EGFR inhibitor in one line of treatment, and </w:t>
            </w:r>
            <w:r w:rsidRPr="00CF52B3">
              <w:t>clinical advice indicated that giving it earlier rather than later is generally preferred</w:t>
            </w:r>
            <w:r>
              <w:t>. This means that if this gap were filled, the gap for cetuximab in the second line would become redundant (for people who received cetuximab or panitumumab in the first-line setting).</w:t>
            </w:r>
          </w:p>
        </w:tc>
      </w:tr>
      <w:tr w:rsidR="002147D2" w14:paraId="6F02D635" w14:textId="77777777" w:rsidTr="00290AF3">
        <w:trPr>
          <w:cantSplit/>
        </w:trPr>
        <w:tc>
          <w:tcPr>
            <w:tcW w:w="2020" w:type="dxa"/>
            <w:tcBorders>
              <w:top w:val="single" w:sz="4" w:space="0" w:color="C2D9BA"/>
              <w:bottom w:val="single" w:sz="4" w:space="0" w:color="C2D9BA"/>
            </w:tcBorders>
            <w:shd w:val="clear" w:color="auto" w:fill="auto"/>
          </w:tcPr>
          <w:p w14:paraId="1DF02BA5" w14:textId="77777777" w:rsidR="002147D2" w:rsidRPr="0038658B" w:rsidRDefault="002147D2" w:rsidP="00290AF3">
            <w:pPr>
              <w:pStyle w:val="TableText"/>
              <w:ind w:right="113"/>
              <w:rPr>
                <w:b/>
              </w:rPr>
            </w:pPr>
            <w:r w:rsidRPr="0038658B">
              <w:rPr>
                <w:b/>
              </w:rPr>
              <w:t>Pharmac estimate of eligible population size</w:t>
            </w:r>
          </w:p>
        </w:tc>
        <w:tc>
          <w:tcPr>
            <w:tcW w:w="6060" w:type="dxa"/>
            <w:gridSpan w:val="3"/>
            <w:tcBorders>
              <w:top w:val="single" w:sz="4" w:space="0" w:color="C2D9BA"/>
              <w:bottom w:val="single" w:sz="4" w:space="0" w:color="C2D9BA"/>
            </w:tcBorders>
            <w:shd w:val="clear" w:color="auto" w:fill="auto"/>
          </w:tcPr>
          <w:p w14:paraId="21C71F27" w14:textId="77777777" w:rsidR="002147D2" w:rsidRDefault="002147D2" w:rsidP="002147D2">
            <w:pPr>
              <w:pStyle w:val="TableText"/>
            </w:pPr>
            <w:r>
              <w:t>Approximately</w:t>
            </w:r>
            <w:r w:rsidRPr="001043A2">
              <w:t xml:space="preserve"> 70 people </w:t>
            </w:r>
            <w:r>
              <w:t>each</w:t>
            </w:r>
            <w:r w:rsidRPr="001043A2">
              <w:t xml:space="preserve"> year</w:t>
            </w:r>
            <w:r>
              <w:t xml:space="preserve"> </w:t>
            </w:r>
            <w:r>
              <w:rPr>
                <w:noProof/>
              </w:rPr>
              <w:t>(CaTSoP 2019)</w:t>
            </w:r>
            <w:r>
              <w:t>.</w:t>
            </w:r>
          </w:p>
        </w:tc>
      </w:tr>
      <w:tr w:rsidR="002147D2" w14:paraId="0D9EC8B8" w14:textId="77777777" w:rsidTr="00290AF3">
        <w:trPr>
          <w:cantSplit/>
        </w:trPr>
        <w:tc>
          <w:tcPr>
            <w:tcW w:w="2020" w:type="dxa"/>
            <w:tcBorders>
              <w:top w:val="single" w:sz="4" w:space="0" w:color="C2D9BA"/>
              <w:bottom w:val="single" w:sz="4" w:space="0" w:color="C2D9BA"/>
            </w:tcBorders>
            <w:shd w:val="clear" w:color="auto" w:fill="auto"/>
          </w:tcPr>
          <w:p w14:paraId="5AE0B48D" w14:textId="77777777" w:rsidR="002147D2" w:rsidRPr="0038658B" w:rsidRDefault="002147D2"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3"/>
            <w:tcBorders>
              <w:top w:val="single" w:sz="4" w:space="0" w:color="C2D9BA"/>
              <w:bottom w:val="single" w:sz="4" w:space="0" w:color="C2D9BA"/>
            </w:tcBorders>
            <w:shd w:val="clear" w:color="auto" w:fill="auto"/>
          </w:tcPr>
          <w:p w14:paraId="797B6474" w14:textId="77777777" w:rsidR="002147D2" w:rsidRDefault="002147D2" w:rsidP="002147D2">
            <w:pPr>
              <w:pStyle w:val="TableText"/>
            </w:pPr>
            <w:r>
              <w:t>These medicines are both given by infusion.</w:t>
            </w:r>
          </w:p>
          <w:p w14:paraId="0DC9B12D" w14:textId="77777777" w:rsidR="002147D2" w:rsidRDefault="002147D2" w:rsidP="002147D2">
            <w:pPr>
              <w:pStyle w:val="TableText"/>
            </w:pPr>
            <w:r>
              <w:t>They would generally be given once every two weeks, on the same day as chemotherapy.</w:t>
            </w:r>
          </w:p>
        </w:tc>
      </w:tr>
      <w:tr w:rsidR="002147D2" w14:paraId="39B40F1C" w14:textId="77777777" w:rsidTr="00290AF3">
        <w:trPr>
          <w:cantSplit/>
        </w:trPr>
        <w:tc>
          <w:tcPr>
            <w:tcW w:w="2020" w:type="dxa"/>
            <w:tcBorders>
              <w:top w:val="single" w:sz="4" w:space="0" w:color="C2D9BA"/>
              <w:bottom w:val="single" w:sz="4" w:space="0" w:color="C2D9BA"/>
            </w:tcBorders>
            <w:shd w:val="clear" w:color="auto" w:fill="auto"/>
          </w:tcPr>
          <w:p w14:paraId="1F86E541" w14:textId="77777777" w:rsidR="002147D2" w:rsidRPr="0038658B" w:rsidRDefault="002147D2" w:rsidP="00290AF3">
            <w:pPr>
              <w:pStyle w:val="TableText"/>
              <w:ind w:right="113"/>
              <w:rPr>
                <w:b/>
              </w:rPr>
            </w:pPr>
            <w:r w:rsidRPr="0038658B">
              <w:rPr>
                <w:b/>
              </w:rPr>
              <w:t>Patient and whānau considerations</w:t>
            </w:r>
          </w:p>
        </w:tc>
        <w:tc>
          <w:tcPr>
            <w:tcW w:w="6060" w:type="dxa"/>
            <w:gridSpan w:val="3"/>
            <w:tcBorders>
              <w:top w:val="single" w:sz="4" w:space="0" w:color="C2D9BA"/>
              <w:bottom w:val="single" w:sz="4" w:space="0" w:color="C2D9BA"/>
            </w:tcBorders>
            <w:shd w:val="clear" w:color="auto" w:fill="auto"/>
          </w:tcPr>
          <w:p w14:paraId="1515C11D" w14:textId="77777777" w:rsidR="002147D2" w:rsidRDefault="002147D2" w:rsidP="002147D2">
            <w:pPr>
              <w:pStyle w:val="TableText"/>
            </w:pPr>
            <w:r>
              <w:t>In general, this would be an additional treatment used together with standard chemotherapy treatment, with the potential clinical benefit described above.</w:t>
            </w:r>
          </w:p>
          <w:p w14:paraId="7E9E287C" w14:textId="77777777" w:rsidR="002147D2" w:rsidRDefault="002147D2" w:rsidP="002147D2">
            <w:pPr>
              <w:pStyle w:val="TableText"/>
            </w:pPr>
            <w:r>
              <w:t>Treatment would continue until there is progression of the disease (or intolerable side effects).</w:t>
            </w:r>
          </w:p>
          <w:p w14:paraId="14840AAC" w14:textId="77777777" w:rsidR="002147D2" w:rsidRDefault="002147D2" w:rsidP="002147D2">
            <w:pPr>
              <w:pStyle w:val="TableText"/>
            </w:pPr>
            <w:r>
              <w:t>This would mean that, compared with current treatment, there would generally be a similar number of treatment appointments to attend, but these appointments would last longer. The treatments are generally administered in the outpatient infusion centre, so patients would need to travel a similar amount to the current treatment, but there would be no prescription charge. There may be other medicines needed to manage side effects that may have a prescription charge.</w:t>
            </w:r>
          </w:p>
          <w:p w14:paraId="289A1212" w14:textId="77777777" w:rsidR="002147D2" w:rsidRDefault="002147D2" w:rsidP="002147D2">
            <w:pPr>
              <w:pStyle w:val="TableText"/>
            </w:pPr>
            <w:r w:rsidRPr="001043A2">
              <w:t>In order to determine eligibility for this medicine, a particular</w:t>
            </w:r>
            <w:r>
              <w:t xml:space="preserve"> laboratory</w:t>
            </w:r>
            <w:r w:rsidRPr="001043A2">
              <w:t xml:space="preserve"> test would need to be done using a sample of the tumour</w:t>
            </w:r>
            <w:r>
              <w:t xml:space="preserve"> – this might mean an extra surgical procedure</w:t>
            </w:r>
            <w:r w:rsidRPr="001043A2">
              <w:t>.</w:t>
            </w:r>
          </w:p>
        </w:tc>
      </w:tr>
      <w:tr w:rsidR="002147D2" w14:paraId="6A2038BC" w14:textId="77777777" w:rsidTr="00290AF3">
        <w:trPr>
          <w:cantSplit/>
        </w:trPr>
        <w:tc>
          <w:tcPr>
            <w:tcW w:w="2020" w:type="dxa"/>
            <w:tcBorders>
              <w:top w:val="single" w:sz="4" w:space="0" w:color="C2D9BA"/>
              <w:bottom w:val="single" w:sz="4" w:space="0" w:color="C2D9BA"/>
            </w:tcBorders>
            <w:shd w:val="clear" w:color="auto" w:fill="auto"/>
          </w:tcPr>
          <w:p w14:paraId="4BB48574" w14:textId="77777777" w:rsidR="002147D2" w:rsidRPr="0038658B" w:rsidRDefault="002147D2" w:rsidP="00290AF3">
            <w:pPr>
              <w:pStyle w:val="TableText"/>
              <w:ind w:right="113"/>
              <w:rPr>
                <w:b/>
              </w:rPr>
            </w:pPr>
            <w:r w:rsidRPr="0038658B">
              <w:rPr>
                <w:b/>
              </w:rPr>
              <w:t>Health system resource considerations</w:t>
            </w:r>
          </w:p>
        </w:tc>
        <w:tc>
          <w:tcPr>
            <w:tcW w:w="6060" w:type="dxa"/>
            <w:gridSpan w:val="3"/>
            <w:tcBorders>
              <w:top w:val="single" w:sz="4" w:space="0" w:color="C2D9BA"/>
              <w:bottom w:val="single" w:sz="4" w:space="0" w:color="C2D9BA"/>
            </w:tcBorders>
            <w:shd w:val="clear" w:color="auto" w:fill="auto"/>
          </w:tcPr>
          <w:p w14:paraId="67709CA3" w14:textId="77777777" w:rsidR="002147D2" w:rsidRDefault="002147D2" w:rsidP="002147D2">
            <w:pPr>
              <w:pStyle w:val="TableText"/>
            </w:pPr>
            <w:r w:rsidRPr="00614693">
              <w:t xml:space="preserve">Additional chair time </w:t>
            </w:r>
            <w:r>
              <w:t>for administration of treatment required</w:t>
            </w:r>
            <w:r w:rsidRPr="00614693">
              <w:t>.</w:t>
            </w:r>
          </w:p>
          <w:p w14:paraId="66360FD3" w14:textId="77777777" w:rsidR="002147D2" w:rsidRDefault="002147D2" w:rsidP="002147D2">
            <w:pPr>
              <w:pStyle w:val="TableText"/>
            </w:pPr>
            <w:r w:rsidRPr="00614693">
              <w:t>Increased demand for laboratory</w:t>
            </w:r>
            <w:r>
              <w:t xml:space="preserve"> and pathology services to determine eligibility for treatment and monitor for treatment toxicities. Specifically, molecular testing would be required to determine RAS mutational status. This testing is not routinely available in Aotearoa. A tissue sample would be required which may require additional surgical intervention for sample acquisition.</w:t>
            </w:r>
          </w:p>
          <w:p w14:paraId="430A0019" w14:textId="77777777" w:rsidR="002147D2" w:rsidRDefault="002147D2" w:rsidP="002147D2">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71B28EE1" w14:textId="77777777" w:rsidR="002147D2" w:rsidRDefault="002147D2" w:rsidP="002147D2">
            <w:pPr>
              <w:pStyle w:val="TableText"/>
            </w:pPr>
            <w:r>
              <w:t>Potential for increased demand for supportive care and toxicity management (including health care professionals’ time and pharmaceuticals).</w:t>
            </w:r>
          </w:p>
        </w:tc>
      </w:tr>
    </w:tbl>
    <w:p w14:paraId="712D6CD2" w14:textId="77777777" w:rsidR="0038658B" w:rsidRPr="0038658B" w:rsidRDefault="0038658B" w:rsidP="002147D2"/>
    <w:p w14:paraId="76B49D09" w14:textId="77777777" w:rsidR="006D7F10" w:rsidRDefault="006D7F10" w:rsidP="002147D2">
      <w:pPr>
        <w:pStyle w:val="Table"/>
        <w:keepNext w:val="0"/>
        <w:pageBreakBefore/>
        <w:spacing w:before="0"/>
      </w:pPr>
      <w:bookmarkStart w:id="408" w:name="_Toc101365625"/>
      <w:bookmarkStart w:id="409" w:name="Appendix_7_Table_7point9"/>
      <w:bookmarkEnd w:id="407"/>
      <w:r>
        <w:lastRenderedPageBreak/>
        <w:t>Table</w:t>
      </w:r>
      <w:r w:rsidR="002147D2">
        <w:t> </w:t>
      </w:r>
      <w:r>
        <w:t>7.9: Cetuximab for bowel cancer – second-line therapy</w:t>
      </w:r>
      <w:bookmarkEnd w:id="40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2147D2" w14:paraId="54D2D63F" w14:textId="77777777" w:rsidTr="00290AF3">
        <w:trPr>
          <w:cantSplit/>
        </w:trPr>
        <w:tc>
          <w:tcPr>
            <w:tcW w:w="2020" w:type="dxa"/>
            <w:tcBorders>
              <w:top w:val="nil"/>
              <w:bottom w:val="nil"/>
            </w:tcBorders>
            <w:shd w:val="clear" w:color="auto" w:fill="C2D9BA"/>
          </w:tcPr>
          <w:p w14:paraId="09F96014" w14:textId="77777777" w:rsidR="002147D2" w:rsidRPr="00181CD3" w:rsidRDefault="002147D2"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3EE791D8" w14:textId="77777777" w:rsidR="002147D2" w:rsidRDefault="002147D2" w:rsidP="002147D2">
            <w:pPr>
              <w:pStyle w:val="TableText"/>
            </w:pPr>
            <w:r>
              <w:t>Colorectal cancer (CRC), metastatic, RAS wild-type, second-line therapy</w:t>
            </w:r>
          </w:p>
        </w:tc>
      </w:tr>
      <w:tr w:rsidR="002147D2" w14:paraId="5EA37563" w14:textId="77777777" w:rsidTr="00290AF3">
        <w:trPr>
          <w:cantSplit/>
        </w:trPr>
        <w:tc>
          <w:tcPr>
            <w:tcW w:w="2020" w:type="dxa"/>
            <w:tcBorders>
              <w:top w:val="single" w:sz="4" w:space="0" w:color="C2D9BA"/>
              <w:bottom w:val="single" w:sz="4" w:space="0" w:color="C2D9BA"/>
            </w:tcBorders>
            <w:shd w:val="clear" w:color="auto" w:fill="E7F0E3"/>
          </w:tcPr>
          <w:p w14:paraId="3772135E" w14:textId="77777777" w:rsidR="002147D2" w:rsidRPr="00181CD3" w:rsidRDefault="002147D2" w:rsidP="002147D2">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2E5DC6E1" w14:textId="77777777" w:rsidR="002147D2" w:rsidRDefault="002147D2" w:rsidP="002147D2">
            <w:pPr>
              <w:pStyle w:val="TableText"/>
            </w:pPr>
            <w:r>
              <w:t>Cetuximab</w:t>
            </w:r>
          </w:p>
        </w:tc>
      </w:tr>
      <w:tr w:rsidR="002147D2" w14:paraId="417BBDEA" w14:textId="77777777" w:rsidTr="00290AF3">
        <w:trPr>
          <w:cantSplit/>
        </w:trPr>
        <w:tc>
          <w:tcPr>
            <w:tcW w:w="2020" w:type="dxa"/>
            <w:tcBorders>
              <w:top w:val="single" w:sz="4" w:space="0" w:color="C2D9BA"/>
              <w:bottom w:val="single" w:sz="4" w:space="0" w:color="C2D9BA"/>
            </w:tcBorders>
            <w:shd w:val="clear" w:color="auto" w:fill="auto"/>
          </w:tcPr>
          <w:p w14:paraId="3FDB3407" w14:textId="77777777" w:rsidR="002147D2" w:rsidRPr="00181CD3" w:rsidRDefault="002147D2"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5767BAF2" w14:textId="77777777" w:rsidR="002147D2" w:rsidRDefault="002147D2" w:rsidP="002147D2">
            <w:pPr>
              <w:pStyle w:val="TableText"/>
            </w:pPr>
            <w:r>
              <w:t>Targeted therapy (monoclonal antibody targeting the EGFR protein)</w:t>
            </w:r>
          </w:p>
        </w:tc>
      </w:tr>
      <w:tr w:rsidR="002147D2" w14:paraId="1650A8B2" w14:textId="77777777" w:rsidTr="00290AF3">
        <w:trPr>
          <w:cantSplit/>
        </w:trPr>
        <w:tc>
          <w:tcPr>
            <w:tcW w:w="2020" w:type="dxa"/>
            <w:tcBorders>
              <w:top w:val="single" w:sz="4" w:space="0" w:color="C2D9BA"/>
              <w:bottom w:val="single" w:sz="4" w:space="0" w:color="C2D9BA"/>
            </w:tcBorders>
            <w:shd w:val="clear" w:color="auto" w:fill="auto"/>
          </w:tcPr>
          <w:p w14:paraId="43319858" w14:textId="77777777" w:rsidR="002147D2" w:rsidRPr="00181CD3" w:rsidRDefault="002147D2"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60AE35BE" w14:textId="77777777" w:rsidR="002147D2" w:rsidRDefault="002147D2" w:rsidP="002147D2">
            <w:pPr>
              <w:pStyle w:val="TableText"/>
            </w:pPr>
            <w:r>
              <w:t>Non-curative</w:t>
            </w:r>
          </w:p>
        </w:tc>
      </w:tr>
      <w:tr w:rsidR="002147D2" w14:paraId="682EB3C4" w14:textId="77777777" w:rsidTr="002147D2">
        <w:trPr>
          <w:cantSplit/>
        </w:trPr>
        <w:tc>
          <w:tcPr>
            <w:tcW w:w="2020" w:type="dxa"/>
            <w:tcBorders>
              <w:top w:val="single" w:sz="4" w:space="0" w:color="C2D9BA"/>
              <w:bottom w:val="single" w:sz="4" w:space="0" w:color="C2D9BA"/>
            </w:tcBorders>
            <w:shd w:val="clear" w:color="auto" w:fill="auto"/>
          </w:tcPr>
          <w:p w14:paraId="2F647301" w14:textId="77777777" w:rsidR="002147D2" w:rsidRPr="00181CD3" w:rsidRDefault="002147D2"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3B9CCC00" w14:textId="77777777" w:rsidR="002147D2" w:rsidRDefault="002147D2" w:rsidP="002147D2">
            <w:pPr>
              <w:pStyle w:val="TableText"/>
            </w:pPr>
            <w:r>
              <w:t>Application received May 2013</w:t>
            </w:r>
          </w:p>
          <w:p w14:paraId="094ADF4A" w14:textId="77777777" w:rsidR="002147D2" w:rsidRPr="002147D2" w:rsidRDefault="002147D2" w:rsidP="002147D2">
            <w:pPr>
              <w:pStyle w:val="TableText"/>
            </w:pPr>
            <w:r>
              <w:t xml:space="preserve">Under consultation as an </w:t>
            </w:r>
            <w:r w:rsidRPr="002147D2">
              <w:t>option for decline – this means this option would not be funded, even if budget allowed, unless new information came to light, and Pharmac is seeking feedback on declining this application.</w:t>
            </w:r>
          </w:p>
          <w:p w14:paraId="1864D1B5" w14:textId="77777777" w:rsidR="002147D2" w:rsidRDefault="002147D2" w:rsidP="002147D2">
            <w:pPr>
              <w:pStyle w:val="TableText"/>
            </w:pPr>
            <w:r>
              <w:t>Note: At the time of publication, Pharmac status has been updated to decision made for this application – it has been declined. This means that Pharmac has decided this option will not be funded. This</w:t>
            </w:r>
            <w:r w:rsidRPr="00CD0EC2">
              <w:t xml:space="preserve"> does not prevent Pharmac from reconsidering funding</w:t>
            </w:r>
            <w:r>
              <w:t xml:space="preserve"> if </w:t>
            </w:r>
            <w:r w:rsidRPr="00CD0EC2">
              <w:t>new evidence or other relevant information becomes available.</w:t>
            </w:r>
          </w:p>
          <w:p w14:paraId="6ECDCC97" w14:textId="77777777" w:rsidR="002147D2" w:rsidRDefault="0056499C" w:rsidP="002147D2">
            <w:pPr>
              <w:pStyle w:val="TableText"/>
            </w:pPr>
            <w:hyperlink r:id="rId102" w:history="1">
              <w:r w:rsidR="002147D2" w:rsidRPr="00867A4B">
                <w:rPr>
                  <w:rStyle w:val="Hyperlink"/>
                  <w:rFonts w:eastAsia="MS Gothic"/>
                </w:rPr>
                <w:t>https://connect.pharmac.govt.nz/apptracker/s/application-public/a102P000008pttC/p000175</w:t>
              </w:r>
            </w:hyperlink>
          </w:p>
        </w:tc>
      </w:tr>
      <w:tr w:rsidR="002147D2" w14:paraId="6C3BB0D9" w14:textId="77777777" w:rsidTr="002147D2">
        <w:trPr>
          <w:cantSplit/>
        </w:trPr>
        <w:tc>
          <w:tcPr>
            <w:tcW w:w="2020" w:type="dxa"/>
            <w:tcBorders>
              <w:top w:val="single" w:sz="4" w:space="0" w:color="C2D9BA"/>
              <w:bottom w:val="single" w:sz="4" w:space="0" w:color="C2D9BA"/>
            </w:tcBorders>
            <w:shd w:val="clear" w:color="auto" w:fill="auto"/>
          </w:tcPr>
          <w:p w14:paraId="62B34A3B" w14:textId="77777777" w:rsidR="002147D2" w:rsidRPr="0038658B" w:rsidRDefault="002147D2"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1333A615" w14:textId="77777777" w:rsidR="002147D2" w:rsidRDefault="002147D2" w:rsidP="002147D2">
            <w:pPr>
              <w:pStyle w:val="TableText"/>
            </w:pPr>
            <w:r>
              <w:t>4</w:t>
            </w:r>
          </w:p>
        </w:tc>
        <w:tc>
          <w:tcPr>
            <w:tcW w:w="5528" w:type="dxa"/>
            <w:tcBorders>
              <w:top w:val="single" w:sz="4" w:space="0" w:color="C2D9BA"/>
              <w:bottom w:val="single" w:sz="4" w:space="0" w:color="C2D9BA"/>
            </w:tcBorders>
            <w:shd w:val="clear" w:color="auto" w:fill="auto"/>
          </w:tcPr>
          <w:p w14:paraId="3F7735A4" w14:textId="77777777" w:rsidR="002147D2" w:rsidRDefault="002147D2" w:rsidP="002147D2">
            <w:pPr>
              <w:pStyle w:val="TableText"/>
            </w:pPr>
            <w:r>
              <w:t>Compared with best supportive care:</w:t>
            </w:r>
          </w:p>
          <w:p w14:paraId="5B51AF64" w14:textId="77777777" w:rsidR="002147D2" w:rsidRDefault="002147D2" w:rsidP="002147D2">
            <w:pPr>
              <w:pStyle w:val="TableText"/>
            </w:pPr>
            <w:r>
              <w:t>Gain in median overall survival of 4.7 months</w:t>
            </w:r>
          </w:p>
          <w:p w14:paraId="67C26EDC" w14:textId="77777777" w:rsidR="002147D2" w:rsidRDefault="002147D2" w:rsidP="002147D2">
            <w:pPr>
              <w:pStyle w:val="TableText"/>
            </w:pPr>
            <w:r>
              <w:t>Gain in median progression-free survival of 1.8 months</w:t>
            </w:r>
          </w:p>
          <w:p w14:paraId="2923DE77" w14:textId="77777777" w:rsidR="002147D2" w:rsidRDefault="002147D2" w:rsidP="002147D2">
            <w:pPr>
              <w:pStyle w:val="TableText"/>
            </w:pPr>
            <w:r>
              <w:t>Toxicity and quality-of-life results did not contribute to this score.</w:t>
            </w:r>
          </w:p>
          <w:p w14:paraId="601A4E53" w14:textId="77777777" w:rsidR="002147D2" w:rsidRDefault="0056499C" w:rsidP="002147D2">
            <w:pPr>
              <w:pStyle w:val="TableText"/>
            </w:pPr>
            <w:hyperlink r:id="rId103" w:history="1">
              <w:r w:rsidR="002147D2" w:rsidRPr="00333377">
                <w:rPr>
                  <w:rStyle w:val="Hyperlink"/>
                  <w:rFonts w:eastAsia="MS Gothic"/>
                </w:rPr>
                <w:t>www.esmo.org/guidelines/esmo-mcbs/esmo-mcbs-scorecards/scorecard-18-1</w:t>
              </w:r>
            </w:hyperlink>
          </w:p>
        </w:tc>
      </w:tr>
      <w:tr w:rsidR="002147D2" w14:paraId="3BDEB94E" w14:textId="77777777" w:rsidTr="00290AF3">
        <w:trPr>
          <w:cantSplit/>
        </w:trPr>
        <w:tc>
          <w:tcPr>
            <w:tcW w:w="2020" w:type="dxa"/>
            <w:tcBorders>
              <w:top w:val="single" w:sz="4" w:space="0" w:color="C2D9BA"/>
              <w:bottom w:val="single" w:sz="4" w:space="0" w:color="C2D9BA"/>
            </w:tcBorders>
            <w:shd w:val="clear" w:color="auto" w:fill="auto"/>
          </w:tcPr>
          <w:p w14:paraId="48FC67D9" w14:textId="77777777" w:rsidR="002147D2" w:rsidRPr="0038658B" w:rsidRDefault="002147D2"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1628C2C8" w14:textId="77777777" w:rsidR="002147D2" w:rsidRDefault="002147D2" w:rsidP="002147D2">
            <w:pPr>
              <w:pStyle w:val="TableText"/>
            </w:pPr>
            <w:r w:rsidRPr="001043A2">
              <w:t>In Aotearoa</w:t>
            </w:r>
            <w:r>
              <w:t>,</w:t>
            </w:r>
            <w:r w:rsidRPr="001043A2">
              <w:t xml:space="preserve"> the current treatment for these patients is chemotherapy</w:t>
            </w:r>
            <w:r>
              <w:t xml:space="preserve"> or best supportive care</w:t>
            </w:r>
            <w:r w:rsidRPr="001043A2">
              <w:t>.</w:t>
            </w:r>
          </w:p>
          <w:p w14:paraId="34C5290E" w14:textId="77777777" w:rsidR="002147D2" w:rsidRDefault="002147D2" w:rsidP="002147D2">
            <w:pPr>
              <w:pStyle w:val="TableText"/>
            </w:pPr>
            <w:r>
              <w:t>E</w:t>
            </w:r>
            <w:r w:rsidRPr="001043A2">
              <w:t xml:space="preserve">ither cetuximab </w:t>
            </w:r>
            <w:r>
              <w:t>or panitumumab in this setting would be used either alone or as an add</w:t>
            </w:r>
            <w:r w:rsidRPr="001043A2">
              <w:t>-on to chemotherapy.</w:t>
            </w:r>
          </w:p>
          <w:p w14:paraId="0AC4D2FC" w14:textId="77777777" w:rsidR="002147D2" w:rsidRDefault="002147D2" w:rsidP="002147D2">
            <w:pPr>
              <w:pStyle w:val="TableText"/>
            </w:pPr>
            <w:r>
              <w:t xml:space="preserve">Patients would only receive an EGFR inhibitor in one line of treatment, and </w:t>
            </w:r>
            <w:r w:rsidRPr="00CF52B3">
              <w:t>clinical advice indicated that giving it earlier rather than later is generally preferred</w:t>
            </w:r>
            <w:r>
              <w:t>. This means that if the first-line gap were filled with cetuximab or panitumumab, this gap in the second line would become redundant (for people who received cetuximab or panitumumab in the first-line setting).</w:t>
            </w:r>
          </w:p>
        </w:tc>
      </w:tr>
      <w:tr w:rsidR="002147D2" w14:paraId="14916BD6" w14:textId="77777777" w:rsidTr="00290AF3">
        <w:trPr>
          <w:cantSplit/>
        </w:trPr>
        <w:tc>
          <w:tcPr>
            <w:tcW w:w="2020" w:type="dxa"/>
            <w:tcBorders>
              <w:top w:val="single" w:sz="4" w:space="0" w:color="C2D9BA"/>
              <w:bottom w:val="single" w:sz="4" w:space="0" w:color="C2D9BA"/>
            </w:tcBorders>
            <w:shd w:val="clear" w:color="auto" w:fill="auto"/>
          </w:tcPr>
          <w:p w14:paraId="6A77C22B" w14:textId="77777777" w:rsidR="002147D2" w:rsidRPr="0038658B" w:rsidRDefault="002147D2"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32260CFA" w14:textId="77777777" w:rsidR="002147D2" w:rsidRDefault="002147D2" w:rsidP="00CE5715">
            <w:pPr>
              <w:pStyle w:val="TableText"/>
            </w:pPr>
            <w:r>
              <w:t xml:space="preserve">A Pharmac estimate of the eligible population size was not readily available at time of publication. </w:t>
            </w:r>
          </w:p>
          <w:p w14:paraId="5FA3DA15" w14:textId="77777777" w:rsidR="00D47753" w:rsidRDefault="00D47753" w:rsidP="00CE5715">
            <w:pPr>
              <w:pStyle w:val="TableText"/>
            </w:pPr>
          </w:p>
          <w:p w14:paraId="0F60EDDA" w14:textId="78CCB0B4" w:rsidR="00D47753" w:rsidRDefault="00D47753" w:rsidP="00CE5715">
            <w:pPr>
              <w:pStyle w:val="TableText"/>
            </w:pPr>
          </w:p>
        </w:tc>
      </w:tr>
      <w:tr w:rsidR="002147D2" w14:paraId="467849F8" w14:textId="77777777" w:rsidTr="00290AF3">
        <w:trPr>
          <w:cantSplit/>
        </w:trPr>
        <w:tc>
          <w:tcPr>
            <w:tcW w:w="2020" w:type="dxa"/>
            <w:tcBorders>
              <w:top w:val="single" w:sz="4" w:space="0" w:color="C2D9BA"/>
              <w:bottom w:val="single" w:sz="4" w:space="0" w:color="C2D9BA"/>
            </w:tcBorders>
            <w:shd w:val="clear" w:color="auto" w:fill="auto"/>
          </w:tcPr>
          <w:p w14:paraId="29E2A797" w14:textId="77777777" w:rsidR="002147D2" w:rsidRPr="0038658B" w:rsidRDefault="002147D2"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77442431" w14:textId="77777777" w:rsidR="002147D2" w:rsidRDefault="002147D2" w:rsidP="002147D2">
            <w:pPr>
              <w:pStyle w:val="TableText"/>
            </w:pPr>
            <w:r>
              <w:t>This medicine is given by infusion.</w:t>
            </w:r>
          </w:p>
          <w:p w14:paraId="0C2D71ED" w14:textId="77777777" w:rsidR="002147D2" w:rsidRDefault="002147D2" w:rsidP="002147D2">
            <w:pPr>
              <w:pStyle w:val="TableText"/>
            </w:pPr>
            <w:r>
              <w:t>Cetuximab would generally be given once every two weeks. For those patients receiving chemotherapy, cetuximab would usually be given on the same day.</w:t>
            </w:r>
          </w:p>
        </w:tc>
      </w:tr>
      <w:tr w:rsidR="002147D2" w14:paraId="29375AE1" w14:textId="77777777" w:rsidTr="00290AF3">
        <w:trPr>
          <w:cantSplit/>
        </w:trPr>
        <w:tc>
          <w:tcPr>
            <w:tcW w:w="2020" w:type="dxa"/>
            <w:tcBorders>
              <w:top w:val="single" w:sz="4" w:space="0" w:color="C2D9BA"/>
              <w:bottom w:val="single" w:sz="4" w:space="0" w:color="C2D9BA"/>
            </w:tcBorders>
            <w:shd w:val="clear" w:color="auto" w:fill="auto"/>
          </w:tcPr>
          <w:p w14:paraId="0FBA83C4" w14:textId="77777777" w:rsidR="002147D2" w:rsidRPr="0038658B" w:rsidRDefault="002147D2"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015DB36C" w14:textId="77777777" w:rsidR="002147D2" w:rsidRDefault="002147D2" w:rsidP="002147D2">
            <w:pPr>
              <w:pStyle w:val="TableText"/>
            </w:pPr>
            <w:r>
              <w:t>In general, this would be an additional treatment used together with standard chemotherapy treatment, or an additional line of treatment for people who would not tolerate chemotherapy, with the potential clinical benefit described above.</w:t>
            </w:r>
          </w:p>
          <w:p w14:paraId="02B8F913" w14:textId="77777777" w:rsidR="002147D2" w:rsidRDefault="002147D2" w:rsidP="002147D2">
            <w:pPr>
              <w:pStyle w:val="TableText"/>
            </w:pPr>
            <w:r>
              <w:t>Treatment would continue until there is progression of the disease (or intolerable side effects).</w:t>
            </w:r>
          </w:p>
          <w:p w14:paraId="0D380248" w14:textId="77777777" w:rsidR="002147D2" w:rsidRDefault="002147D2" w:rsidP="002147D2">
            <w:pPr>
              <w:pStyle w:val="TableText"/>
            </w:pPr>
            <w:r>
              <w:t>This would mean that, compared with current treatment, there would be a similar number of treatment appointments to attend for those patients receiving chemotherapy, but these appointments would last longer. For patients receiving cetuximab as monotherapy, this would mean additional fortnightly treatment visits that otherwise would not have happened. Cetuximab would be administered in the outpatient infusion centre, so patients would need to travel, but there would be no prescription charge. There may be other medicines needed to manage side effects that may have a prescription charge.</w:t>
            </w:r>
          </w:p>
          <w:p w14:paraId="38BC41DC" w14:textId="77777777" w:rsidR="002147D2" w:rsidRDefault="002147D2" w:rsidP="002147D2">
            <w:pPr>
              <w:pStyle w:val="TableText"/>
            </w:pPr>
            <w:r w:rsidRPr="001043A2">
              <w:t>In order to determine eligibility for this medicine, a particular</w:t>
            </w:r>
            <w:r>
              <w:t xml:space="preserve"> laboratory</w:t>
            </w:r>
            <w:r w:rsidRPr="001043A2">
              <w:t xml:space="preserve"> test would need to be done using a sample of the tumour</w:t>
            </w:r>
            <w:r>
              <w:t xml:space="preserve"> – this might mean an extra surgical procedure</w:t>
            </w:r>
            <w:r w:rsidRPr="001043A2">
              <w:t>.</w:t>
            </w:r>
          </w:p>
        </w:tc>
      </w:tr>
      <w:tr w:rsidR="002147D2" w14:paraId="26C4990D" w14:textId="77777777" w:rsidTr="00290AF3">
        <w:trPr>
          <w:cantSplit/>
        </w:trPr>
        <w:tc>
          <w:tcPr>
            <w:tcW w:w="2020" w:type="dxa"/>
            <w:tcBorders>
              <w:top w:val="single" w:sz="4" w:space="0" w:color="C2D9BA"/>
              <w:bottom w:val="single" w:sz="4" w:space="0" w:color="C2D9BA"/>
            </w:tcBorders>
            <w:shd w:val="clear" w:color="auto" w:fill="auto"/>
          </w:tcPr>
          <w:p w14:paraId="4BA62ED2" w14:textId="77777777" w:rsidR="002147D2" w:rsidRPr="0038658B" w:rsidRDefault="002147D2"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415F1A43" w14:textId="77777777" w:rsidR="002147D2" w:rsidRDefault="002147D2" w:rsidP="002147D2">
            <w:pPr>
              <w:pStyle w:val="TableText"/>
            </w:pPr>
            <w:r w:rsidRPr="00614693">
              <w:t xml:space="preserve">Additional </w:t>
            </w:r>
            <w:r>
              <w:t>treatment appointments required (at least for monotherapy).</w:t>
            </w:r>
          </w:p>
          <w:p w14:paraId="787F4C5C" w14:textId="77777777" w:rsidR="002147D2" w:rsidRDefault="002147D2" w:rsidP="002147D2">
            <w:pPr>
              <w:pStyle w:val="TableText"/>
            </w:pPr>
            <w:r>
              <w:t xml:space="preserve">Additional </w:t>
            </w:r>
            <w:r w:rsidRPr="00614693">
              <w:t>follow-up appointments required</w:t>
            </w:r>
            <w:r>
              <w:t xml:space="preserve"> (at least for monotherapy)</w:t>
            </w:r>
            <w:r w:rsidRPr="00614693">
              <w:t>.</w:t>
            </w:r>
          </w:p>
          <w:p w14:paraId="46A16553" w14:textId="77777777" w:rsidR="002147D2" w:rsidRDefault="002147D2" w:rsidP="002147D2">
            <w:pPr>
              <w:pStyle w:val="TableText"/>
            </w:pPr>
            <w:r w:rsidRPr="00614693">
              <w:t xml:space="preserve">Additional chair time </w:t>
            </w:r>
            <w:r>
              <w:t>for administration of treatment required</w:t>
            </w:r>
            <w:r w:rsidRPr="00614693">
              <w:t>.</w:t>
            </w:r>
          </w:p>
          <w:p w14:paraId="38B8FD64" w14:textId="77777777" w:rsidR="002147D2" w:rsidRDefault="002147D2" w:rsidP="002147D2">
            <w:pPr>
              <w:pStyle w:val="TableText"/>
            </w:pPr>
            <w:r w:rsidRPr="00614693">
              <w:t>Increased demand for laboratory</w:t>
            </w:r>
            <w:r>
              <w:t xml:space="preserve"> and pathology services to determine eligibility for treatment and monitor for treatment toxicities. Specifically, molecular testing would be required to determine RAS mutational status. This testing is not routinely available in Aotearoa. A tissue sample would be required which may require additional surgical intervention for sample acquisition.</w:t>
            </w:r>
          </w:p>
          <w:p w14:paraId="2BDDAFCF" w14:textId="77777777" w:rsidR="002147D2" w:rsidRDefault="002147D2" w:rsidP="002147D2">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72AE60CD" w14:textId="77777777" w:rsidR="002147D2" w:rsidRDefault="002147D2" w:rsidP="002147D2">
            <w:pPr>
              <w:pStyle w:val="TableText"/>
            </w:pPr>
            <w:r>
              <w:t>Potential for increased demand for supportive care and toxicity management (including health care professionals’ time and pharmaceuticals).</w:t>
            </w:r>
          </w:p>
        </w:tc>
      </w:tr>
      <w:bookmarkEnd w:id="409"/>
    </w:tbl>
    <w:p w14:paraId="5F3055DF" w14:textId="77777777" w:rsidR="00C338E8" w:rsidRDefault="00C338E8" w:rsidP="002147D2"/>
    <w:p w14:paraId="5C5B3728" w14:textId="77777777" w:rsidR="00C338E8" w:rsidRDefault="006D7F10" w:rsidP="002147D2">
      <w:pPr>
        <w:pStyle w:val="Heading4"/>
      </w:pPr>
      <w:bookmarkStart w:id="410" w:name="_Toc100739068"/>
      <w:r>
        <w:t>Epidemiology of bowel cancer</w:t>
      </w:r>
      <w:bookmarkEnd w:id="410"/>
    </w:p>
    <w:p w14:paraId="325FEFFE" w14:textId="77777777" w:rsidR="00C338E8" w:rsidRDefault="006D7F10" w:rsidP="002147D2">
      <w:pPr>
        <w:pStyle w:val="Heading5"/>
      </w:pPr>
      <w:r w:rsidRPr="001043A2">
        <w:t>Incidence</w:t>
      </w:r>
    </w:p>
    <w:p w14:paraId="2586C3C8" w14:textId="77777777" w:rsidR="00C338E8" w:rsidRDefault="006D7F10" w:rsidP="002147D2">
      <w:r w:rsidRPr="001043A2">
        <w:t xml:space="preserve">Colorectal cancers are the </w:t>
      </w:r>
      <w:r>
        <w:t xml:space="preserve">third </w:t>
      </w:r>
      <w:r w:rsidRPr="001043A2">
        <w:t xml:space="preserve">most commonly diagnosed cancers in </w:t>
      </w:r>
      <w:r>
        <w:t>Aotearoa</w:t>
      </w:r>
      <w:r w:rsidRPr="001043A2">
        <w:t xml:space="preserve"> – with an average of 3,000 people diagnosed </w:t>
      </w:r>
      <w:r>
        <w:t>each</w:t>
      </w:r>
      <w:r w:rsidRPr="001043A2">
        <w:t xml:space="preserve"> year, including 184 Māori </w:t>
      </w:r>
      <w:r>
        <w:rPr>
          <w:noProof/>
        </w:rPr>
        <w:t>(</w:t>
      </w:r>
      <w:r w:rsidR="00F64599">
        <w:rPr>
          <w:noProof/>
        </w:rPr>
        <w:t>Te Aho</w:t>
      </w:r>
      <w:r>
        <w:rPr>
          <w:noProof/>
        </w:rPr>
        <w:t xml:space="preserve"> o </w:t>
      </w:r>
      <w:r w:rsidR="00B537E2">
        <w:rPr>
          <w:noProof/>
        </w:rPr>
        <w:t>Te Kahu</w:t>
      </w:r>
      <w:r>
        <w:rPr>
          <w:noProof/>
        </w:rPr>
        <w:t xml:space="preserve"> 2021a)</w:t>
      </w:r>
      <w:r w:rsidRPr="001043A2">
        <w:t>.</w:t>
      </w:r>
      <w:r>
        <w:t xml:space="preserve"> </w:t>
      </w:r>
      <w:r w:rsidRPr="001043A2">
        <w:t xml:space="preserve">The rate of colorectal cancer is lower for Māori (19 per 100,000) compared </w:t>
      </w:r>
      <w:r>
        <w:t>with</w:t>
      </w:r>
      <w:r w:rsidRPr="001043A2">
        <w:t xml:space="preserve"> non-Māori (24 per 100,000). The rate of colorectal cancer is also lower among Pacific peoples (18 per 100,000) compared </w:t>
      </w:r>
      <w:r>
        <w:t>with</w:t>
      </w:r>
      <w:r w:rsidRPr="001043A2">
        <w:t xml:space="preserve"> </w:t>
      </w:r>
      <w:r>
        <w:t xml:space="preserve">the non-Māori, non-Pacific, non-Asian population </w:t>
      </w:r>
      <w:r w:rsidRPr="001043A2">
        <w:t>(25 per 100,000).</w:t>
      </w:r>
    </w:p>
    <w:p w14:paraId="3E11A7B3" w14:textId="77777777" w:rsidR="00C338E8" w:rsidRDefault="00C338E8" w:rsidP="002147D2"/>
    <w:p w14:paraId="465B41EA" w14:textId="77777777" w:rsidR="00C338E8" w:rsidRDefault="006D7F10" w:rsidP="002147D2">
      <w:pPr>
        <w:pStyle w:val="Heading5"/>
      </w:pPr>
      <w:r>
        <w:lastRenderedPageBreak/>
        <w:t>Stage at diagnosis</w:t>
      </w:r>
    </w:p>
    <w:p w14:paraId="35FC7737" w14:textId="77777777" w:rsidR="00C338E8" w:rsidRDefault="006D7F10" w:rsidP="00CE5715">
      <w:pPr>
        <w:keepNext/>
        <w:keepLines/>
      </w:pPr>
      <w:r w:rsidRPr="001043A2">
        <w:t>A clinical audit of all cases of colorectal cancer diagnosed in</w:t>
      </w:r>
      <w:r>
        <w:t xml:space="preserve"> Aotearoa in</w:t>
      </w:r>
      <w:r w:rsidRPr="001043A2">
        <w:t xml:space="preserve"> 2007</w:t>
      </w:r>
      <w:r>
        <w:t>–</w:t>
      </w:r>
      <w:r w:rsidRPr="001043A2">
        <w:t>2008 identified that around three-quarters (75</w:t>
      </w:r>
      <w:r w:rsidR="00F64599">
        <w:t> percent</w:t>
      </w:r>
      <w:r w:rsidRPr="001043A2">
        <w:t xml:space="preserve">) of patients with colon or rectal cancer are diagnosed with </w:t>
      </w:r>
      <w:r>
        <w:t>s</w:t>
      </w:r>
      <w:r w:rsidRPr="001043A2">
        <w:t>tage I, II or III disease, with most of the remaining 25</w:t>
      </w:r>
      <w:r w:rsidR="00F64599">
        <w:t> percent</w:t>
      </w:r>
      <w:r w:rsidRPr="001043A2">
        <w:t xml:space="preserve"> diagnosed with </w:t>
      </w:r>
      <w:r>
        <w:t>s</w:t>
      </w:r>
      <w:r w:rsidRPr="001043A2">
        <w:t>tage IV (metastatic) disease. Māori appear to be more likely to be diagnosed with metastatic disease (29</w:t>
      </w:r>
      <w:r w:rsidR="00F64599">
        <w:t> percent</w:t>
      </w:r>
      <w:r w:rsidRPr="001043A2">
        <w:t xml:space="preserve"> colon, 29</w:t>
      </w:r>
      <w:r w:rsidR="00F64599">
        <w:t> percent</w:t>
      </w:r>
      <w:r w:rsidRPr="001043A2">
        <w:t xml:space="preserve"> rectal) than non-Māori</w:t>
      </w:r>
      <w:r>
        <w:t xml:space="preserve">, </w:t>
      </w:r>
      <w:r w:rsidRPr="001043A2">
        <w:t>non-Pacific peoples (22</w:t>
      </w:r>
      <w:r w:rsidR="00F64599">
        <w:t> percent</w:t>
      </w:r>
      <w:r w:rsidRPr="001043A2">
        <w:t xml:space="preserve"> colon, 18</w:t>
      </w:r>
      <w:r w:rsidR="00F64599">
        <w:t> percent</w:t>
      </w:r>
      <w:r w:rsidRPr="001043A2">
        <w:t xml:space="preserve"> rectal) </w:t>
      </w:r>
      <w:r w:rsidRPr="001043A2">
        <w:rPr>
          <w:noProof/>
        </w:rPr>
        <w:t xml:space="preserve">(Jackson </w:t>
      </w:r>
      <w:r w:rsidR="00C338E8">
        <w:rPr>
          <w:noProof/>
        </w:rPr>
        <w:t>et al</w:t>
      </w:r>
      <w:r w:rsidR="003B51F4">
        <w:rPr>
          <w:noProof/>
        </w:rPr>
        <w:t xml:space="preserve"> 2</w:t>
      </w:r>
      <w:r w:rsidRPr="001043A2">
        <w:rPr>
          <w:noProof/>
        </w:rPr>
        <w:t>015)</w:t>
      </w:r>
      <w:r w:rsidRPr="001043A2">
        <w:t>.</w:t>
      </w:r>
    </w:p>
    <w:p w14:paraId="31763E37" w14:textId="77777777" w:rsidR="00CE5715" w:rsidRDefault="00CE5715" w:rsidP="00CE5715">
      <w:pPr>
        <w:keepNext/>
        <w:keepLines/>
      </w:pPr>
    </w:p>
    <w:p w14:paraId="203D9787" w14:textId="77777777" w:rsidR="00C338E8" w:rsidRDefault="006D7F10" w:rsidP="002147D2">
      <w:pPr>
        <w:pStyle w:val="Heading5"/>
        <w:spacing w:before="360"/>
      </w:pPr>
      <w:r w:rsidRPr="001043A2">
        <w:t>Survival</w:t>
      </w:r>
    </w:p>
    <w:p w14:paraId="75EADDD2" w14:textId="77777777" w:rsidR="00C338E8" w:rsidRDefault="006D7F10" w:rsidP="002147D2">
      <w:r w:rsidRPr="001043A2">
        <w:rPr>
          <w:bCs/>
        </w:rPr>
        <w:t>Around half of those diagnosed with</w:t>
      </w:r>
      <w:r w:rsidRPr="001043A2">
        <w:t xml:space="preserve"> colorectal cancer will survive to </w:t>
      </w:r>
      <w:r>
        <w:t>five</w:t>
      </w:r>
      <w:r w:rsidRPr="001043A2">
        <w:t xml:space="preserve"> years (colon: 53</w:t>
      </w:r>
      <w:r w:rsidR="00F64599">
        <w:t> percent</w:t>
      </w:r>
      <w:r w:rsidRPr="001043A2">
        <w:t xml:space="preserve"> Māori, 61</w:t>
      </w:r>
      <w:r w:rsidR="00F64599">
        <w:t> percent</w:t>
      </w:r>
      <w:r w:rsidRPr="001043A2">
        <w:t xml:space="preserve"> non-Māori; rectal: 55</w:t>
      </w:r>
      <w:r w:rsidR="00F64599">
        <w:t> percent</w:t>
      </w:r>
      <w:r w:rsidRPr="001043A2">
        <w:t xml:space="preserve"> Māori, 67</w:t>
      </w:r>
      <w:r w:rsidR="00F64599">
        <w:t> percent</w:t>
      </w:r>
      <w:r w:rsidRPr="001043A2">
        <w:t xml:space="preserve"> non-Māori</w:t>
      </w:r>
      <w:r>
        <w:t xml:space="preserve">) </w:t>
      </w:r>
      <w:r>
        <w:rPr>
          <w:noProof/>
        </w:rPr>
        <w:t xml:space="preserve">(Gurney, Stanley, McLeod, </w:t>
      </w:r>
      <w:r w:rsidR="00C338E8">
        <w:rPr>
          <w:noProof/>
        </w:rPr>
        <w:t>et al</w:t>
      </w:r>
      <w:r w:rsidR="003B51F4">
        <w:rPr>
          <w:noProof/>
        </w:rPr>
        <w:t xml:space="preserve"> 2</w:t>
      </w:r>
      <w:r>
        <w:rPr>
          <w:noProof/>
        </w:rPr>
        <w:t>020)</w:t>
      </w:r>
      <w:r w:rsidRPr="001043A2">
        <w:t xml:space="preserve">. </w:t>
      </w:r>
      <w:r>
        <w:t>Aotearoa</w:t>
      </w:r>
      <w:r w:rsidRPr="001043A2">
        <w:t xml:space="preserve"> is </w:t>
      </w:r>
      <w:r>
        <w:t>fifth</w:t>
      </w:r>
      <w:r w:rsidRPr="001043A2">
        <w:t xml:space="preserve"> out of seven high-income countries for five-year survival from colorectal cancer </w:t>
      </w:r>
      <w:r>
        <w:rPr>
          <w:noProof/>
        </w:rPr>
        <w:t xml:space="preserve">(Arnold </w:t>
      </w:r>
      <w:r w:rsidR="00C338E8">
        <w:rPr>
          <w:noProof/>
        </w:rPr>
        <w:t>et al</w:t>
      </w:r>
      <w:r w:rsidR="003B51F4">
        <w:rPr>
          <w:noProof/>
        </w:rPr>
        <w:t xml:space="preserve"> 2</w:t>
      </w:r>
      <w:r>
        <w:rPr>
          <w:noProof/>
        </w:rPr>
        <w:t>019)</w:t>
      </w:r>
      <w:r w:rsidRPr="001043A2">
        <w:t>.</w:t>
      </w:r>
      <w:r>
        <w:rPr>
          <w:color w:val="FF0000"/>
        </w:rPr>
        <w:t xml:space="preserve"> </w:t>
      </w:r>
      <w:r w:rsidRPr="001043A2">
        <w:t>More than 90</w:t>
      </w:r>
      <w:r w:rsidR="00F64599">
        <w:t> percent</w:t>
      </w:r>
      <w:r w:rsidRPr="001043A2">
        <w:t xml:space="preserve"> of those diagnosed with localised colorectal cancer will survive to five years (94</w:t>
      </w:r>
      <w:r w:rsidR="00F64599">
        <w:t> percent</w:t>
      </w:r>
      <w:r w:rsidRPr="001043A2">
        <w:t xml:space="preserve"> colon, 93</w:t>
      </w:r>
      <w:r w:rsidR="00F64599">
        <w:t> percent</w:t>
      </w:r>
      <w:r w:rsidRPr="001043A2">
        <w:t xml:space="preserve"> rectal), compared </w:t>
      </w:r>
      <w:r>
        <w:t>with</w:t>
      </w:r>
      <w:r w:rsidRPr="001043A2">
        <w:t xml:space="preserve"> 74</w:t>
      </w:r>
      <w:r w:rsidR="00F64599">
        <w:t> percent</w:t>
      </w:r>
      <w:r w:rsidRPr="001043A2">
        <w:t xml:space="preserve"> of those with regional disease (both colon and rectal) and around 10</w:t>
      </w:r>
      <w:r w:rsidR="00F64599">
        <w:t> percent</w:t>
      </w:r>
      <w:r w:rsidRPr="001043A2">
        <w:t xml:space="preserve"> of those with advanced disease (13</w:t>
      </w:r>
      <w:r w:rsidR="00F64599">
        <w:t> percent</w:t>
      </w:r>
      <w:r w:rsidRPr="001043A2">
        <w:t xml:space="preserve"> colon, 10</w:t>
      </w:r>
      <w:r w:rsidR="00F64599">
        <w:t> percent</w:t>
      </w:r>
      <w:r w:rsidRPr="001043A2">
        <w:t xml:space="preserve"> rectal) </w:t>
      </w:r>
      <w:r w:rsidRPr="001043A2">
        <w:rPr>
          <w:noProof/>
        </w:rPr>
        <w:t xml:space="preserve">(Araghi </w:t>
      </w:r>
      <w:r w:rsidR="00C338E8">
        <w:rPr>
          <w:noProof/>
        </w:rPr>
        <w:t>et al</w:t>
      </w:r>
      <w:r w:rsidR="003B51F4">
        <w:rPr>
          <w:noProof/>
        </w:rPr>
        <w:t xml:space="preserve"> 2</w:t>
      </w:r>
      <w:r w:rsidRPr="001043A2">
        <w:rPr>
          <w:noProof/>
        </w:rPr>
        <w:t>021)</w:t>
      </w:r>
      <w:r w:rsidRPr="001043A2">
        <w:t>.</w:t>
      </w:r>
      <w:r>
        <w:t xml:space="preserve"> </w:t>
      </w:r>
      <w:r w:rsidRPr="001043A2">
        <w:t>Based on data from 2007</w:t>
      </w:r>
      <w:r w:rsidR="00D318FD">
        <w:t>–</w:t>
      </w:r>
      <w:r w:rsidRPr="001043A2">
        <w:t xml:space="preserve">2016, Māori patients with colorectal cancer are more likely to die </w:t>
      </w:r>
      <w:r>
        <w:t xml:space="preserve">from their cancer </w:t>
      </w:r>
      <w:r w:rsidRPr="001043A2">
        <w:t>than non-Māori patients with colorectal cancer (colon: 46</w:t>
      </w:r>
      <w:r w:rsidR="00F64599">
        <w:t> percent</w:t>
      </w:r>
      <w:r w:rsidRPr="001043A2">
        <w:t xml:space="preserve"> more likely; rectal: 72</w:t>
      </w:r>
      <w:r w:rsidR="00F64599">
        <w:t> percent</w:t>
      </w:r>
      <w:r w:rsidRPr="001043A2">
        <w:t xml:space="preserve"> more likely)</w:t>
      </w:r>
      <w:r>
        <w:t xml:space="preserve"> </w:t>
      </w:r>
      <w:r>
        <w:rPr>
          <w:noProof/>
        </w:rPr>
        <w:t xml:space="preserve">(Gurney, Stanley, McLeod, </w:t>
      </w:r>
      <w:r w:rsidR="00C338E8">
        <w:rPr>
          <w:noProof/>
        </w:rPr>
        <w:t>et al</w:t>
      </w:r>
      <w:r w:rsidR="003B51F4">
        <w:rPr>
          <w:noProof/>
        </w:rPr>
        <w:t xml:space="preserve"> 2</w:t>
      </w:r>
      <w:r>
        <w:rPr>
          <w:noProof/>
        </w:rPr>
        <w:t>020)</w:t>
      </w:r>
      <w:r w:rsidRPr="001043A2">
        <w:t>.</w:t>
      </w:r>
    </w:p>
    <w:p w14:paraId="4E4CC1F1" w14:textId="77777777" w:rsidR="00C338E8" w:rsidRDefault="00C338E8" w:rsidP="002147D2"/>
    <w:p w14:paraId="71B90FBE" w14:textId="77777777" w:rsidR="00C338E8" w:rsidRDefault="006D7F10" w:rsidP="002147D2">
      <w:pPr>
        <w:pStyle w:val="Heading5"/>
      </w:pPr>
      <w:r w:rsidRPr="001043A2">
        <w:t>Mortality</w:t>
      </w:r>
    </w:p>
    <w:p w14:paraId="639DDA04" w14:textId="77777777" w:rsidR="00C338E8" w:rsidRPr="002147D2" w:rsidRDefault="006D7F10" w:rsidP="002147D2">
      <w:r w:rsidRPr="001043A2">
        <w:rPr>
          <w:bCs/>
        </w:rPr>
        <w:t xml:space="preserve">On average over the last decade, there have been </w:t>
      </w:r>
      <w:r w:rsidRPr="001043A2">
        <w:t xml:space="preserve">1,230 deaths </w:t>
      </w:r>
      <w:r>
        <w:t>each</w:t>
      </w:r>
      <w:r w:rsidRPr="001043A2">
        <w:t xml:space="preserve"> year from colorectal cancer, including 70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043A2">
        <w:t xml:space="preserve">. Mortality rates for colorectal cancer are lower among Māori (7 per 100,000) compared </w:t>
      </w:r>
      <w:r>
        <w:t>with</w:t>
      </w:r>
      <w:r w:rsidRPr="001043A2">
        <w:t xml:space="preserve"> non-Māori (8 per 100,000). The colorectal cancer mortality rate is also lower for Pacific peoples (7 per 100,000) compared </w:t>
      </w:r>
      <w:r>
        <w:t>with</w:t>
      </w:r>
      <w:r w:rsidRPr="001043A2">
        <w:t xml:space="preserve"> </w:t>
      </w:r>
      <w:r>
        <w:t xml:space="preserve">the </w:t>
      </w:r>
      <w:r w:rsidRPr="001043A2">
        <w:t>non-Māori</w:t>
      </w:r>
      <w:r>
        <w:t>, non-</w:t>
      </w:r>
      <w:r w:rsidRPr="001043A2">
        <w:t>Pacific</w:t>
      </w:r>
      <w:r>
        <w:t>, non-</w:t>
      </w:r>
      <w:r w:rsidRPr="001043A2">
        <w:t xml:space="preserve">Asian </w:t>
      </w:r>
      <w:r>
        <w:t>population</w:t>
      </w:r>
      <w:r w:rsidRPr="001043A2">
        <w:t xml:space="preserve"> (10 per 100,000)</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w:t>
      </w:r>
    </w:p>
    <w:p w14:paraId="39C1BE2B" w14:textId="77777777" w:rsidR="00C338E8" w:rsidRDefault="00C338E8" w:rsidP="002147D2"/>
    <w:p w14:paraId="58A954FB" w14:textId="77777777" w:rsidR="00C338E8" w:rsidRDefault="006D7F10" w:rsidP="00D318FD">
      <w:pPr>
        <w:pStyle w:val="Heading3"/>
        <w:keepNext w:val="0"/>
        <w:pageBreakBefore/>
        <w:spacing w:before="0"/>
      </w:pPr>
      <w:bookmarkStart w:id="411" w:name="_Toc100739069"/>
      <w:r>
        <w:lastRenderedPageBreak/>
        <w:t>Kidney cancer</w:t>
      </w:r>
      <w:bookmarkEnd w:id="411"/>
    </w:p>
    <w:p w14:paraId="732E0775" w14:textId="77777777" w:rsidR="006D7F10" w:rsidRDefault="006D7F10" w:rsidP="002147D2">
      <w:pPr>
        <w:pStyle w:val="Table"/>
      </w:pPr>
      <w:bookmarkStart w:id="412" w:name="_Toc101365626"/>
      <w:bookmarkStart w:id="413" w:name="Appendix_7_Table_7point10"/>
      <w:r>
        <w:t>Table</w:t>
      </w:r>
      <w:r w:rsidR="002147D2">
        <w:t> </w:t>
      </w:r>
      <w:r>
        <w:t>7.10: Nivolumab with ipilimumab for kidney cancer – first-line therapy</w:t>
      </w:r>
      <w:bookmarkEnd w:id="41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674"/>
        <w:gridCol w:w="5386"/>
      </w:tblGrid>
      <w:tr w:rsidR="00D318FD" w14:paraId="539DD460" w14:textId="77777777" w:rsidTr="00290AF3">
        <w:trPr>
          <w:cantSplit/>
        </w:trPr>
        <w:tc>
          <w:tcPr>
            <w:tcW w:w="2020" w:type="dxa"/>
            <w:tcBorders>
              <w:top w:val="nil"/>
              <w:bottom w:val="nil"/>
            </w:tcBorders>
            <w:shd w:val="clear" w:color="auto" w:fill="C2D9BA"/>
          </w:tcPr>
          <w:p w14:paraId="47E11162" w14:textId="77777777" w:rsidR="00D318FD" w:rsidRPr="00181CD3" w:rsidRDefault="00D318FD"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2064BC70" w14:textId="77777777" w:rsidR="00D318FD" w:rsidRDefault="00D318FD" w:rsidP="001E7335">
            <w:pPr>
              <w:pStyle w:val="TableText"/>
            </w:pPr>
            <w:r w:rsidRPr="001043A2">
              <w:t xml:space="preserve">Renal cell carcinoma (RCC), clear cell variant, stage IV, intermediate/poor risk, </w:t>
            </w:r>
            <w:r>
              <w:t>first-line therapy</w:t>
            </w:r>
          </w:p>
        </w:tc>
      </w:tr>
      <w:tr w:rsidR="00D318FD" w14:paraId="48D80579" w14:textId="77777777" w:rsidTr="00290AF3">
        <w:trPr>
          <w:cantSplit/>
        </w:trPr>
        <w:tc>
          <w:tcPr>
            <w:tcW w:w="2020" w:type="dxa"/>
            <w:tcBorders>
              <w:top w:val="single" w:sz="4" w:space="0" w:color="C2D9BA"/>
              <w:bottom w:val="single" w:sz="4" w:space="0" w:color="C2D9BA"/>
            </w:tcBorders>
            <w:shd w:val="clear" w:color="auto" w:fill="E7F0E3"/>
          </w:tcPr>
          <w:p w14:paraId="68E94FD9" w14:textId="77777777" w:rsidR="00D318FD" w:rsidRPr="00181CD3" w:rsidRDefault="00D318FD" w:rsidP="00D318FD">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59A92407" w14:textId="77777777" w:rsidR="00D318FD" w:rsidRDefault="00D318FD" w:rsidP="00D318FD">
            <w:pPr>
              <w:pStyle w:val="TableText"/>
            </w:pPr>
            <w:r>
              <w:t>Nivolumab with ipilimumab</w:t>
            </w:r>
          </w:p>
        </w:tc>
      </w:tr>
      <w:tr w:rsidR="00D318FD" w14:paraId="00A1A952" w14:textId="77777777" w:rsidTr="00290AF3">
        <w:trPr>
          <w:cantSplit/>
        </w:trPr>
        <w:tc>
          <w:tcPr>
            <w:tcW w:w="2020" w:type="dxa"/>
            <w:tcBorders>
              <w:top w:val="single" w:sz="4" w:space="0" w:color="C2D9BA"/>
              <w:bottom w:val="single" w:sz="4" w:space="0" w:color="C2D9BA"/>
            </w:tcBorders>
            <w:shd w:val="clear" w:color="auto" w:fill="auto"/>
          </w:tcPr>
          <w:p w14:paraId="2256C023" w14:textId="77777777" w:rsidR="00D318FD" w:rsidRPr="00181CD3" w:rsidRDefault="00D318FD"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7515B5A2" w14:textId="77777777" w:rsidR="00D318FD" w:rsidRDefault="00D318FD" w:rsidP="001E7335">
            <w:pPr>
              <w:pStyle w:val="TableText"/>
            </w:pPr>
            <w:r>
              <w:t>Nivolumab: immune checkpoint inhibitor (monoclonal antibody targeting PD-1 protein)</w:t>
            </w:r>
          </w:p>
          <w:p w14:paraId="5CE60D86" w14:textId="77777777" w:rsidR="00D318FD" w:rsidRDefault="00D318FD" w:rsidP="00D318FD">
            <w:pPr>
              <w:pStyle w:val="TableText"/>
            </w:pPr>
            <w:r>
              <w:t>Ipilimumab: immune checkpoint inhibitor (monoclonal antibody targeting CTLA-4 protein)</w:t>
            </w:r>
          </w:p>
        </w:tc>
      </w:tr>
      <w:tr w:rsidR="00D318FD" w14:paraId="41FBF987" w14:textId="77777777" w:rsidTr="00290AF3">
        <w:trPr>
          <w:cantSplit/>
        </w:trPr>
        <w:tc>
          <w:tcPr>
            <w:tcW w:w="2020" w:type="dxa"/>
            <w:tcBorders>
              <w:top w:val="single" w:sz="4" w:space="0" w:color="C2D9BA"/>
              <w:bottom w:val="single" w:sz="4" w:space="0" w:color="C2D9BA"/>
            </w:tcBorders>
            <w:shd w:val="clear" w:color="auto" w:fill="auto"/>
          </w:tcPr>
          <w:p w14:paraId="54E967E2" w14:textId="77777777" w:rsidR="00D318FD" w:rsidRPr="00181CD3" w:rsidRDefault="00D318FD"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194332AE" w14:textId="77777777" w:rsidR="00D318FD" w:rsidRDefault="00D318FD" w:rsidP="001E7335">
            <w:pPr>
              <w:pStyle w:val="TableText"/>
            </w:pPr>
            <w:r>
              <w:t>Non-curative</w:t>
            </w:r>
          </w:p>
        </w:tc>
      </w:tr>
      <w:tr w:rsidR="00D318FD" w14:paraId="1A5F670B" w14:textId="77777777" w:rsidTr="00D318FD">
        <w:trPr>
          <w:cantSplit/>
        </w:trPr>
        <w:tc>
          <w:tcPr>
            <w:tcW w:w="2020" w:type="dxa"/>
            <w:tcBorders>
              <w:top w:val="single" w:sz="4" w:space="0" w:color="C2D9BA"/>
              <w:bottom w:val="single" w:sz="4" w:space="0" w:color="C2D9BA"/>
            </w:tcBorders>
            <w:shd w:val="clear" w:color="auto" w:fill="auto"/>
          </w:tcPr>
          <w:p w14:paraId="7AA09258" w14:textId="77777777" w:rsidR="00D318FD" w:rsidRPr="00181CD3" w:rsidRDefault="00D318FD"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7D1B4628" w14:textId="77777777" w:rsidR="00D318FD" w:rsidRDefault="00D318FD" w:rsidP="00D318FD">
            <w:pPr>
              <w:pStyle w:val="TableText"/>
            </w:pPr>
            <w:r>
              <w:t>No application received.</w:t>
            </w:r>
          </w:p>
        </w:tc>
      </w:tr>
      <w:tr w:rsidR="00D318FD" w14:paraId="28A43AF3" w14:textId="77777777" w:rsidTr="00D318FD">
        <w:trPr>
          <w:cantSplit/>
        </w:trPr>
        <w:tc>
          <w:tcPr>
            <w:tcW w:w="2020" w:type="dxa"/>
            <w:tcBorders>
              <w:top w:val="single" w:sz="4" w:space="0" w:color="C2D9BA"/>
              <w:bottom w:val="single" w:sz="4" w:space="0" w:color="C2D9BA"/>
            </w:tcBorders>
            <w:shd w:val="clear" w:color="auto" w:fill="auto"/>
          </w:tcPr>
          <w:p w14:paraId="5900C3DF" w14:textId="77777777" w:rsidR="00D318FD" w:rsidRPr="0038658B" w:rsidRDefault="00D318FD" w:rsidP="00290AF3">
            <w:pPr>
              <w:pStyle w:val="TableText"/>
              <w:ind w:right="113"/>
              <w:rPr>
                <w:b/>
              </w:rPr>
            </w:pPr>
            <w:r w:rsidRPr="0038658B">
              <w:rPr>
                <w:b/>
              </w:rPr>
              <w:t>ESMO-MCBS clinical benefit score and summary of data informing the score</w:t>
            </w:r>
          </w:p>
        </w:tc>
        <w:tc>
          <w:tcPr>
            <w:tcW w:w="674" w:type="dxa"/>
            <w:tcBorders>
              <w:top w:val="single" w:sz="4" w:space="0" w:color="C2D9BA"/>
              <w:bottom w:val="single" w:sz="4" w:space="0" w:color="C2D9BA"/>
            </w:tcBorders>
            <w:shd w:val="clear" w:color="auto" w:fill="auto"/>
          </w:tcPr>
          <w:p w14:paraId="0D6728AB" w14:textId="77777777" w:rsidR="00D318FD" w:rsidRDefault="00D318FD" w:rsidP="001E7335">
            <w:pPr>
              <w:pStyle w:val="TableText"/>
            </w:pPr>
            <w:r>
              <w:t>4</w:t>
            </w:r>
          </w:p>
        </w:tc>
        <w:tc>
          <w:tcPr>
            <w:tcW w:w="5386" w:type="dxa"/>
            <w:tcBorders>
              <w:top w:val="single" w:sz="4" w:space="0" w:color="C2D9BA"/>
              <w:bottom w:val="single" w:sz="4" w:space="0" w:color="C2D9BA"/>
            </w:tcBorders>
            <w:shd w:val="clear" w:color="auto" w:fill="auto"/>
          </w:tcPr>
          <w:p w14:paraId="498FD5C1" w14:textId="77777777" w:rsidR="00D318FD" w:rsidRDefault="00D318FD" w:rsidP="001E7335">
            <w:pPr>
              <w:pStyle w:val="TableText"/>
            </w:pPr>
            <w:r>
              <w:t>Compared with sunitinib:</w:t>
            </w:r>
          </w:p>
          <w:p w14:paraId="2E081858" w14:textId="77777777" w:rsidR="00D318FD" w:rsidRDefault="00D318FD" w:rsidP="001E7335">
            <w:pPr>
              <w:pStyle w:val="TableText"/>
            </w:pPr>
            <w:r>
              <w:t>Gain in median overall survival of 21.5 months</w:t>
            </w:r>
          </w:p>
          <w:p w14:paraId="079AA989" w14:textId="77777777" w:rsidR="00D318FD" w:rsidRDefault="00D318FD" w:rsidP="001E7335">
            <w:pPr>
              <w:pStyle w:val="TableText"/>
            </w:pPr>
            <w:r>
              <w:t>Progression-free survival results did not contribute to the score.</w:t>
            </w:r>
          </w:p>
          <w:p w14:paraId="53669DC6" w14:textId="77777777" w:rsidR="00D318FD" w:rsidRDefault="00D318FD" w:rsidP="001E7335">
            <w:pPr>
              <w:pStyle w:val="TableText"/>
            </w:pPr>
            <w:r>
              <w:t>Toxicity and quality-of-life results did not contribute to the score.</w:t>
            </w:r>
          </w:p>
          <w:p w14:paraId="22BF86D4" w14:textId="77777777" w:rsidR="00D318FD" w:rsidRDefault="0056499C" w:rsidP="00D318FD">
            <w:pPr>
              <w:pStyle w:val="TableText"/>
            </w:pPr>
            <w:hyperlink r:id="rId104" w:history="1">
              <w:r w:rsidR="00D318FD" w:rsidRPr="00333377">
                <w:rPr>
                  <w:rStyle w:val="Hyperlink"/>
                  <w:rFonts w:eastAsia="MS Gothic"/>
                </w:rPr>
                <w:t>www.esmo.org/guidelines/esmo-mcbs/esmo-mcbs-scorecards/scorecard-117-1</w:t>
              </w:r>
            </w:hyperlink>
          </w:p>
        </w:tc>
      </w:tr>
      <w:tr w:rsidR="00D318FD" w14:paraId="6649791C" w14:textId="77777777" w:rsidTr="00290AF3">
        <w:trPr>
          <w:cantSplit/>
        </w:trPr>
        <w:tc>
          <w:tcPr>
            <w:tcW w:w="2020" w:type="dxa"/>
            <w:tcBorders>
              <w:top w:val="single" w:sz="4" w:space="0" w:color="C2D9BA"/>
              <w:bottom w:val="single" w:sz="4" w:space="0" w:color="C2D9BA"/>
            </w:tcBorders>
            <w:shd w:val="clear" w:color="auto" w:fill="auto"/>
          </w:tcPr>
          <w:p w14:paraId="3F763E24" w14:textId="77777777" w:rsidR="00D318FD" w:rsidRPr="0038658B" w:rsidRDefault="00D318FD"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363AB7F5" w14:textId="77777777" w:rsidR="00D318FD" w:rsidRDefault="00D318FD" w:rsidP="001E7335">
            <w:pPr>
              <w:pStyle w:val="TableText"/>
            </w:pPr>
            <w:r w:rsidRPr="001043A2">
              <w:t>In Aotearoa</w:t>
            </w:r>
            <w:r>
              <w:t>,</w:t>
            </w:r>
            <w:r w:rsidRPr="001043A2">
              <w:t xml:space="preserve"> the current treatment for these patients is a tyrosine kinase inhibitor (either sunitinib or pazopanib).</w:t>
            </w:r>
          </w:p>
          <w:p w14:paraId="05AFF36C" w14:textId="77777777" w:rsidR="00D318FD" w:rsidRDefault="00D318FD" w:rsidP="001E7335">
            <w:pPr>
              <w:pStyle w:val="TableText"/>
            </w:pPr>
            <w:r w:rsidRPr="001043A2">
              <w:t>If nivolumab with ipilimumab were funded for this indication</w:t>
            </w:r>
            <w:r>
              <w:t>,</w:t>
            </w:r>
            <w:r w:rsidRPr="001043A2">
              <w:t xml:space="preserve"> it would replace sunitinib/pazopanib for some people. However</w:t>
            </w:r>
            <w:r>
              <w:t>,</w:t>
            </w:r>
            <w:r w:rsidRPr="001043A2">
              <w:t xml:space="preserve"> nivolumab with ipilimumab may not be suitable for all patients</w:t>
            </w:r>
            <w:r>
              <w:t>.</w:t>
            </w:r>
          </w:p>
          <w:p w14:paraId="4A1A194D" w14:textId="77777777" w:rsidR="00D318FD" w:rsidRDefault="00D318FD" w:rsidP="00D318FD">
            <w:pPr>
              <w:pStyle w:val="TableText"/>
            </w:pPr>
            <w:r>
              <w:t xml:space="preserve">Patients would only receive immune checkpoint inhibitor treatment in one line of therapy, and </w:t>
            </w:r>
            <w:r w:rsidRPr="00CF52B3">
              <w:t>clinical advice indicated that giving it earlier rather than later is generally preferred</w:t>
            </w:r>
            <w:r>
              <w:t>. This means that if this gap were funded, the gap for nivolumab in the second line would become redundant (for those people who received nivolumab with ipilimumab in the first line).</w:t>
            </w:r>
          </w:p>
        </w:tc>
      </w:tr>
      <w:tr w:rsidR="00D318FD" w14:paraId="1CA0587A" w14:textId="77777777" w:rsidTr="00290AF3">
        <w:trPr>
          <w:cantSplit/>
        </w:trPr>
        <w:tc>
          <w:tcPr>
            <w:tcW w:w="2020" w:type="dxa"/>
            <w:tcBorders>
              <w:top w:val="single" w:sz="4" w:space="0" w:color="C2D9BA"/>
              <w:bottom w:val="single" w:sz="4" w:space="0" w:color="C2D9BA"/>
            </w:tcBorders>
            <w:shd w:val="clear" w:color="auto" w:fill="auto"/>
          </w:tcPr>
          <w:p w14:paraId="2BB814B8" w14:textId="77777777" w:rsidR="00D318FD" w:rsidRPr="0038658B" w:rsidRDefault="00D318FD"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4FFF9FC0" w14:textId="77777777" w:rsidR="00D318FD" w:rsidRDefault="00D318FD" w:rsidP="001E7335">
            <w:pPr>
              <w:pStyle w:val="TableText"/>
            </w:pPr>
            <w:r>
              <w:t xml:space="preserve">A Pharmac estimate of the eligible population size was not readily available at time of publication. An approximation was calculated by using the average number of people diagnosed with kidney cancer, applying the proportion likely to be clear-cell, and then applying the proportion diagnosed at an advanced stage (see ‘epidemiology of kidney cancer’ section below). Based on this, the size of the eligible population was likely to be under 95 people per year [540*80%*22%=95], as this calculation did not </w:t>
            </w:r>
            <w:proofErr w:type="gramStart"/>
            <w:r>
              <w:t>take into account</w:t>
            </w:r>
            <w:proofErr w:type="gramEnd"/>
            <w:r>
              <w:t xml:space="preserve"> the proportion at intermediate/poor risk.</w:t>
            </w:r>
          </w:p>
        </w:tc>
      </w:tr>
      <w:tr w:rsidR="00D318FD" w14:paraId="4E7DFA29" w14:textId="77777777" w:rsidTr="00290AF3">
        <w:trPr>
          <w:cantSplit/>
        </w:trPr>
        <w:tc>
          <w:tcPr>
            <w:tcW w:w="2020" w:type="dxa"/>
            <w:tcBorders>
              <w:top w:val="single" w:sz="4" w:space="0" w:color="C2D9BA"/>
              <w:bottom w:val="single" w:sz="4" w:space="0" w:color="C2D9BA"/>
            </w:tcBorders>
            <w:shd w:val="clear" w:color="auto" w:fill="auto"/>
          </w:tcPr>
          <w:p w14:paraId="4E6EFDFC" w14:textId="77777777" w:rsidR="00D318FD" w:rsidRPr="0038658B" w:rsidRDefault="00D318FD"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13129932" w14:textId="77777777" w:rsidR="00D318FD" w:rsidRDefault="00D318FD" w:rsidP="001E7335">
            <w:pPr>
              <w:pStyle w:val="TableText"/>
            </w:pPr>
            <w:r>
              <w:t>These medicines are given by infusion.</w:t>
            </w:r>
          </w:p>
          <w:p w14:paraId="4B8BD52D" w14:textId="77777777" w:rsidR="00D318FD" w:rsidRDefault="00D318FD" w:rsidP="001E7335">
            <w:pPr>
              <w:pStyle w:val="TableText"/>
            </w:pPr>
            <w:r>
              <w:t>For the first three months of treatment, ipilimumab and nivolumab would be given every three weeks on the same day. After that, no more ipilimumab would be given, but treatment with nivolumab would continue – given every two to four weeks – until disease progression (or unacceptable toxicity).</w:t>
            </w:r>
          </w:p>
        </w:tc>
      </w:tr>
      <w:tr w:rsidR="00D318FD" w14:paraId="46CF2C19" w14:textId="77777777" w:rsidTr="00290AF3">
        <w:trPr>
          <w:cantSplit/>
        </w:trPr>
        <w:tc>
          <w:tcPr>
            <w:tcW w:w="2020" w:type="dxa"/>
            <w:tcBorders>
              <w:top w:val="single" w:sz="4" w:space="0" w:color="C2D9BA"/>
              <w:bottom w:val="single" w:sz="4" w:space="0" w:color="C2D9BA"/>
            </w:tcBorders>
            <w:shd w:val="clear" w:color="auto" w:fill="auto"/>
          </w:tcPr>
          <w:p w14:paraId="51F2D66D" w14:textId="77777777" w:rsidR="00D318FD" w:rsidRPr="0038658B" w:rsidRDefault="00D318FD"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6C190423" w14:textId="77777777" w:rsidR="00D318FD" w:rsidRDefault="00D318FD" w:rsidP="001E7335">
            <w:pPr>
              <w:pStyle w:val="TableText"/>
            </w:pPr>
            <w:r>
              <w:t>This treatment would replace the current treatment options (either sunitinib or pazopanib), with the potential clinical benefit described above.</w:t>
            </w:r>
          </w:p>
          <w:p w14:paraId="16C0AC2D" w14:textId="77777777" w:rsidR="00D318FD" w:rsidRDefault="00D318FD" w:rsidP="001E7335">
            <w:pPr>
              <w:pStyle w:val="TableText"/>
            </w:pPr>
            <w:r>
              <w:t>The current treatment is a tablet that can be taken at home, whereas nivolumab and ipilimumab are given as an infusion. This would mean that, compared with the current approach, there would be more treatment appointments to attend. Both medicines would be administered in the outpatient infusion centre, so patients would need to travel, but there would be no prescription charge. There may be other medicines needed to manage side effects that may have a prescription charge. There are some particular side effects associated with immune checkpoint inhibitors that are quite different to the side effects of chemotherapy. These can develop long after treatment has stopped and may require specialised management.</w:t>
            </w:r>
          </w:p>
          <w:p w14:paraId="7899FEC1" w14:textId="77777777" w:rsidR="00D318FD" w:rsidRDefault="00D318FD" w:rsidP="00D318FD">
            <w:pPr>
              <w:pStyle w:val="TableText"/>
            </w:pPr>
            <w:r>
              <w:t>Treatment would continue until there is progression of the disease (or intolerable side effects).</w:t>
            </w:r>
          </w:p>
        </w:tc>
      </w:tr>
      <w:tr w:rsidR="00D318FD" w14:paraId="2FD84026" w14:textId="77777777" w:rsidTr="00290AF3">
        <w:trPr>
          <w:cantSplit/>
        </w:trPr>
        <w:tc>
          <w:tcPr>
            <w:tcW w:w="2020" w:type="dxa"/>
            <w:tcBorders>
              <w:top w:val="single" w:sz="4" w:space="0" w:color="C2D9BA"/>
              <w:bottom w:val="single" w:sz="4" w:space="0" w:color="C2D9BA"/>
            </w:tcBorders>
            <w:shd w:val="clear" w:color="auto" w:fill="auto"/>
          </w:tcPr>
          <w:p w14:paraId="14DB89D6" w14:textId="77777777" w:rsidR="00D318FD" w:rsidRPr="0038658B" w:rsidRDefault="00D318FD"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4543868C" w14:textId="77777777" w:rsidR="00D318FD" w:rsidRDefault="00D318FD" w:rsidP="001E7335">
            <w:pPr>
              <w:pStyle w:val="TableText"/>
            </w:pPr>
            <w:r w:rsidRPr="00614693">
              <w:t xml:space="preserve">Additional </w:t>
            </w:r>
            <w:r>
              <w:t>treatment appointments required.</w:t>
            </w:r>
          </w:p>
          <w:p w14:paraId="4A8D7E5A" w14:textId="77777777" w:rsidR="00D318FD" w:rsidRDefault="00D318FD" w:rsidP="001E7335">
            <w:pPr>
              <w:pStyle w:val="TableText"/>
            </w:pPr>
            <w:r>
              <w:t xml:space="preserve">Additional </w:t>
            </w:r>
            <w:r w:rsidRPr="00614693">
              <w:t>follow-up appointments required</w:t>
            </w:r>
            <w:r>
              <w:t>.</w:t>
            </w:r>
          </w:p>
          <w:p w14:paraId="31352634" w14:textId="77777777" w:rsidR="00D318FD" w:rsidRDefault="00D318FD" w:rsidP="001E7335">
            <w:pPr>
              <w:pStyle w:val="TableText"/>
            </w:pPr>
            <w:r w:rsidRPr="00614693">
              <w:t xml:space="preserve">Additional chair time </w:t>
            </w:r>
            <w:r>
              <w:t>for administration of treatment required.</w:t>
            </w:r>
          </w:p>
          <w:p w14:paraId="5F0754C2" w14:textId="77777777" w:rsidR="00D318FD" w:rsidRDefault="00D318FD" w:rsidP="001E7335">
            <w:pPr>
              <w:pStyle w:val="TableText"/>
            </w:pPr>
            <w:r w:rsidRPr="00614693">
              <w:t>Increased demand for laboratory</w:t>
            </w:r>
            <w:r>
              <w:t xml:space="preserve"> and pathology services to determine eligibility for treatment and monitor for treatment toxicities.</w:t>
            </w:r>
          </w:p>
          <w:p w14:paraId="374B7556" w14:textId="77777777" w:rsidR="00D318FD" w:rsidRDefault="00D318FD"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64E13C6E" w14:textId="77777777" w:rsidR="00D318FD" w:rsidRDefault="00D318FD" w:rsidP="001E7335">
            <w:pPr>
              <w:pStyle w:val="TableText"/>
            </w:pPr>
            <w:r>
              <w:t>Potential for increased demand for supportive care and toxicity management (including health care professionals’ time and pharmaceuticals).</w:t>
            </w:r>
          </w:p>
        </w:tc>
      </w:tr>
    </w:tbl>
    <w:p w14:paraId="1621B2C5" w14:textId="77777777" w:rsidR="0038658B" w:rsidRPr="0038658B" w:rsidRDefault="0038658B" w:rsidP="0038658B"/>
    <w:p w14:paraId="25D3F58D" w14:textId="77777777" w:rsidR="006D7F10" w:rsidRDefault="006D7F10" w:rsidP="00D318FD">
      <w:pPr>
        <w:pStyle w:val="Table"/>
        <w:keepNext w:val="0"/>
        <w:pageBreakBefore/>
        <w:spacing w:before="0"/>
      </w:pPr>
      <w:bookmarkStart w:id="414" w:name="_Toc101365627"/>
      <w:bookmarkStart w:id="415" w:name="Appendix_7_Table_7point11"/>
      <w:bookmarkEnd w:id="413"/>
      <w:r>
        <w:lastRenderedPageBreak/>
        <w:t>Table</w:t>
      </w:r>
      <w:r w:rsidR="00D318FD">
        <w:t> 7</w:t>
      </w:r>
      <w:r>
        <w:t>.11: Nivolumab for kidney cancer – second-line therapy</w:t>
      </w:r>
      <w:bookmarkEnd w:id="41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D318FD" w14:paraId="7163A4E5" w14:textId="77777777" w:rsidTr="00290AF3">
        <w:trPr>
          <w:cantSplit/>
        </w:trPr>
        <w:tc>
          <w:tcPr>
            <w:tcW w:w="2020" w:type="dxa"/>
            <w:tcBorders>
              <w:top w:val="nil"/>
              <w:bottom w:val="nil"/>
            </w:tcBorders>
            <w:shd w:val="clear" w:color="auto" w:fill="C2D9BA"/>
          </w:tcPr>
          <w:p w14:paraId="4F7FEEB9" w14:textId="77777777" w:rsidR="00D318FD" w:rsidRPr="00181CD3" w:rsidRDefault="00D318FD"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79F61A80" w14:textId="77777777" w:rsidR="00D318FD" w:rsidRDefault="00D318FD" w:rsidP="00D318FD">
            <w:pPr>
              <w:pStyle w:val="TableText"/>
            </w:pPr>
            <w:r w:rsidRPr="001043A2">
              <w:t xml:space="preserve">Renal cell carcinoma (RCC), clear cell variant, stage IV, </w:t>
            </w:r>
            <w:r>
              <w:t>second-line therapy</w:t>
            </w:r>
          </w:p>
        </w:tc>
      </w:tr>
      <w:tr w:rsidR="00D318FD" w14:paraId="6E02D43B" w14:textId="77777777" w:rsidTr="00290AF3">
        <w:trPr>
          <w:cantSplit/>
        </w:trPr>
        <w:tc>
          <w:tcPr>
            <w:tcW w:w="2020" w:type="dxa"/>
            <w:tcBorders>
              <w:top w:val="single" w:sz="4" w:space="0" w:color="C2D9BA"/>
              <w:bottom w:val="single" w:sz="4" w:space="0" w:color="C2D9BA"/>
            </w:tcBorders>
            <w:shd w:val="clear" w:color="auto" w:fill="E7F0E3"/>
          </w:tcPr>
          <w:p w14:paraId="16B9E3E6" w14:textId="77777777" w:rsidR="00D318FD" w:rsidRPr="00181CD3" w:rsidRDefault="00D318FD" w:rsidP="00D318FD">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7468A806" w14:textId="77777777" w:rsidR="00D318FD" w:rsidRDefault="00D318FD" w:rsidP="00D318FD">
            <w:pPr>
              <w:pStyle w:val="TableText"/>
            </w:pPr>
            <w:r>
              <w:t>Nivolumab</w:t>
            </w:r>
          </w:p>
        </w:tc>
      </w:tr>
      <w:tr w:rsidR="00D318FD" w14:paraId="36C4D07A" w14:textId="77777777" w:rsidTr="00290AF3">
        <w:trPr>
          <w:cantSplit/>
        </w:trPr>
        <w:tc>
          <w:tcPr>
            <w:tcW w:w="2020" w:type="dxa"/>
            <w:tcBorders>
              <w:top w:val="single" w:sz="4" w:space="0" w:color="C2D9BA"/>
              <w:bottom w:val="single" w:sz="4" w:space="0" w:color="C2D9BA"/>
            </w:tcBorders>
            <w:shd w:val="clear" w:color="auto" w:fill="auto"/>
          </w:tcPr>
          <w:p w14:paraId="7D94C48E" w14:textId="77777777" w:rsidR="00D318FD" w:rsidRPr="00181CD3" w:rsidRDefault="00D318FD"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4F4575CB" w14:textId="77777777" w:rsidR="00D318FD" w:rsidRDefault="00D318FD" w:rsidP="001E7335">
            <w:pPr>
              <w:pStyle w:val="TableText"/>
            </w:pPr>
            <w:r>
              <w:t>Immune checkpoint inhibitor (monoclonal antibody targeting PD-1 protein)</w:t>
            </w:r>
          </w:p>
        </w:tc>
      </w:tr>
      <w:tr w:rsidR="00D318FD" w14:paraId="0C25A74C" w14:textId="77777777" w:rsidTr="00290AF3">
        <w:trPr>
          <w:cantSplit/>
        </w:trPr>
        <w:tc>
          <w:tcPr>
            <w:tcW w:w="2020" w:type="dxa"/>
            <w:tcBorders>
              <w:top w:val="single" w:sz="4" w:space="0" w:color="C2D9BA"/>
              <w:bottom w:val="single" w:sz="4" w:space="0" w:color="C2D9BA"/>
            </w:tcBorders>
            <w:shd w:val="clear" w:color="auto" w:fill="auto"/>
          </w:tcPr>
          <w:p w14:paraId="377EA918" w14:textId="77777777" w:rsidR="00D318FD" w:rsidRPr="00181CD3" w:rsidRDefault="00D318FD"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1129D038" w14:textId="77777777" w:rsidR="00D318FD" w:rsidRDefault="00D318FD" w:rsidP="001E7335">
            <w:pPr>
              <w:pStyle w:val="TableText"/>
            </w:pPr>
            <w:r>
              <w:t>Non-curative</w:t>
            </w:r>
          </w:p>
        </w:tc>
      </w:tr>
      <w:tr w:rsidR="00D318FD" w14:paraId="2B6995F2" w14:textId="77777777" w:rsidTr="00D318FD">
        <w:trPr>
          <w:cantSplit/>
        </w:trPr>
        <w:tc>
          <w:tcPr>
            <w:tcW w:w="2020" w:type="dxa"/>
            <w:tcBorders>
              <w:top w:val="single" w:sz="4" w:space="0" w:color="C2D9BA"/>
              <w:bottom w:val="single" w:sz="4" w:space="0" w:color="C2D9BA"/>
            </w:tcBorders>
            <w:shd w:val="clear" w:color="auto" w:fill="auto"/>
          </w:tcPr>
          <w:p w14:paraId="1B8FD5DE" w14:textId="77777777" w:rsidR="00D318FD" w:rsidRPr="00181CD3" w:rsidRDefault="00D318FD"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780C7585" w14:textId="77777777" w:rsidR="00D318FD" w:rsidRDefault="00D318FD" w:rsidP="001E7335">
            <w:pPr>
              <w:pStyle w:val="TableText"/>
            </w:pPr>
            <w:r>
              <w:t>Application received May 2017</w:t>
            </w:r>
          </w:p>
          <w:p w14:paraId="11056149" w14:textId="77777777" w:rsidR="00D318FD" w:rsidRPr="00D318FD" w:rsidRDefault="00D318FD" w:rsidP="001E7335">
            <w:pPr>
              <w:pStyle w:val="TableText"/>
            </w:pPr>
            <w:r>
              <w:t xml:space="preserve">Ranked as an option for </w:t>
            </w:r>
            <w:r w:rsidRPr="00D318FD">
              <w:t>investment. This means that this option would be funded if the budget allowed.</w:t>
            </w:r>
          </w:p>
          <w:p w14:paraId="1671EBA3" w14:textId="77777777" w:rsidR="00D318FD" w:rsidRDefault="0056499C" w:rsidP="00D318FD">
            <w:pPr>
              <w:pStyle w:val="TableText"/>
            </w:pPr>
            <w:hyperlink r:id="rId105" w:history="1">
              <w:r w:rsidR="00D318FD" w:rsidRPr="00867A4B">
                <w:rPr>
                  <w:rStyle w:val="Hyperlink"/>
                  <w:rFonts w:eastAsia="MS Gothic"/>
                </w:rPr>
                <w:t>https://connect.pharmac.govt.nz/apptracker/s/application-public/a102P000008puZW/p001229</w:t>
              </w:r>
            </w:hyperlink>
          </w:p>
        </w:tc>
      </w:tr>
      <w:tr w:rsidR="00D318FD" w14:paraId="6542F351" w14:textId="77777777" w:rsidTr="00D318FD">
        <w:trPr>
          <w:cantSplit/>
        </w:trPr>
        <w:tc>
          <w:tcPr>
            <w:tcW w:w="2020" w:type="dxa"/>
            <w:tcBorders>
              <w:top w:val="single" w:sz="4" w:space="0" w:color="C2D9BA"/>
              <w:bottom w:val="single" w:sz="4" w:space="0" w:color="C2D9BA"/>
            </w:tcBorders>
            <w:shd w:val="clear" w:color="auto" w:fill="auto"/>
          </w:tcPr>
          <w:p w14:paraId="0CAA3491" w14:textId="77777777" w:rsidR="00D318FD" w:rsidRPr="0038658B" w:rsidRDefault="00D318FD"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78AF555F" w14:textId="77777777" w:rsidR="00D318FD" w:rsidRDefault="00D318FD" w:rsidP="001E7335">
            <w:pPr>
              <w:pStyle w:val="TableText"/>
            </w:pPr>
            <w:r>
              <w:t>5</w:t>
            </w:r>
          </w:p>
        </w:tc>
        <w:tc>
          <w:tcPr>
            <w:tcW w:w="5528" w:type="dxa"/>
            <w:tcBorders>
              <w:top w:val="single" w:sz="4" w:space="0" w:color="C2D9BA"/>
              <w:bottom w:val="single" w:sz="4" w:space="0" w:color="C2D9BA"/>
            </w:tcBorders>
            <w:shd w:val="clear" w:color="auto" w:fill="auto"/>
          </w:tcPr>
          <w:p w14:paraId="796B0E47" w14:textId="77777777" w:rsidR="00D318FD" w:rsidRDefault="00D318FD" w:rsidP="001E7335">
            <w:pPr>
              <w:pStyle w:val="TableText"/>
            </w:pPr>
            <w:r>
              <w:t>Compared with everolimus:</w:t>
            </w:r>
          </w:p>
          <w:p w14:paraId="1B0FA1DF" w14:textId="77777777" w:rsidR="00D318FD" w:rsidRDefault="00D318FD" w:rsidP="001E7335">
            <w:pPr>
              <w:pStyle w:val="TableText"/>
            </w:pPr>
            <w:r>
              <w:t>Gain in median overall survival of 5.4 months</w:t>
            </w:r>
          </w:p>
          <w:p w14:paraId="41C1A707" w14:textId="77777777" w:rsidR="00D318FD" w:rsidRDefault="00D318FD" w:rsidP="001E7335">
            <w:pPr>
              <w:pStyle w:val="TableText"/>
            </w:pPr>
            <w:r>
              <w:t>Progression-free survival did not contribute to the score.</w:t>
            </w:r>
          </w:p>
          <w:p w14:paraId="3D31882B" w14:textId="77777777" w:rsidR="00D318FD" w:rsidRDefault="00D318FD" w:rsidP="001E7335">
            <w:pPr>
              <w:pStyle w:val="TableText"/>
            </w:pPr>
            <w:r>
              <w:t>Quality-of-life improvement noted.</w:t>
            </w:r>
          </w:p>
          <w:p w14:paraId="30419E2F" w14:textId="77777777" w:rsidR="00D318FD" w:rsidRDefault="00D318FD" w:rsidP="001E7335">
            <w:pPr>
              <w:pStyle w:val="TableText"/>
            </w:pPr>
            <w:r>
              <w:t>Reduced frequency of severe adverse events contributed to the score.</w:t>
            </w:r>
          </w:p>
          <w:p w14:paraId="605E2C44" w14:textId="77777777" w:rsidR="00D318FD" w:rsidRDefault="00D318FD" w:rsidP="001E7335">
            <w:pPr>
              <w:pStyle w:val="TableText"/>
            </w:pPr>
            <w:r>
              <w:t>Note: This was the score in a comparison against everolimus, which is not funded in Aotearoa for this indication. The relevant comparator for Aotearoa is best supportive care. Clinical advice indicated that nivolumab is likely more effective compared with best supportive care than with an active comparator. However, there may be more toxicities. Considered likely to score at least 4 in a comparison against best supportive care.</w:t>
            </w:r>
          </w:p>
          <w:p w14:paraId="17D51994" w14:textId="77777777" w:rsidR="00D318FD" w:rsidRDefault="0056499C" w:rsidP="001E7335">
            <w:pPr>
              <w:pStyle w:val="TableText"/>
            </w:pPr>
            <w:hyperlink r:id="rId106" w:history="1">
              <w:r w:rsidR="00D318FD" w:rsidRPr="00333377">
                <w:rPr>
                  <w:rStyle w:val="Hyperlink"/>
                  <w:rFonts w:eastAsia="MS Gothic"/>
                </w:rPr>
                <w:t>www.esmo.org/guidelines/esmo-mcbs/esmo-mcbs-scorecards/scorecard-103-1</w:t>
              </w:r>
            </w:hyperlink>
          </w:p>
        </w:tc>
      </w:tr>
      <w:tr w:rsidR="00D318FD" w14:paraId="5DBF430D" w14:textId="77777777" w:rsidTr="00290AF3">
        <w:trPr>
          <w:cantSplit/>
        </w:trPr>
        <w:tc>
          <w:tcPr>
            <w:tcW w:w="2020" w:type="dxa"/>
            <w:tcBorders>
              <w:top w:val="single" w:sz="4" w:space="0" w:color="C2D9BA"/>
              <w:bottom w:val="single" w:sz="4" w:space="0" w:color="C2D9BA"/>
            </w:tcBorders>
            <w:shd w:val="clear" w:color="auto" w:fill="auto"/>
          </w:tcPr>
          <w:p w14:paraId="547D5F3D" w14:textId="77777777" w:rsidR="00D318FD" w:rsidRPr="0038658B" w:rsidRDefault="00D318FD"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68BB87D1" w14:textId="77777777" w:rsidR="00D318FD" w:rsidRDefault="00D318FD" w:rsidP="001E7335">
            <w:pPr>
              <w:pStyle w:val="TableText"/>
            </w:pPr>
            <w:r w:rsidRPr="001043A2">
              <w:t>In Aotearoa</w:t>
            </w:r>
            <w:r>
              <w:t>,</w:t>
            </w:r>
            <w:r w:rsidRPr="001043A2">
              <w:t xml:space="preserve"> the current treatment for these patients is </w:t>
            </w:r>
            <w:r>
              <w:t>best supportive care.</w:t>
            </w:r>
          </w:p>
          <w:p w14:paraId="7D5642E6" w14:textId="77777777" w:rsidR="00D318FD" w:rsidRDefault="00D318FD" w:rsidP="001E7335">
            <w:pPr>
              <w:pStyle w:val="TableText"/>
            </w:pPr>
            <w:r w:rsidRPr="001043A2">
              <w:t>If nivolumab were funded for this indication</w:t>
            </w:r>
            <w:r>
              <w:t>,</w:t>
            </w:r>
            <w:r w:rsidRPr="001043A2">
              <w:t xml:space="preserve"> it would </w:t>
            </w:r>
            <w:r>
              <w:t>become an active treatment option</w:t>
            </w:r>
            <w:r w:rsidRPr="001043A2">
              <w:t xml:space="preserve"> for people</w:t>
            </w:r>
            <w:r>
              <w:t xml:space="preserve"> who received a tyrosine kinase inhibitor in the first line</w:t>
            </w:r>
            <w:r w:rsidRPr="001043A2">
              <w:t>.</w:t>
            </w:r>
          </w:p>
          <w:p w14:paraId="715179EC" w14:textId="77777777" w:rsidR="00D318FD" w:rsidRDefault="00D318FD" w:rsidP="001E7335">
            <w:pPr>
              <w:pStyle w:val="TableText"/>
            </w:pPr>
            <w:r>
              <w:t xml:space="preserve">Patients would only receive immune checkpoint inhibitor treatment in one line of therapy, and </w:t>
            </w:r>
            <w:r w:rsidRPr="00CF52B3">
              <w:t>clinical advice indicated that giving it earlier rather than later is generally preferred</w:t>
            </w:r>
            <w:r>
              <w:t>. This means that if the first-line gap were funded, this gap for nivolumab in the second line would become redundant (for those people who received nivolumab with ipilimumab in the first line).</w:t>
            </w:r>
          </w:p>
        </w:tc>
      </w:tr>
      <w:tr w:rsidR="00D318FD" w14:paraId="72995930" w14:textId="77777777" w:rsidTr="00290AF3">
        <w:trPr>
          <w:cantSplit/>
        </w:trPr>
        <w:tc>
          <w:tcPr>
            <w:tcW w:w="2020" w:type="dxa"/>
            <w:tcBorders>
              <w:top w:val="single" w:sz="4" w:space="0" w:color="C2D9BA"/>
              <w:bottom w:val="single" w:sz="4" w:space="0" w:color="C2D9BA"/>
            </w:tcBorders>
            <w:shd w:val="clear" w:color="auto" w:fill="auto"/>
          </w:tcPr>
          <w:p w14:paraId="0D7C2E5B" w14:textId="77777777" w:rsidR="00D318FD" w:rsidRPr="0038658B" w:rsidRDefault="00D318FD"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7ED786D9" w14:textId="77777777" w:rsidR="00D318FD" w:rsidRDefault="000946E5" w:rsidP="00CE5715">
            <w:pPr>
              <w:pStyle w:val="TableText"/>
            </w:pPr>
            <w:r>
              <w:t xml:space="preserve">Estimated at </w:t>
            </w:r>
            <w:r w:rsidR="00EE6ABF">
              <w:t xml:space="preserve">120 people in the first year of funding, and then 60 people per year </w:t>
            </w:r>
            <w:r w:rsidR="009938D4">
              <w:t xml:space="preserve">in the following years. </w:t>
            </w:r>
          </w:p>
          <w:p w14:paraId="6A426B93" w14:textId="77777777" w:rsidR="009938D4" w:rsidRDefault="009938D4" w:rsidP="00CE5715">
            <w:pPr>
              <w:pStyle w:val="TableText"/>
            </w:pPr>
          </w:p>
          <w:p w14:paraId="700B0A5C" w14:textId="2D5D2ADF" w:rsidR="009938D4" w:rsidRDefault="009938D4" w:rsidP="00CE5715">
            <w:pPr>
              <w:pStyle w:val="TableText"/>
            </w:pPr>
          </w:p>
        </w:tc>
      </w:tr>
      <w:tr w:rsidR="00D318FD" w14:paraId="40E93184" w14:textId="77777777" w:rsidTr="00290AF3">
        <w:trPr>
          <w:cantSplit/>
        </w:trPr>
        <w:tc>
          <w:tcPr>
            <w:tcW w:w="2020" w:type="dxa"/>
            <w:tcBorders>
              <w:top w:val="single" w:sz="4" w:space="0" w:color="C2D9BA"/>
              <w:bottom w:val="single" w:sz="4" w:space="0" w:color="C2D9BA"/>
            </w:tcBorders>
            <w:shd w:val="clear" w:color="auto" w:fill="auto"/>
          </w:tcPr>
          <w:p w14:paraId="7FFF8AAF" w14:textId="77777777" w:rsidR="00D318FD" w:rsidRPr="0038658B" w:rsidRDefault="00D318FD"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09784C58" w14:textId="77777777" w:rsidR="00D318FD" w:rsidRDefault="00D318FD" w:rsidP="001E7335">
            <w:pPr>
              <w:pStyle w:val="TableText"/>
            </w:pPr>
            <w:r>
              <w:t>This medicine is given by infusion.</w:t>
            </w:r>
          </w:p>
          <w:p w14:paraId="67158DAE" w14:textId="77777777" w:rsidR="00D318FD" w:rsidRDefault="00D318FD" w:rsidP="001E7335">
            <w:pPr>
              <w:pStyle w:val="TableText"/>
            </w:pPr>
            <w:r>
              <w:t>Nivolumab would be given every two to four weeks until disease progression (or unacceptable toxicity).</w:t>
            </w:r>
          </w:p>
        </w:tc>
      </w:tr>
      <w:tr w:rsidR="00D318FD" w14:paraId="1C1C9799" w14:textId="77777777" w:rsidTr="00290AF3">
        <w:trPr>
          <w:cantSplit/>
        </w:trPr>
        <w:tc>
          <w:tcPr>
            <w:tcW w:w="2020" w:type="dxa"/>
            <w:tcBorders>
              <w:top w:val="single" w:sz="4" w:space="0" w:color="C2D9BA"/>
              <w:bottom w:val="single" w:sz="4" w:space="0" w:color="C2D9BA"/>
            </w:tcBorders>
            <w:shd w:val="clear" w:color="auto" w:fill="auto"/>
          </w:tcPr>
          <w:p w14:paraId="4D1D5E9B" w14:textId="77777777" w:rsidR="00D318FD" w:rsidRPr="0038658B" w:rsidRDefault="00D318FD"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7AC34F59" w14:textId="77777777" w:rsidR="00D318FD" w:rsidRDefault="00D318FD" w:rsidP="001E7335">
            <w:pPr>
              <w:pStyle w:val="TableText"/>
            </w:pPr>
            <w:r>
              <w:t>This treatment would become an active treatment option for these patients, with the potential clinical benefit described above.</w:t>
            </w:r>
          </w:p>
          <w:p w14:paraId="31C810E1" w14:textId="77777777" w:rsidR="00D318FD" w:rsidRDefault="00D318FD" w:rsidP="001E7335">
            <w:pPr>
              <w:pStyle w:val="TableText"/>
            </w:pPr>
            <w:r>
              <w:t>The current approach is best supportive care. This would mean that, compared with the current approach, there would be more treatment appointments to attend. Nivolumab would be administered in the outpatient infusion centre, so patients would need to travel, but there would be no prescription charge. There may be other medicines needed to manage side effects that may have a prescription charge. There are some particular side effects associated with immune checkpoint inhibitors that are quite different to the side effects of chemotherapy. These can develop long after treatment has stopped and may require specialised management.</w:t>
            </w:r>
          </w:p>
          <w:p w14:paraId="633C51D7" w14:textId="77777777" w:rsidR="00D318FD" w:rsidRDefault="00D318FD" w:rsidP="00D318FD">
            <w:pPr>
              <w:pStyle w:val="TableText"/>
            </w:pPr>
            <w:r>
              <w:t>Treatment would continue until there is progression of the disease (or intolerable side effects).</w:t>
            </w:r>
          </w:p>
        </w:tc>
      </w:tr>
      <w:tr w:rsidR="00D318FD" w14:paraId="66981E1A" w14:textId="77777777" w:rsidTr="00290AF3">
        <w:trPr>
          <w:cantSplit/>
        </w:trPr>
        <w:tc>
          <w:tcPr>
            <w:tcW w:w="2020" w:type="dxa"/>
            <w:tcBorders>
              <w:top w:val="single" w:sz="4" w:space="0" w:color="C2D9BA"/>
              <w:bottom w:val="single" w:sz="4" w:space="0" w:color="C2D9BA"/>
            </w:tcBorders>
            <w:shd w:val="clear" w:color="auto" w:fill="auto"/>
          </w:tcPr>
          <w:p w14:paraId="0FF0910A" w14:textId="77777777" w:rsidR="00D318FD" w:rsidRPr="0038658B" w:rsidRDefault="00D318FD"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1AF8F8EA" w14:textId="77777777" w:rsidR="00D318FD" w:rsidRDefault="00D318FD" w:rsidP="001E7335">
            <w:pPr>
              <w:pStyle w:val="TableText"/>
            </w:pPr>
            <w:r w:rsidRPr="00614693">
              <w:t xml:space="preserve">Additional </w:t>
            </w:r>
            <w:r>
              <w:t>treatment appointments required.</w:t>
            </w:r>
          </w:p>
          <w:p w14:paraId="5C71D909" w14:textId="77777777" w:rsidR="00D318FD" w:rsidRDefault="00D318FD" w:rsidP="001E7335">
            <w:pPr>
              <w:pStyle w:val="TableText"/>
            </w:pPr>
            <w:r>
              <w:t xml:space="preserve">Additional </w:t>
            </w:r>
            <w:r w:rsidRPr="00614693">
              <w:t>follow-up appointments required</w:t>
            </w:r>
            <w:r>
              <w:t>.</w:t>
            </w:r>
          </w:p>
          <w:p w14:paraId="16A018AC" w14:textId="77777777" w:rsidR="00D318FD" w:rsidRDefault="00D318FD" w:rsidP="001E7335">
            <w:pPr>
              <w:pStyle w:val="TableText"/>
            </w:pPr>
            <w:r w:rsidRPr="00614693">
              <w:t xml:space="preserve">Additional chair time </w:t>
            </w:r>
            <w:r>
              <w:t>for administration of treatment required.</w:t>
            </w:r>
          </w:p>
          <w:p w14:paraId="16DF2F44" w14:textId="77777777" w:rsidR="00D318FD" w:rsidRDefault="00D318FD" w:rsidP="001E7335">
            <w:pPr>
              <w:pStyle w:val="TableText"/>
            </w:pPr>
            <w:r w:rsidRPr="00614693">
              <w:t>Increased demand for laboratory</w:t>
            </w:r>
            <w:r>
              <w:t xml:space="preserve"> and pathology services to determine eligibility for treatment and monitor for treatment toxicities.</w:t>
            </w:r>
          </w:p>
          <w:p w14:paraId="0B2500B3" w14:textId="77777777" w:rsidR="00D318FD" w:rsidRDefault="00D318FD"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259880F6" w14:textId="77777777" w:rsidR="00D318FD" w:rsidRDefault="00D318FD" w:rsidP="001E7335">
            <w:pPr>
              <w:pStyle w:val="TableText"/>
            </w:pPr>
            <w:r>
              <w:t>Potential for increased demand for supportive care and toxicity management (including health care professionals’ time and pharmaceuticals).</w:t>
            </w:r>
          </w:p>
        </w:tc>
      </w:tr>
      <w:bookmarkEnd w:id="415"/>
    </w:tbl>
    <w:p w14:paraId="74C7C93F" w14:textId="77777777" w:rsidR="00C338E8" w:rsidRDefault="00C338E8" w:rsidP="00431244"/>
    <w:p w14:paraId="2F80751E" w14:textId="77777777" w:rsidR="006D7F10" w:rsidRDefault="006D7F10" w:rsidP="00736237">
      <w:pPr>
        <w:pStyle w:val="Table"/>
        <w:keepNext w:val="0"/>
        <w:pageBreakBefore/>
        <w:spacing w:before="0"/>
      </w:pPr>
      <w:bookmarkStart w:id="416" w:name="_Toc101365628"/>
      <w:bookmarkStart w:id="417" w:name="Appendix_7_Table_7point12"/>
      <w:r>
        <w:lastRenderedPageBreak/>
        <w:t>Table</w:t>
      </w:r>
      <w:r w:rsidR="00431244">
        <w:t> </w:t>
      </w:r>
      <w:r>
        <w:t>7.12: Axitinib for kidney cancer – second-line therapy</w:t>
      </w:r>
      <w:bookmarkEnd w:id="41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736237" w14:paraId="3A934358" w14:textId="77777777" w:rsidTr="00290AF3">
        <w:trPr>
          <w:cantSplit/>
        </w:trPr>
        <w:tc>
          <w:tcPr>
            <w:tcW w:w="2020" w:type="dxa"/>
            <w:tcBorders>
              <w:top w:val="nil"/>
              <w:bottom w:val="nil"/>
            </w:tcBorders>
            <w:shd w:val="clear" w:color="auto" w:fill="C2D9BA"/>
          </w:tcPr>
          <w:p w14:paraId="6E19C3DB" w14:textId="77777777" w:rsidR="00736237" w:rsidRPr="00181CD3" w:rsidRDefault="00736237"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6D7B9F18" w14:textId="77777777" w:rsidR="00736237" w:rsidRDefault="00736237" w:rsidP="001E7335">
            <w:pPr>
              <w:pStyle w:val="TableText"/>
            </w:pPr>
            <w:r w:rsidRPr="001043A2">
              <w:t xml:space="preserve">Renal cell carcinoma (RCC), clear cell variant, stage IV, </w:t>
            </w:r>
            <w:r>
              <w:t>second-line therapy</w:t>
            </w:r>
          </w:p>
        </w:tc>
      </w:tr>
      <w:tr w:rsidR="00736237" w14:paraId="22E20E98" w14:textId="77777777" w:rsidTr="00290AF3">
        <w:trPr>
          <w:cantSplit/>
        </w:trPr>
        <w:tc>
          <w:tcPr>
            <w:tcW w:w="2020" w:type="dxa"/>
            <w:tcBorders>
              <w:top w:val="single" w:sz="4" w:space="0" w:color="C2D9BA"/>
              <w:bottom w:val="single" w:sz="4" w:space="0" w:color="C2D9BA"/>
            </w:tcBorders>
            <w:shd w:val="clear" w:color="auto" w:fill="E7F0E3"/>
          </w:tcPr>
          <w:p w14:paraId="3E8B68E7" w14:textId="77777777" w:rsidR="00736237" w:rsidRPr="00181CD3" w:rsidRDefault="00736237" w:rsidP="00736237">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054428E8" w14:textId="77777777" w:rsidR="00736237" w:rsidRDefault="00736237" w:rsidP="00736237">
            <w:pPr>
              <w:pStyle w:val="TableText"/>
            </w:pPr>
            <w:r>
              <w:t>Axitinib</w:t>
            </w:r>
          </w:p>
        </w:tc>
      </w:tr>
      <w:tr w:rsidR="00736237" w14:paraId="0652D28A" w14:textId="77777777" w:rsidTr="00290AF3">
        <w:trPr>
          <w:cantSplit/>
        </w:trPr>
        <w:tc>
          <w:tcPr>
            <w:tcW w:w="2020" w:type="dxa"/>
            <w:tcBorders>
              <w:top w:val="single" w:sz="4" w:space="0" w:color="C2D9BA"/>
              <w:bottom w:val="single" w:sz="4" w:space="0" w:color="C2D9BA"/>
            </w:tcBorders>
            <w:shd w:val="clear" w:color="auto" w:fill="auto"/>
          </w:tcPr>
          <w:p w14:paraId="5556AD8A" w14:textId="77777777" w:rsidR="00736237" w:rsidRPr="00181CD3" w:rsidRDefault="00736237"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794C7C8B" w14:textId="77777777" w:rsidR="00736237" w:rsidRDefault="00736237" w:rsidP="001E7335">
            <w:pPr>
              <w:pStyle w:val="TableText"/>
            </w:pPr>
            <w:r>
              <w:t>Targeted treatment (tyrosine kinase inhibitor targeting multiple VEGF receptor proteins)</w:t>
            </w:r>
          </w:p>
        </w:tc>
      </w:tr>
      <w:tr w:rsidR="00736237" w14:paraId="3A16148E" w14:textId="77777777" w:rsidTr="00290AF3">
        <w:trPr>
          <w:cantSplit/>
        </w:trPr>
        <w:tc>
          <w:tcPr>
            <w:tcW w:w="2020" w:type="dxa"/>
            <w:tcBorders>
              <w:top w:val="single" w:sz="4" w:space="0" w:color="C2D9BA"/>
              <w:bottom w:val="single" w:sz="4" w:space="0" w:color="C2D9BA"/>
            </w:tcBorders>
            <w:shd w:val="clear" w:color="auto" w:fill="auto"/>
          </w:tcPr>
          <w:p w14:paraId="3263BD4B" w14:textId="77777777" w:rsidR="00736237" w:rsidRPr="00181CD3" w:rsidRDefault="00736237"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3761B2D3" w14:textId="77777777" w:rsidR="00736237" w:rsidRDefault="00736237" w:rsidP="001E7335">
            <w:pPr>
              <w:pStyle w:val="TableText"/>
            </w:pPr>
            <w:r>
              <w:t>Non-curative</w:t>
            </w:r>
          </w:p>
        </w:tc>
      </w:tr>
      <w:tr w:rsidR="00736237" w14:paraId="28CC38F3" w14:textId="77777777" w:rsidTr="00736237">
        <w:trPr>
          <w:cantSplit/>
        </w:trPr>
        <w:tc>
          <w:tcPr>
            <w:tcW w:w="2020" w:type="dxa"/>
            <w:tcBorders>
              <w:top w:val="single" w:sz="4" w:space="0" w:color="C2D9BA"/>
              <w:bottom w:val="single" w:sz="4" w:space="0" w:color="C2D9BA"/>
            </w:tcBorders>
            <w:shd w:val="clear" w:color="auto" w:fill="auto"/>
          </w:tcPr>
          <w:p w14:paraId="7C1F657F" w14:textId="77777777" w:rsidR="00736237" w:rsidRPr="00181CD3" w:rsidRDefault="00736237"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5B85B824" w14:textId="77777777" w:rsidR="00736237" w:rsidRDefault="00736237" w:rsidP="001E7335">
            <w:pPr>
              <w:pStyle w:val="TableText"/>
            </w:pPr>
            <w:r>
              <w:t>Application received September 2013.</w:t>
            </w:r>
          </w:p>
          <w:p w14:paraId="33F6126C" w14:textId="77777777" w:rsidR="00736237" w:rsidRPr="00736237" w:rsidRDefault="00736237" w:rsidP="001E7335">
            <w:pPr>
              <w:pStyle w:val="TableText"/>
            </w:pPr>
            <w:r>
              <w:t xml:space="preserve">Ranked as an </w:t>
            </w:r>
            <w:r w:rsidRPr="00736237">
              <w:t>option for investment. This means that this option would be funded if the budget allowed.</w:t>
            </w:r>
          </w:p>
          <w:p w14:paraId="022D8ECE" w14:textId="77777777" w:rsidR="00736237" w:rsidRDefault="0056499C" w:rsidP="001E7335">
            <w:pPr>
              <w:pStyle w:val="TableText"/>
            </w:pPr>
            <w:hyperlink r:id="rId107" w:history="1">
              <w:r w:rsidR="00736237" w:rsidRPr="00736237">
                <w:rPr>
                  <w:rStyle w:val="Hyperlink"/>
                </w:rPr>
                <w:t>https://connect.pharmac.govt.nz/apptracker/s/application-public/a102P000008pu4I/p000543</w:t>
              </w:r>
            </w:hyperlink>
          </w:p>
        </w:tc>
      </w:tr>
      <w:tr w:rsidR="00736237" w14:paraId="381286F2" w14:textId="77777777" w:rsidTr="00736237">
        <w:trPr>
          <w:cantSplit/>
        </w:trPr>
        <w:tc>
          <w:tcPr>
            <w:tcW w:w="2020" w:type="dxa"/>
            <w:tcBorders>
              <w:top w:val="single" w:sz="4" w:space="0" w:color="C2D9BA"/>
              <w:bottom w:val="single" w:sz="4" w:space="0" w:color="C2D9BA"/>
            </w:tcBorders>
            <w:shd w:val="clear" w:color="auto" w:fill="auto"/>
          </w:tcPr>
          <w:p w14:paraId="3DB17A07" w14:textId="77777777" w:rsidR="00736237" w:rsidRPr="0038658B" w:rsidRDefault="00736237"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5CA32E6A" w14:textId="77777777" w:rsidR="00736237" w:rsidRDefault="00736237" w:rsidP="001E7335">
            <w:pPr>
              <w:pStyle w:val="TableText"/>
            </w:pPr>
            <w:r>
              <w:t>4</w:t>
            </w:r>
          </w:p>
        </w:tc>
        <w:tc>
          <w:tcPr>
            <w:tcW w:w="5528" w:type="dxa"/>
            <w:tcBorders>
              <w:top w:val="single" w:sz="4" w:space="0" w:color="C2D9BA"/>
              <w:bottom w:val="single" w:sz="4" w:space="0" w:color="C2D9BA"/>
            </w:tcBorders>
            <w:shd w:val="clear" w:color="auto" w:fill="auto"/>
          </w:tcPr>
          <w:p w14:paraId="7B388A78" w14:textId="77777777" w:rsidR="00736237" w:rsidRDefault="00736237" w:rsidP="001E7335">
            <w:pPr>
              <w:pStyle w:val="TableText"/>
            </w:pPr>
            <w:r>
              <w:t>Compared with sorafenib:</w:t>
            </w:r>
          </w:p>
          <w:p w14:paraId="4325285C" w14:textId="77777777" w:rsidR="00736237" w:rsidRDefault="00736237" w:rsidP="001E7335">
            <w:pPr>
              <w:pStyle w:val="TableText"/>
            </w:pPr>
            <w:r>
              <w:t>Gain in median overall survival of 0.9 months</w:t>
            </w:r>
          </w:p>
          <w:p w14:paraId="038A3A8D" w14:textId="77777777" w:rsidR="00736237" w:rsidRDefault="00736237" w:rsidP="001E7335">
            <w:pPr>
              <w:pStyle w:val="TableText"/>
            </w:pPr>
            <w:r>
              <w:t>Gain in median progression-free survival of two months</w:t>
            </w:r>
          </w:p>
          <w:p w14:paraId="68F4E0A1" w14:textId="77777777" w:rsidR="00736237" w:rsidRDefault="00736237" w:rsidP="001E7335">
            <w:pPr>
              <w:pStyle w:val="TableText"/>
            </w:pPr>
            <w:r>
              <w:t>No quality-of-life benefit.</w:t>
            </w:r>
          </w:p>
          <w:p w14:paraId="155A5D2D" w14:textId="77777777" w:rsidR="00736237" w:rsidRDefault="00736237" w:rsidP="001E7335">
            <w:pPr>
              <w:pStyle w:val="TableText"/>
            </w:pPr>
            <w:r>
              <w:t>Reduced frequency of severe adverse events contributed to the score.</w:t>
            </w:r>
          </w:p>
          <w:p w14:paraId="46B55546" w14:textId="77777777" w:rsidR="00736237" w:rsidRDefault="00736237" w:rsidP="001E7335">
            <w:pPr>
              <w:pStyle w:val="TableText"/>
            </w:pPr>
            <w:r>
              <w:t>Note: This was the score in a comparison against sorafenib, which is not funded in Aotearoa for this indication. The relevant comparator for Aotearoa is best supportive care. Clinical advice indicated that axitinib is likely more effective compared with best supportive care than with an active comparator. However, there may be more toxicities. Considered likely to score at least 4 in a comparison against best supportive care.</w:t>
            </w:r>
          </w:p>
          <w:p w14:paraId="359534AC" w14:textId="77777777" w:rsidR="00736237" w:rsidRDefault="0056499C" w:rsidP="00736237">
            <w:pPr>
              <w:pStyle w:val="TableText"/>
            </w:pPr>
            <w:hyperlink r:id="rId108" w:history="1">
              <w:r w:rsidR="00736237" w:rsidRPr="00333377">
                <w:rPr>
                  <w:rStyle w:val="Hyperlink"/>
                  <w:rFonts w:eastAsia="MS Gothic"/>
                </w:rPr>
                <w:t>www.esmo.org/guidelines/esmo-mcbs/esmo-mcbs-scorecards/scorecard-104-1</w:t>
              </w:r>
            </w:hyperlink>
          </w:p>
        </w:tc>
      </w:tr>
      <w:tr w:rsidR="00736237" w14:paraId="3E8D2D73" w14:textId="77777777" w:rsidTr="00290AF3">
        <w:trPr>
          <w:cantSplit/>
        </w:trPr>
        <w:tc>
          <w:tcPr>
            <w:tcW w:w="2020" w:type="dxa"/>
            <w:tcBorders>
              <w:top w:val="single" w:sz="4" w:space="0" w:color="C2D9BA"/>
              <w:bottom w:val="single" w:sz="4" w:space="0" w:color="C2D9BA"/>
            </w:tcBorders>
            <w:shd w:val="clear" w:color="auto" w:fill="auto"/>
          </w:tcPr>
          <w:p w14:paraId="39CFD14C" w14:textId="77777777" w:rsidR="00736237" w:rsidRPr="0038658B" w:rsidRDefault="00736237"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749D3336" w14:textId="77777777" w:rsidR="00736237" w:rsidRDefault="00736237" w:rsidP="001E7335">
            <w:pPr>
              <w:pStyle w:val="TableText"/>
            </w:pPr>
            <w:r w:rsidRPr="001043A2">
              <w:t>In Aotearoa</w:t>
            </w:r>
            <w:r>
              <w:t>,</w:t>
            </w:r>
            <w:r w:rsidRPr="001043A2">
              <w:t xml:space="preserve"> the current treatment for these patients is </w:t>
            </w:r>
            <w:r>
              <w:t>best supportive care.</w:t>
            </w:r>
          </w:p>
          <w:p w14:paraId="4DC2A051" w14:textId="77777777" w:rsidR="00736237" w:rsidRDefault="00736237" w:rsidP="00736237">
            <w:pPr>
              <w:pStyle w:val="TableText"/>
            </w:pPr>
            <w:r w:rsidRPr="001043A2">
              <w:t xml:space="preserve">If </w:t>
            </w:r>
            <w:r>
              <w:t>axitinib</w:t>
            </w:r>
            <w:r w:rsidRPr="001043A2">
              <w:t xml:space="preserve"> were funded for this indication</w:t>
            </w:r>
            <w:r>
              <w:t>,</w:t>
            </w:r>
            <w:r w:rsidRPr="001043A2">
              <w:t xml:space="preserve"> it would </w:t>
            </w:r>
            <w:r>
              <w:t>become an active treatment option</w:t>
            </w:r>
            <w:r w:rsidRPr="001043A2">
              <w:t xml:space="preserve"> for people</w:t>
            </w:r>
            <w:r>
              <w:t xml:space="preserve"> who received a tyrosine kinase inhibitor in the first line</w:t>
            </w:r>
            <w:r w:rsidRPr="001043A2">
              <w:t>.</w:t>
            </w:r>
          </w:p>
        </w:tc>
      </w:tr>
      <w:tr w:rsidR="00736237" w14:paraId="653B99B9" w14:textId="77777777" w:rsidTr="00290AF3">
        <w:trPr>
          <w:cantSplit/>
        </w:trPr>
        <w:tc>
          <w:tcPr>
            <w:tcW w:w="2020" w:type="dxa"/>
            <w:tcBorders>
              <w:top w:val="single" w:sz="4" w:space="0" w:color="C2D9BA"/>
              <w:bottom w:val="single" w:sz="4" w:space="0" w:color="C2D9BA"/>
            </w:tcBorders>
            <w:shd w:val="clear" w:color="auto" w:fill="auto"/>
          </w:tcPr>
          <w:p w14:paraId="49156F71" w14:textId="77777777" w:rsidR="00736237" w:rsidRPr="0038658B" w:rsidRDefault="00736237"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12686413" w14:textId="77777777" w:rsidR="0061058F" w:rsidRDefault="0061058F" w:rsidP="0061058F">
            <w:pPr>
              <w:pStyle w:val="TableText"/>
            </w:pPr>
            <w:r>
              <w:t xml:space="preserve">Estimated at 120 people in the first year of funding, and then 60 people per year in the following years. </w:t>
            </w:r>
          </w:p>
          <w:p w14:paraId="7F3E4EF1" w14:textId="77777777" w:rsidR="00736237" w:rsidRDefault="00736237" w:rsidP="00CE5715">
            <w:pPr>
              <w:pStyle w:val="TableText"/>
            </w:pPr>
          </w:p>
          <w:p w14:paraId="5DD97B6A" w14:textId="77777777" w:rsidR="00EA5DF1" w:rsidRDefault="00EA5DF1" w:rsidP="00CE5715">
            <w:pPr>
              <w:pStyle w:val="TableText"/>
            </w:pPr>
          </w:p>
          <w:p w14:paraId="566113A6" w14:textId="146766A5" w:rsidR="00EA5DF1" w:rsidRDefault="00EA5DF1" w:rsidP="00CE5715">
            <w:pPr>
              <w:pStyle w:val="TableText"/>
            </w:pPr>
          </w:p>
        </w:tc>
      </w:tr>
      <w:tr w:rsidR="00736237" w14:paraId="62C5775F" w14:textId="77777777" w:rsidTr="00290AF3">
        <w:trPr>
          <w:cantSplit/>
        </w:trPr>
        <w:tc>
          <w:tcPr>
            <w:tcW w:w="2020" w:type="dxa"/>
            <w:tcBorders>
              <w:top w:val="single" w:sz="4" w:space="0" w:color="C2D9BA"/>
              <w:bottom w:val="single" w:sz="4" w:space="0" w:color="C2D9BA"/>
            </w:tcBorders>
            <w:shd w:val="clear" w:color="auto" w:fill="auto"/>
          </w:tcPr>
          <w:p w14:paraId="3A8546EB" w14:textId="77777777" w:rsidR="00736237" w:rsidRPr="0038658B" w:rsidRDefault="00736237"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25FE70C0" w14:textId="77777777" w:rsidR="00736237" w:rsidRDefault="00736237" w:rsidP="001E7335">
            <w:pPr>
              <w:pStyle w:val="TableText"/>
            </w:pPr>
            <w:r>
              <w:t>This medicine is given orally.</w:t>
            </w:r>
          </w:p>
          <w:p w14:paraId="2D384540" w14:textId="77777777" w:rsidR="00736237" w:rsidRDefault="00736237" w:rsidP="001E7335">
            <w:pPr>
              <w:pStyle w:val="TableText"/>
            </w:pPr>
            <w:r>
              <w:t xml:space="preserve">Axitinib is a tablet that is generally taken twice daily – more than one tablet may need to be taken for each dose. Treatment is continued until </w:t>
            </w:r>
            <w:r w:rsidRPr="009D213E">
              <w:t xml:space="preserve">disease progression </w:t>
            </w:r>
            <w:r>
              <w:t>(</w:t>
            </w:r>
            <w:r w:rsidRPr="009D213E">
              <w:t xml:space="preserve">or </w:t>
            </w:r>
            <w:r>
              <w:t xml:space="preserve">unacceptable </w:t>
            </w:r>
            <w:r w:rsidRPr="009D213E">
              <w:t>toxicity</w:t>
            </w:r>
            <w:r>
              <w:t>).</w:t>
            </w:r>
          </w:p>
        </w:tc>
      </w:tr>
      <w:tr w:rsidR="00736237" w14:paraId="2B40E8AE" w14:textId="77777777" w:rsidTr="00290AF3">
        <w:trPr>
          <w:cantSplit/>
        </w:trPr>
        <w:tc>
          <w:tcPr>
            <w:tcW w:w="2020" w:type="dxa"/>
            <w:tcBorders>
              <w:top w:val="single" w:sz="4" w:space="0" w:color="C2D9BA"/>
              <w:bottom w:val="single" w:sz="4" w:space="0" w:color="C2D9BA"/>
            </w:tcBorders>
            <w:shd w:val="clear" w:color="auto" w:fill="auto"/>
          </w:tcPr>
          <w:p w14:paraId="4C817085" w14:textId="77777777" w:rsidR="00736237" w:rsidRPr="0038658B" w:rsidRDefault="00736237"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1CC68592" w14:textId="77777777" w:rsidR="00736237" w:rsidRDefault="00736237" w:rsidP="001E7335">
            <w:pPr>
              <w:pStyle w:val="TableText"/>
            </w:pPr>
            <w:r>
              <w:t>This treatment would become an active treatment option for these patients, with the potential clinical benefit described above.</w:t>
            </w:r>
          </w:p>
          <w:p w14:paraId="06FEF10F" w14:textId="77777777" w:rsidR="00736237" w:rsidRDefault="00736237" w:rsidP="001E7335">
            <w:pPr>
              <w:pStyle w:val="TableText"/>
            </w:pPr>
            <w:r>
              <w:t>The current approach is best supportive care. This would mean that, compared with the current approach, there would be tablets to take. These could be taken at home, but a prescription charge would be payable. There would be more follow-up appointments needed. There may be other medicines needed to manage side effects that may also have a prescription charge.</w:t>
            </w:r>
          </w:p>
          <w:p w14:paraId="7D7276B5" w14:textId="77777777" w:rsidR="00736237" w:rsidRDefault="00736237" w:rsidP="00736237">
            <w:pPr>
              <w:pStyle w:val="TableText"/>
            </w:pPr>
            <w:r>
              <w:t>Treatment would continue until there is progression of the disease (or intolerable side effects).</w:t>
            </w:r>
          </w:p>
        </w:tc>
      </w:tr>
      <w:tr w:rsidR="00736237" w14:paraId="23C59CB2" w14:textId="77777777" w:rsidTr="00290AF3">
        <w:trPr>
          <w:cantSplit/>
        </w:trPr>
        <w:tc>
          <w:tcPr>
            <w:tcW w:w="2020" w:type="dxa"/>
            <w:tcBorders>
              <w:top w:val="single" w:sz="4" w:space="0" w:color="C2D9BA"/>
              <w:bottom w:val="single" w:sz="4" w:space="0" w:color="C2D9BA"/>
            </w:tcBorders>
            <w:shd w:val="clear" w:color="auto" w:fill="auto"/>
          </w:tcPr>
          <w:p w14:paraId="742B167A" w14:textId="77777777" w:rsidR="00736237" w:rsidRPr="0038658B" w:rsidRDefault="00736237"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340A3A29" w14:textId="77777777" w:rsidR="00736237" w:rsidRDefault="00736237" w:rsidP="001E7335">
            <w:pPr>
              <w:pStyle w:val="TableText"/>
            </w:pPr>
            <w:r>
              <w:t xml:space="preserve">Additional </w:t>
            </w:r>
            <w:r w:rsidRPr="00614693">
              <w:t>follow-up appointments required</w:t>
            </w:r>
            <w:r>
              <w:t>.</w:t>
            </w:r>
          </w:p>
          <w:p w14:paraId="076609D8" w14:textId="77777777" w:rsidR="00736237" w:rsidRDefault="00736237" w:rsidP="001E7335">
            <w:pPr>
              <w:pStyle w:val="TableText"/>
            </w:pPr>
            <w:r w:rsidRPr="00614693">
              <w:t>Increased demand for laboratory</w:t>
            </w:r>
            <w:r>
              <w:t xml:space="preserve"> and pathology services to determine eligibility for treatment and monitor for treatment toxicities.</w:t>
            </w:r>
          </w:p>
          <w:p w14:paraId="709459DD" w14:textId="77777777" w:rsidR="00736237" w:rsidRDefault="00736237"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06486E8C" w14:textId="77777777" w:rsidR="00736237" w:rsidRDefault="00736237" w:rsidP="001E7335">
            <w:pPr>
              <w:pStyle w:val="TableText"/>
            </w:pPr>
            <w:r>
              <w:t>Potential for increased demand for supportive care and toxicity management (including health care professionals’ time and pharmaceuticals).</w:t>
            </w:r>
          </w:p>
        </w:tc>
      </w:tr>
    </w:tbl>
    <w:p w14:paraId="6F19161A" w14:textId="77777777" w:rsidR="0038658B" w:rsidRPr="0038658B" w:rsidRDefault="0038658B" w:rsidP="00EA1B86"/>
    <w:p w14:paraId="3071E18D" w14:textId="77777777" w:rsidR="00C338E8" w:rsidRDefault="006D7F10" w:rsidP="00B004AC">
      <w:pPr>
        <w:pStyle w:val="Heading4"/>
        <w:keepNext w:val="0"/>
        <w:pageBreakBefore/>
        <w:spacing w:before="0"/>
      </w:pPr>
      <w:bookmarkStart w:id="418" w:name="_Toc100739070"/>
      <w:bookmarkEnd w:id="417"/>
      <w:r>
        <w:lastRenderedPageBreak/>
        <w:t>Epidemiology of kidney cancer</w:t>
      </w:r>
      <w:bookmarkEnd w:id="418"/>
    </w:p>
    <w:p w14:paraId="1BE6ACAD" w14:textId="77777777" w:rsidR="00C338E8" w:rsidRDefault="006D7F10" w:rsidP="002147D2">
      <w:pPr>
        <w:pStyle w:val="Heading5"/>
      </w:pPr>
      <w:r w:rsidRPr="001043A2">
        <w:t>Incidenc</w:t>
      </w:r>
      <w:r>
        <w:t>e</w:t>
      </w:r>
    </w:p>
    <w:p w14:paraId="7B7B2323" w14:textId="77777777" w:rsidR="00C338E8" w:rsidRDefault="006D7F10" w:rsidP="002147D2">
      <w:r w:rsidRPr="001043A2">
        <w:t xml:space="preserve">Kidney cancers, of which the vast majority are renal cell cancers, are among the top-10 most commonly diagnosed cancers in Aotearoa – with an average of 540 people diagnosed </w:t>
      </w:r>
      <w:r>
        <w:t>each</w:t>
      </w:r>
      <w:r w:rsidRPr="001043A2">
        <w:t xml:space="preserve"> year, including 60 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w:t>
      </w:r>
      <w:r>
        <w:t xml:space="preserve"> Internationally, clear cell renal cell cancers make up about 80</w:t>
      </w:r>
      <w:r w:rsidR="00F64599">
        <w:t> percent</w:t>
      </w:r>
      <w:r>
        <w:t xml:space="preserve"> of all renal cell cancers (National Cancer Institute 2020). </w:t>
      </w:r>
      <w:r w:rsidRPr="001043A2">
        <w:t xml:space="preserve">The rate of kidney cancer is somewhat higher for Māori (7 per 100,000) compared </w:t>
      </w:r>
      <w:r>
        <w:t>with</w:t>
      </w:r>
      <w:r w:rsidRPr="001043A2">
        <w:t xml:space="preserve"> non-Māori (5 per 100,000 for non-Māori</w:t>
      </w:r>
      <w:r>
        <w:t xml:space="preserve"> </w:t>
      </w:r>
      <w:r>
        <w:rPr>
          <w:noProof/>
        </w:rPr>
        <w:t xml:space="preserve">– </w:t>
      </w:r>
      <w:r w:rsidR="00F64599">
        <w:rPr>
          <w:noProof/>
        </w:rPr>
        <w:t>Te Aho</w:t>
      </w:r>
      <w:r>
        <w:rPr>
          <w:noProof/>
        </w:rPr>
        <w:t xml:space="preserve"> o </w:t>
      </w:r>
      <w:r w:rsidR="00B537E2">
        <w:rPr>
          <w:noProof/>
        </w:rPr>
        <w:t>Te Kahu</w:t>
      </w:r>
      <w:r>
        <w:rPr>
          <w:noProof/>
        </w:rPr>
        <w:t xml:space="preserve"> 2021a)</w:t>
      </w:r>
      <w:r w:rsidRPr="001043A2">
        <w:t xml:space="preserve">. By contrast, the rate of kidney cancer among Pacific peoples is lower than that of </w:t>
      </w:r>
      <w:r>
        <w:t xml:space="preserve">the </w:t>
      </w:r>
      <w:r w:rsidRPr="001043A2">
        <w:t>non-Māori</w:t>
      </w:r>
      <w:r>
        <w:t xml:space="preserve">, non-Pacific, non-Asian population </w:t>
      </w:r>
      <w:r>
        <w:rPr>
          <w:noProof/>
        </w:rPr>
        <w:t xml:space="preserve">(Meredith </w:t>
      </w:r>
      <w:r w:rsidR="00C338E8">
        <w:rPr>
          <w:noProof/>
        </w:rPr>
        <w:t>et al</w:t>
      </w:r>
      <w:r w:rsidR="003B51F4">
        <w:rPr>
          <w:noProof/>
        </w:rPr>
        <w:t xml:space="preserve"> 2</w:t>
      </w:r>
      <w:r>
        <w:rPr>
          <w:noProof/>
        </w:rPr>
        <w:t>012)</w:t>
      </w:r>
      <w:r w:rsidRPr="001043A2">
        <w:t>.</w:t>
      </w:r>
    </w:p>
    <w:p w14:paraId="3E00020E" w14:textId="77777777" w:rsidR="00C338E8" w:rsidRDefault="00C338E8" w:rsidP="002147D2"/>
    <w:p w14:paraId="215BB52B" w14:textId="77777777" w:rsidR="00C338E8" w:rsidRDefault="006D7F10" w:rsidP="002147D2">
      <w:pPr>
        <w:pStyle w:val="Heading5"/>
      </w:pPr>
      <w:r>
        <w:t>Stage at diagnosis</w:t>
      </w:r>
    </w:p>
    <w:p w14:paraId="5642038B" w14:textId="77777777" w:rsidR="00C338E8" w:rsidRDefault="006D7F10" w:rsidP="002147D2">
      <w:r w:rsidRPr="001043A2">
        <w:t>Based on N</w:t>
      </w:r>
      <w:r>
        <w:t xml:space="preserve">ew </w:t>
      </w:r>
      <w:r w:rsidRPr="001043A2">
        <w:t>Z</w:t>
      </w:r>
      <w:r>
        <w:t>ealand</w:t>
      </w:r>
      <w:r w:rsidRPr="001043A2">
        <w:t xml:space="preserve"> Cancer Registry data, </w:t>
      </w:r>
      <w:r>
        <w:t>the</w:t>
      </w:r>
      <w:r w:rsidRPr="001043A2">
        <w:t xml:space="preserve"> majority of kidney cancers are diagnosed at either the local stage (43</w:t>
      </w:r>
      <w:r w:rsidR="00F64599">
        <w:t> percent</w:t>
      </w:r>
      <w:r w:rsidRPr="001043A2">
        <w:t xml:space="preserve"> of total cases, 34</w:t>
      </w:r>
      <w:r w:rsidR="00F64599">
        <w:t> percent</w:t>
      </w:r>
      <w:r w:rsidRPr="001043A2">
        <w:t xml:space="preserve"> Māori, 42</w:t>
      </w:r>
      <w:r w:rsidR="00F64599">
        <w:t> percent</w:t>
      </w:r>
      <w:r>
        <w:t xml:space="preserve"> New Zealand</w:t>
      </w:r>
      <w:r w:rsidRPr="001043A2">
        <w:t xml:space="preserve"> European) or a </w:t>
      </w:r>
      <w:r w:rsidR="00D34911">
        <w:t>‘</w:t>
      </w:r>
      <w:r w:rsidRPr="001043A2">
        <w:t>regional</w:t>
      </w:r>
      <w:r w:rsidR="00D34911">
        <w:t>’</w:t>
      </w:r>
      <w:r w:rsidRPr="001043A2">
        <w:t xml:space="preserve"> stage, when the disease has spread around the region of origin (16</w:t>
      </w:r>
      <w:r w:rsidR="00F64599">
        <w:t> percent</w:t>
      </w:r>
      <w:r w:rsidRPr="001043A2">
        <w:t xml:space="preserve"> total, 13</w:t>
      </w:r>
      <w:r w:rsidR="00F64599">
        <w:t> percent</w:t>
      </w:r>
      <w:r w:rsidRPr="001043A2">
        <w:t xml:space="preserve"> Māori, 17</w:t>
      </w:r>
      <w:r w:rsidR="00F64599">
        <w:t> percent</w:t>
      </w:r>
      <w:r w:rsidRPr="001043A2">
        <w:t xml:space="preserve"> </w:t>
      </w:r>
      <w:r>
        <w:t xml:space="preserve">New Zealand </w:t>
      </w:r>
      <w:r w:rsidRPr="001043A2">
        <w:t xml:space="preserve">European). Around </w:t>
      </w:r>
      <w:r>
        <w:t>one-</w:t>
      </w:r>
      <w:r w:rsidRPr="001043A2">
        <w:t>quarter of kidney cancers are diagnosed at an advanced stage (22</w:t>
      </w:r>
      <w:r w:rsidR="00F64599">
        <w:t> percent</w:t>
      </w:r>
      <w:r w:rsidRPr="001043A2">
        <w:t xml:space="preserve"> total, 25</w:t>
      </w:r>
      <w:r w:rsidR="00F64599">
        <w:t> percent</w:t>
      </w:r>
      <w:r w:rsidRPr="001043A2">
        <w:t xml:space="preserve"> Māori, 22</w:t>
      </w:r>
      <w:r w:rsidR="00F64599">
        <w:t> percent</w:t>
      </w:r>
      <w:r w:rsidRPr="001043A2">
        <w:t xml:space="preserve"> </w:t>
      </w:r>
      <w:r>
        <w:t xml:space="preserve">New Zealand </w:t>
      </w:r>
      <w:r w:rsidRPr="001043A2">
        <w:t>European), while around 20</w:t>
      </w:r>
      <w:r w:rsidR="00F64599">
        <w:t> percent</w:t>
      </w:r>
      <w:r w:rsidRPr="001043A2">
        <w:t xml:space="preserve"> remain unstaged on the </w:t>
      </w:r>
      <w:r>
        <w:t>r</w:t>
      </w:r>
      <w:r w:rsidRPr="001043A2">
        <w:t>egistry (19</w:t>
      </w:r>
      <w:r w:rsidR="00F64599">
        <w:t> percent</w:t>
      </w:r>
      <w:r w:rsidRPr="001043A2">
        <w:t xml:space="preserve"> total, 28</w:t>
      </w:r>
      <w:r w:rsidR="00F64599">
        <w:t> percent</w:t>
      </w:r>
      <w:r w:rsidRPr="001043A2">
        <w:t xml:space="preserve"> Māori, 19</w:t>
      </w:r>
      <w:r w:rsidR="00F64599">
        <w:t> percent</w:t>
      </w:r>
      <w:r w:rsidRPr="001043A2">
        <w:t xml:space="preserve"> </w:t>
      </w:r>
      <w:r>
        <w:t xml:space="preserve">New Zealand </w:t>
      </w:r>
      <w:r w:rsidRPr="001043A2">
        <w:t xml:space="preserve">European) </w:t>
      </w:r>
      <w:r>
        <w:rPr>
          <w:noProof/>
        </w:rPr>
        <w:t xml:space="preserve">(Gurney, Stanley, Jackson, </w:t>
      </w:r>
      <w:r w:rsidR="00C338E8">
        <w:rPr>
          <w:noProof/>
        </w:rPr>
        <w:t>et al</w:t>
      </w:r>
      <w:r w:rsidR="003B51F4">
        <w:rPr>
          <w:noProof/>
        </w:rPr>
        <w:t xml:space="preserve"> 2</w:t>
      </w:r>
      <w:r>
        <w:rPr>
          <w:noProof/>
        </w:rPr>
        <w:t>020)</w:t>
      </w:r>
      <w:r w:rsidRPr="001043A2">
        <w:t>.</w:t>
      </w:r>
    </w:p>
    <w:p w14:paraId="3D8ECBEE" w14:textId="77777777" w:rsidR="00C338E8" w:rsidRDefault="00C338E8" w:rsidP="002147D2"/>
    <w:p w14:paraId="2A323A89" w14:textId="77777777" w:rsidR="00C338E8" w:rsidRDefault="006D7F10" w:rsidP="002147D2">
      <w:pPr>
        <w:pStyle w:val="Heading5"/>
      </w:pPr>
      <w:r w:rsidRPr="001043A2">
        <w:t>Survival</w:t>
      </w:r>
    </w:p>
    <w:p w14:paraId="63FC61C6" w14:textId="77777777" w:rsidR="00C338E8" w:rsidRDefault="006D7F10" w:rsidP="002147D2">
      <w:r w:rsidRPr="001043A2">
        <w:rPr>
          <w:bCs/>
        </w:rPr>
        <w:t>Around two-thirds of those diagnosed with</w:t>
      </w:r>
      <w:r w:rsidRPr="001043A2">
        <w:t xml:space="preserve"> kidney cancer will survive to </w:t>
      </w:r>
      <w:r>
        <w:t>five</w:t>
      </w:r>
      <w:r w:rsidRPr="001043A2">
        <w:t xml:space="preserve"> years (62</w:t>
      </w:r>
      <w:r w:rsidR="00F64599">
        <w:t> percent</w:t>
      </w:r>
      <w:r w:rsidRPr="001043A2">
        <w:t xml:space="preserve"> Māori, 68</w:t>
      </w:r>
      <w:r w:rsidR="00F64599">
        <w:t> percent</w:t>
      </w:r>
      <w:r w:rsidRPr="001043A2">
        <w:t xml:space="preserve"> non-Māori</w:t>
      </w:r>
      <w:r>
        <w:t xml:space="preserve"> </w:t>
      </w:r>
      <w:r>
        <w:rPr>
          <w:noProof/>
        </w:rPr>
        <w:t xml:space="preserve">(Gurney, Stanley, McLeod, </w:t>
      </w:r>
      <w:r w:rsidR="00C338E8">
        <w:rPr>
          <w:noProof/>
        </w:rPr>
        <w:t>et al</w:t>
      </w:r>
      <w:r>
        <w:rPr>
          <w:noProof/>
        </w:rPr>
        <w:t>., 2020)</w:t>
      </w:r>
      <w:r w:rsidRPr="001043A2">
        <w:t xml:space="preserve">. There is currently a lack of robust stage-specific survival data for kidney cancer in </w:t>
      </w:r>
      <w:r>
        <w:t>Aotearoa</w:t>
      </w:r>
      <w:r w:rsidRPr="001043A2">
        <w:t>.</w:t>
      </w:r>
      <w:r>
        <w:t xml:space="preserve"> </w:t>
      </w:r>
      <w:r w:rsidRPr="001043A2">
        <w:t>From 2007</w:t>
      </w:r>
      <w:r>
        <w:t>–</w:t>
      </w:r>
      <w:r w:rsidRPr="001043A2">
        <w:t>2016 data, Māori patients with kidney cancer are 63</w:t>
      </w:r>
      <w:r w:rsidR="00F64599">
        <w:t> percent</w:t>
      </w:r>
      <w:r w:rsidRPr="001043A2">
        <w:t xml:space="preserve"> more likely to die than non-Māori patients with kidney cancer</w:t>
      </w:r>
      <w:r>
        <w:t xml:space="preserve"> </w:t>
      </w:r>
      <w:r>
        <w:rPr>
          <w:noProof/>
        </w:rPr>
        <w:t xml:space="preserve">(Gurney, Stanley, McLeod, </w:t>
      </w:r>
      <w:r w:rsidR="00C338E8">
        <w:rPr>
          <w:noProof/>
        </w:rPr>
        <w:t>et al</w:t>
      </w:r>
      <w:r w:rsidR="003B51F4">
        <w:rPr>
          <w:noProof/>
        </w:rPr>
        <w:t xml:space="preserve"> 2</w:t>
      </w:r>
      <w:r>
        <w:rPr>
          <w:noProof/>
        </w:rPr>
        <w:t>020)</w:t>
      </w:r>
      <w:r w:rsidRPr="001043A2">
        <w:t>.</w:t>
      </w:r>
    </w:p>
    <w:p w14:paraId="643FD81F" w14:textId="77777777" w:rsidR="00652775" w:rsidRDefault="00652775" w:rsidP="002147D2"/>
    <w:p w14:paraId="00530C62" w14:textId="77777777" w:rsidR="00C338E8" w:rsidRDefault="006D7F10" w:rsidP="002147D2">
      <w:pPr>
        <w:pStyle w:val="Heading5"/>
      </w:pPr>
      <w:r w:rsidRPr="001043A2">
        <w:t>Mortality</w:t>
      </w:r>
    </w:p>
    <w:p w14:paraId="0D0ECD64" w14:textId="77777777" w:rsidR="00C338E8" w:rsidRDefault="006D7F10" w:rsidP="002147D2">
      <w:r w:rsidRPr="001043A2">
        <w:rPr>
          <w:bCs/>
        </w:rPr>
        <w:t xml:space="preserve">On average over the last decade, there have been </w:t>
      </w:r>
      <w:r w:rsidRPr="001043A2">
        <w:t xml:space="preserve">190 deaths </w:t>
      </w:r>
      <w:r>
        <w:t>each</w:t>
      </w:r>
      <w:r w:rsidRPr="001043A2">
        <w:t xml:space="preserve"> year from kidney cancer, including 19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043A2">
        <w:t xml:space="preserve">. Mortality rates for kidney cancer are somewhat higher for Māori (2 per 100,000) compared with non-Māori (1 per 100,000) </w:t>
      </w:r>
      <w:r w:rsidRPr="001043A2">
        <w:rPr>
          <w:noProof/>
        </w:rPr>
        <w:t xml:space="preserve">(Robson </w:t>
      </w:r>
      <w:r w:rsidR="00C338E8">
        <w:rPr>
          <w:noProof/>
        </w:rPr>
        <w:t>et al</w:t>
      </w:r>
      <w:r w:rsidR="003B51F4">
        <w:rPr>
          <w:noProof/>
        </w:rPr>
        <w:t xml:space="preserve"> 2</w:t>
      </w:r>
      <w:r w:rsidRPr="001043A2">
        <w:rPr>
          <w:noProof/>
        </w:rPr>
        <w:t>010)</w:t>
      </w:r>
      <w:r w:rsidRPr="001043A2">
        <w:t xml:space="preserve">. By contrast, kidney cancer mortality rates are lower for Pacific peoples (1 per 100,000) than for </w:t>
      </w:r>
      <w:r>
        <w:t xml:space="preserve">the </w:t>
      </w:r>
      <w:r w:rsidRPr="001043A2">
        <w:t>non-Māori</w:t>
      </w:r>
      <w:r>
        <w:t>, non</w:t>
      </w:r>
      <w:r w:rsidR="00652775">
        <w:noBreakHyphen/>
      </w:r>
      <w:r>
        <w:t xml:space="preserve">Pacific, non-Asian population </w:t>
      </w:r>
      <w:r w:rsidRPr="001043A2">
        <w:t>(2 per 100,000)</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w:t>
      </w:r>
    </w:p>
    <w:p w14:paraId="0BEA3B3E" w14:textId="77777777" w:rsidR="00C338E8" w:rsidRDefault="00C338E8" w:rsidP="002147D2"/>
    <w:p w14:paraId="33EF6712" w14:textId="77777777" w:rsidR="00C338E8" w:rsidRDefault="006D7F10" w:rsidP="00B004AC">
      <w:pPr>
        <w:pStyle w:val="Heading3"/>
        <w:keepNext w:val="0"/>
        <w:pageBreakBefore/>
        <w:spacing w:before="0"/>
      </w:pPr>
      <w:bookmarkStart w:id="419" w:name="_Toc100739071"/>
      <w:r>
        <w:lastRenderedPageBreak/>
        <w:t>Bladder cancer</w:t>
      </w:r>
      <w:bookmarkEnd w:id="419"/>
    </w:p>
    <w:p w14:paraId="0251F8E9" w14:textId="77777777" w:rsidR="006D7F10" w:rsidRDefault="006D7F10" w:rsidP="002147D2">
      <w:pPr>
        <w:pStyle w:val="Table"/>
      </w:pPr>
      <w:bookmarkStart w:id="420" w:name="_Toc101365629"/>
      <w:bookmarkStart w:id="421" w:name="Appendix_7_Table_7point13"/>
      <w:r>
        <w:t>Table</w:t>
      </w:r>
      <w:r w:rsidR="002147D2">
        <w:t> </w:t>
      </w:r>
      <w:r>
        <w:t>7.13: Pembrolizumab for bladder cancer</w:t>
      </w:r>
      <w:bookmarkEnd w:id="42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652775" w14:paraId="1CF99EDE" w14:textId="77777777" w:rsidTr="00290AF3">
        <w:trPr>
          <w:cantSplit/>
        </w:trPr>
        <w:tc>
          <w:tcPr>
            <w:tcW w:w="2020" w:type="dxa"/>
            <w:tcBorders>
              <w:top w:val="nil"/>
              <w:bottom w:val="nil"/>
            </w:tcBorders>
            <w:shd w:val="clear" w:color="auto" w:fill="C2D9BA"/>
          </w:tcPr>
          <w:p w14:paraId="1DC6A749" w14:textId="77777777" w:rsidR="00652775" w:rsidRPr="00181CD3" w:rsidRDefault="00652775"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690C6E8A" w14:textId="77777777" w:rsidR="00652775" w:rsidRDefault="00652775" w:rsidP="00652775">
            <w:pPr>
              <w:pStyle w:val="TableText"/>
            </w:pPr>
            <w:r w:rsidRPr="001043A2">
              <w:t xml:space="preserve">Urothelial cancer, locally advanced or metastatic, </w:t>
            </w:r>
            <w:r>
              <w:t>second-line therapy</w:t>
            </w:r>
          </w:p>
        </w:tc>
      </w:tr>
      <w:tr w:rsidR="00652775" w14:paraId="798FC27A" w14:textId="77777777" w:rsidTr="00290AF3">
        <w:trPr>
          <w:cantSplit/>
        </w:trPr>
        <w:tc>
          <w:tcPr>
            <w:tcW w:w="2020" w:type="dxa"/>
            <w:tcBorders>
              <w:top w:val="single" w:sz="4" w:space="0" w:color="C2D9BA"/>
              <w:bottom w:val="single" w:sz="4" w:space="0" w:color="C2D9BA"/>
            </w:tcBorders>
            <w:shd w:val="clear" w:color="auto" w:fill="E7F0E3"/>
          </w:tcPr>
          <w:p w14:paraId="2F50725B" w14:textId="77777777" w:rsidR="00652775" w:rsidRPr="00181CD3" w:rsidRDefault="00652775" w:rsidP="00652775">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3C3FE061" w14:textId="77777777" w:rsidR="00652775" w:rsidRDefault="00652775" w:rsidP="00652775">
            <w:pPr>
              <w:pStyle w:val="TableText"/>
            </w:pPr>
            <w:r>
              <w:t>Pembrolizumab</w:t>
            </w:r>
          </w:p>
        </w:tc>
      </w:tr>
      <w:tr w:rsidR="00652775" w14:paraId="2582E91D" w14:textId="77777777" w:rsidTr="00290AF3">
        <w:trPr>
          <w:cantSplit/>
        </w:trPr>
        <w:tc>
          <w:tcPr>
            <w:tcW w:w="2020" w:type="dxa"/>
            <w:tcBorders>
              <w:top w:val="single" w:sz="4" w:space="0" w:color="C2D9BA"/>
              <w:bottom w:val="single" w:sz="4" w:space="0" w:color="C2D9BA"/>
            </w:tcBorders>
            <w:shd w:val="clear" w:color="auto" w:fill="auto"/>
          </w:tcPr>
          <w:p w14:paraId="1B24A8FA" w14:textId="77777777" w:rsidR="00652775" w:rsidRPr="00181CD3" w:rsidRDefault="00652775"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68732C99" w14:textId="77777777" w:rsidR="00652775" w:rsidRDefault="00652775" w:rsidP="001E7335">
            <w:pPr>
              <w:pStyle w:val="TableText"/>
            </w:pPr>
            <w:r>
              <w:t>Immune checkpoint inhibitor (monoclonal antibody targeting PD-1 protein)</w:t>
            </w:r>
          </w:p>
        </w:tc>
      </w:tr>
      <w:tr w:rsidR="00652775" w14:paraId="575D02B3" w14:textId="77777777" w:rsidTr="00290AF3">
        <w:trPr>
          <w:cantSplit/>
        </w:trPr>
        <w:tc>
          <w:tcPr>
            <w:tcW w:w="2020" w:type="dxa"/>
            <w:tcBorders>
              <w:top w:val="single" w:sz="4" w:space="0" w:color="C2D9BA"/>
              <w:bottom w:val="single" w:sz="4" w:space="0" w:color="C2D9BA"/>
            </w:tcBorders>
            <w:shd w:val="clear" w:color="auto" w:fill="auto"/>
          </w:tcPr>
          <w:p w14:paraId="2A35B6DB" w14:textId="77777777" w:rsidR="00652775" w:rsidRPr="00181CD3" w:rsidRDefault="00652775"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69B4C7AC" w14:textId="77777777" w:rsidR="00652775" w:rsidRDefault="00652775" w:rsidP="001E7335">
            <w:pPr>
              <w:pStyle w:val="TableText"/>
            </w:pPr>
            <w:r>
              <w:t>Non-curative</w:t>
            </w:r>
          </w:p>
        </w:tc>
      </w:tr>
      <w:tr w:rsidR="00652775" w14:paraId="3D3E4FA8" w14:textId="77777777" w:rsidTr="00652775">
        <w:trPr>
          <w:cantSplit/>
        </w:trPr>
        <w:tc>
          <w:tcPr>
            <w:tcW w:w="2020" w:type="dxa"/>
            <w:tcBorders>
              <w:top w:val="single" w:sz="4" w:space="0" w:color="C2D9BA"/>
              <w:bottom w:val="single" w:sz="4" w:space="0" w:color="C2D9BA"/>
            </w:tcBorders>
            <w:shd w:val="clear" w:color="auto" w:fill="auto"/>
          </w:tcPr>
          <w:p w14:paraId="263D787A" w14:textId="77777777" w:rsidR="00652775" w:rsidRPr="00181CD3" w:rsidRDefault="00652775"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1F43A5EE" w14:textId="77777777" w:rsidR="00652775" w:rsidRDefault="00652775" w:rsidP="001E7335">
            <w:pPr>
              <w:pStyle w:val="TableText"/>
            </w:pPr>
            <w:r>
              <w:t>Application received November 2017</w:t>
            </w:r>
          </w:p>
          <w:p w14:paraId="01416B7D" w14:textId="77777777" w:rsidR="00652775" w:rsidRPr="00652775" w:rsidRDefault="00652775" w:rsidP="001E7335">
            <w:pPr>
              <w:pStyle w:val="TableText"/>
            </w:pPr>
            <w:r>
              <w:t xml:space="preserve">Ranked as an option for </w:t>
            </w:r>
            <w:r w:rsidRPr="00652775">
              <w:t>investment. This means that this option would be funded if the budget allowed.</w:t>
            </w:r>
          </w:p>
          <w:p w14:paraId="45C54D96" w14:textId="77777777" w:rsidR="00652775" w:rsidRDefault="0056499C" w:rsidP="001E7335">
            <w:pPr>
              <w:pStyle w:val="TableText"/>
            </w:pPr>
            <w:hyperlink r:id="rId109" w:history="1">
              <w:r w:rsidR="00652775" w:rsidRPr="00652775">
                <w:rPr>
                  <w:rStyle w:val="Hyperlink"/>
                </w:rPr>
                <w:t>https://connect.pharmac.govt.nz/apptracker/s/application-public/a102P000008pu1w/p000485</w:t>
              </w:r>
            </w:hyperlink>
          </w:p>
        </w:tc>
      </w:tr>
      <w:tr w:rsidR="00652775" w14:paraId="39FEA8FC" w14:textId="77777777" w:rsidTr="00652775">
        <w:trPr>
          <w:cantSplit/>
        </w:trPr>
        <w:tc>
          <w:tcPr>
            <w:tcW w:w="2020" w:type="dxa"/>
            <w:tcBorders>
              <w:top w:val="single" w:sz="4" w:space="0" w:color="C2D9BA"/>
              <w:bottom w:val="single" w:sz="4" w:space="0" w:color="C2D9BA"/>
            </w:tcBorders>
            <w:shd w:val="clear" w:color="auto" w:fill="auto"/>
          </w:tcPr>
          <w:p w14:paraId="1A82AF02" w14:textId="77777777" w:rsidR="00652775" w:rsidRPr="0038658B" w:rsidRDefault="00652775"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2280A470" w14:textId="77777777" w:rsidR="00652775" w:rsidRDefault="00652775" w:rsidP="001E7335">
            <w:pPr>
              <w:pStyle w:val="TableText"/>
            </w:pPr>
            <w:r>
              <w:t>4</w:t>
            </w:r>
          </w:p>
        </w:tc>
        <w:tc>
          <w:tcPr>
            <w:tcW w:w="5528" w:type="dxa"/>
            <w:tcBorders>
              <w:top w:val="single" w:sz="4" w:space="0" w:color="C2D9BA"/>
              <w:bottom w:val="single" w:sz="4" w:space="0" w:color="C2D9BA"/>
            </w:tcBorders>
            <w:shd w:val="clear" w:color="auto" w:fill="auto"/>
          </w:tcPr>
          <w:p w14:paraId="3C3125D1" w14:textId="77777777" w:rsidR="00652775" w:rsidRDefault="00652775" w:rsidP="00B004AC">
            <w:pPr>
              <w:pStyle w:val="TableText"/>
              <w:spacing w:after="30"/>
            </w:pPr>
            <w:r>
              <w:t>Compared with chemotherapy:</w:t>
            </w:r>
          </w:p>
          <w:p w14:paraId="4484A78E" w14:textId="77777777" w:rsidR="00652775" w:rsidRDefault="00652775" w:rsidP="00B004AC">
            <w:pPr>
              <w:pStyle w:val="TableText"/>
              <w:spacing w:before="0" w:after="30"/>
            </w:pPr>
            <w:r>
              <w:t>Gain in median overall survival of 2.9 months</w:t>
            </w:r>
          </w:p>
          <w:p w14:paraId="301CCA41" w14:textId="77777777" w:rsidR="00652775" w:rsidRDefault="00652775" w:rsidP="00B004AC">
            <w:pPr>
              <w:pStyle w:val="TableText"/>
              <w:spacing w:before="0" w:after="30"/>
            </w:pPr>
            <w:r>
              <w:t>Progression-free survival did not contribute to the score.</w:t>
            </w:r>
          </w:p>
          <w:p w14:paraId="5B87E705" w14:textId="77777777" w:rsidR="00652775" w:rsidRDefault="00652775" w:rsidP="00B004AC">
            <w:pPr>
              <w:pStyle w:val="TableText"/>
              <w:spacing w:before="0" w:after="30"/>
            </w:pPr>
            <w:r>
              <w:t>No quality-of-life improvement noted.</w:t>
            </w:r>
          </w:p>
          <w:p w14:paraId="07B688A1" w14:textId="77777777" w:rsidR="00652775" w:rsidRDefault="00652775" w:rsidP="00B004AC">
            <w:pPr>
              <w:pStyle w:val="TableText"/>
              <w:spacing w:before="0" w:after="30"/>
            </w:pPr>
            <w:r>
              <w:t>Reduced frequency of severe adverse events contributed to the score.</w:t>
            </w:r>
          </w:p>
          <w:p w14:paraId="00A44BDA" w14:textId="77777777" w:rsidR="00652775" w:rsidRDefault="0056499C" w:rsidP="00B004AC">
            <w:pPr>
              <w:pStyle w:val="TableText"/>
              <w:spacing w:before="0"/>
            </w:pPr>
            <w:hyperlink r:id="rId110" w:history="1">
              <w:r w:rsidR="00652775" w:rsidRPr="005E48E7">
                <w:rPr>
                  <w:rStyle w:val="Hyperlink"/>
                  <w:rFonts w:eastAsia="MS Gothic"/>
                </w:rPr>
                <w:t>www.esmo.org/guidelines/esmo-mcbs/esmo-mcbs-scorecards/scorecard-278-1</w:t>
              </w:r>
            </w:hyperlink>
          </w:p>
        </w:tc>
      </w:tr>
      <w:tr w:rsidR="00652775" w14:paraId="671A6DFA" w14:textId="77777777" w:rsidTr="00290AF3">
        <w:trPr>
          <w:cantSplit/>
        </w:trPr>
        <w:tc>
          <w:tcPr>
            <w:tcW w:w="2020" w:type="dxa"/>
            <w:tcBorders>
              <w:top w:val="single" w:sz="4" w:space="0" w:color="C2D9BA"/>
              <w:bottom w:val="single" w:sz="4" w:space="0" w:color="C2D9BA"/>
            </w:tcBorders>
            <w:shd w:val="clear" w:color="auto" w:fill="auto"/>
          </w:tcPr>
          <w:p w14:paraId="79A5ADA0" w14:textId="77777777" w:rsidR="00652775" w:rsidRPr="0038658B" w:rsidRDefault="00652775"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6402D5DF" w14:textId="77777777" w:rsidR="00652775" w:rsidRDefault="00652775" w:rsidP="00B004AC">
            <w:pPr>
              <w:pStyle w:val="TableText"/>
              <w:spacing w:after="30"/>
            </w:pPr>
            <w:r w:rsidRPr="001043A2">
              <w:t>In Aotearoa</w:t>
            </w:r>
            <w:r>
              <w:t>,</w:t>
            </w:r>
            <w:r w:rsidRPr="001043A2">
              <w:t xml:space="preserve"> the current treatment for these patients is </w:t>
            </w:r>
            <w:r>
              <w:t>chemotherapy or best supportive care.</w:t>
            </w:r>
          </w:p>
          <w:p w14:paraId="5BD3CADD" w14:textId="77777777" w:rsidR="00652775" w:rsidRDefault="00652775" w:rsidP="00B004AC">
            <w:pPr>
              <w:pStyle w:val="TableText"/>
              <w:spacing w:before="0"/>
            </w:pPr>
            <w:r w:rsidRPr="001043A2">
              <w:t xml:space="preserve">If </w:t>
            </w:r>
            <w:r>
              <w:t>pembrolizumab</w:t>
            </w:r>
            <w:r w:rsidRPr="001043A2">
              <w:t xml:space="preserve"> were funded for this indication</w:t>
            </w:r>
            <w:r>
              <w:t>,</w:t>
            </w:r>
            <w:r w:rsidRPr="001043A2">
              <w:t xml:space="preserve"> it would </w:t>
            </w:r>
            <w:r>
              <w:t>become an additional line of active treatment</w:t>
            </w:r>
            <w:r w:rsidRPr="001043A2">
              <w:t xml:space="preserve">. </w:t>
            </w:r>
            <w:r>
              <w:t>It would be used alone rather than being added to chemotherapy.</w:t>
            </w:r>
          </w:p>
        </w:tc>
      </w:tr>
      <w:tr w:rsidR="00652775" w14:paraId="2279041C" w14:textId="77777777" w:rsidTr="00290AF3">
        <w:trPr>
          <w:cantSplit/>
        </w:trPr>
        <w:tc>
          <w:tcPr>
            <w:tcW w:w="2020" w:type="dxa"/>
            <w:tcBorders>
              <w:top w:val="single" w:sz="4" w:space="0" w:color="C2D9BA"/>
              <w:bottom w:val="single" w:sz="4" w:space="0" w:color="C2D9BA"/>
            </w:tcBorders>
            <w:shd w:val="clear" w:color="auto" w:fill="auto"/>
          </w:tcPr>
          <w:p w14:paraId="7BFA0D06" w14:textId="77777777" w:rsidR="00652775" w:rsidRPr="0038658B" w:rsidRDefault="00652775"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42D28D06" w14:textId="77777777" w:rsidR="00652775" w:rsidRDefault="00652775" w:rsidP="001E7335">
            <w:pPr>
              <w:pStyle w:val="TableText"/>
            </w:pPr>
            <w:r w:rsidRPr="001043A2">
              <w:t xml:space="preserve">Size of eligible population: approximately 50 people </w:t>
            </w:r>
            <w:r>
              <w:t>each</w:t>
            </w:r>
            <w:r w:rsidRPr="001043A2">
              <w:t xml:space="preserve"> year (</w:t>
            </w:r>
            <w:r>
              <w:t>CaTSoP 2019</w:t>
            </w:r>
            <w:r w:rsidRPr="001043A2">
              <w:t>)</w:t>
            </w:r>
            <w:r>
              <w:t>.</w:t>
            </w:r>
          </w:p>
        </w:tc>
      </w:tr>
      <w:tr w:rsidR="00652775" w14:paraId="61652164" w14:textId="77777777" w:rsidTr="00290AF3">
        <w:trPr>
          <w:cantSplit/>
        </w:trPr>
        <w:tc>
          <w:tcPr>
            <w:tcW w:w="2020" w:type="dxa"/>
            <w:tcBorders>
              <w:top w:val="single" w:sz="4" w:space="0" w:color="C2D9BA"/>
              <w:bottom w:val="single" w:sz="4" w:space="0" w:color="C2D9BA"/>
            </w:tcBorders>
            <w:shd w:val="clear" w:color="auto" w:fill="auto"/>
          </w:tcPr>
          <w:p w14:paraId="179F735A" w14:textId="77777777" w:rsidR="00652775" w:rsidRPr="0038658B" w:rsidRDefault="00652775" w:rsidP="00B004AC">
            <w:pPr>
              <w:pStyle w:val="TableText"/>
              <w:ind w:right="113"/>
              <w:rPr>
                <w:b/>
              </w:rPr>
            </w:pPr>
            <w:r w:rsidRPr="0038658B">
              <w:rPr>
                <w:b/>
              </w:rPr>
              <w:t>How th</w:t>
            </w:r>
            <w:r w:rsidR="00B004AC">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5B18FA9E" w14:textId="77777777" w:rsidR="00652775" w:rsidRDefault="00652775" w:rsidP="00B004AC">
            <w:pPr>
              <w:pStyle w:val="TableText"/>
              <w:spacing w:after="30"/>
            </w:pPr>
            <w:r>
              <w:t>This medicine is given by infusion.</w:t>
            </w:r>
          </w:p>
          <w:p w14:paraId="68535EB5" w14:textId="77777777" w:rsidR="00652775" w:rsidRDefault="00652775" w:rsidP="00B004AC">
            <w:pPr>
              <w:pStyle w:val="TableText"/>
              <w:spacing w:before="0"/>
            </w:pPr>
            <w:r>
              <w:t>Pembrolizumab would be given every three to six weeks until disease progression (or unacceptable toxicity).</w:t>
            </w:r>
          </w:p>
        </w:tc>
      </w:tr>
      <w:tr w:rsidR="00652775" w14:paraId="145A845F" w14:textId="77777777" w:rsidTr="00290AF3">
        <w:trPr>
          <w:cantSplit/>
        </w:trPr>
        <w:tc>
          <w:tcPr>
            <w:tcW w:w="2020" w:type="dxa"/>
            <w:tcBorders>
              <w:top w:val="single" w:sz="4" w:space="0" w:color="C2D9BA"/>
              <w:bottom w:val="single" w:sz="4" w:space="0" w:color="C2D9BA"/>
            </w:tcBorders>
            <w:shd w:val="clear" w:color="auto" w:fill="auto"/>
          </w:tcPr>
          <w:p w14:paraId="7FBED8C9" w14:textId="77777777" w:rsidR="00652775" w:rsidRPr="0038658B" w:rsidRDefault="00652775" w:rsidP="00290AF3">
            <w:pPr>
              <w:pStyle w:val="TableText"/>
              <w:ind w:right="113"/>
              <w:rPr>
                <w:b/>
              </w:rPr>
            </w:pPr>
            <w:r w:rsidRPr="0038658B">
              <w:rPr>
                <w:b/>
              </w:rPr>
              <w:t>Patient and whānau considerations</w:t>
            </w:r>
          </w:p>
        </w:tc>
        <w:tc>
          <w:tcPr>
            <w:tcW w:w="6060" w:type="dxa"/>
            <w:gridSpan w:val="2"/>
            <w:tcBorders>
              <w:top w:val="single" w:sz="4" w:space="0" w:color="C2D9BA"/>
              <w:bottom w:val="single" w:sz="4" w:space="0" w:color="C2D9BA"/>
            </w:tcBorders>
            <w:shd w:val="clear" w:color="auto" w:fill="auto"/>
          </w:tcPr>
          <w:p w14:paraId="578F8098" w14:textId="77777777" w:rsidR="00652775" w:rsidRDefault="00652775" w:rsidP="00B004AC">
            <w:pPr>
              <w:pStyle w:val="TableText"/>
              <w:spacing w:after="30"/>
            </w:pPr>
            <w:r>
              <w:t>This treatment would become an additional treatment option for these patients, with the potential clinical benefit described above.</w:t>
            </w:r>
          </w:p>
          <w:p w14:paraId="37451E83" w14:textId="77777777" w:rsidR="00652775" w:rsidRDefault="00652775" w:rsidP="00B004AC">
            <w:pPr>
              <w:pStyle w:val="TableText"/>
              <w:spacing w:before="0" w:after="30"/>
            </w:pPr>
            <w:r>
              <w:t>The current approach is either chemotherapy or best supportive care. This would mean that, compared with the current approach, there would generally be more treatment appointments to attend. Pembrolizumab would be administered in the outpatient infusion centre once every three or six weeks, so patients would need to travel, but there would be no prescription charge. There may be other medicines needed to manage side effects that may have a prescription charge. There are some particular side effects associated with immune checkpoint inhibitors that are quite different to the side effects of chemotherapy. These can develop long after treatment has stopped and may require specialised management.</w:t>
            </w:r>
          </w:p>
          <w:p w14:paraId="71B05284" w14:textId="77777777" w:rsidR="00652775" w:rsidRDefault="00652775" w:rsidP="00B004AC">
            <w:pPr>
              <w:pStyle w:val="TableText"/>
              <w:spacing w:before="0"/>
            </w:pPr>
            <w:r>
              <w:t>Treatment would continue until there is progression of the disease (or intolerable side effects).</w:t>
            </w:r>
          </w:p>
        </w:tc>
      </w:tr>
      <w:tr w:rsidR="00652775" w14:paraId="27517785" w14:textId="77777777" w:rsidTr="00290AF3">
        <w:trPr>
          <w:cantSplit/>
        </w:trPr>
        <w:tc>
          <w:tcPr>
            <w:tcW w:w="2020" w:type="dxa"/>
            <w:tcBorders>
              <w:top w:val="single" w:sz="4" w:space="0" w:color="C2D9BA"/>
              <w:bottom w:val="single" w:sz="4" w:space="0" w:color="C2D9BA"/>
            </w:tcBorders>
            <w:shd w:val="clear" w:color="auto" w:fill="auto"/>
          </w:tcPr>
          <w:p w14:paraId="6F94F212" w14:textId="77777777" w:rsidR="00652775" w:rsidRPr="0038658B" w:rsidRDefault="00652775" w:rsidP="00290AF3">
            <w:pPr>
              <w:pStyle w:val="TableText"/>
              <w:ind w:right="113"/>
              <w:rPr>
                <w:b/>
              </w:rPr>
            </w:pPr>
            <w:r w:rsidRPr="0038658B">
              <w:rPr>
                <w:b/>
              </w:rPr>
              <w:lastRenderedPageBreak/>
              <w:t>Health system resource considerations</w:t>
            </w:r>
          </w:p>
        </w:tc>
        <w:tc>
          <w:tcPr>
            <w:tcW w:w="6060" w:type="dxa"/>
            <w:gridSpan w:val="2"/>
            <w:tcBorders>
              <w:top w:val="single" w:sz="4" w:space="0" w:color="C2D9BA"/>
              <w:bottom w:val="single" w:sz="4" w:space="0" w:color="C2D9BA"/>
            </w:tcBorders>
            <w:shd w:val="clear" w:color="auto" w:fill="auto"/>
          </w:tcPr>
          <w:p w14:paraId="40179A45" w14:textId="77777777" w:rsidR="00652775" w:rsidRDefault="00652775" w:rsidP="001E7335">
            <w:pPr>
              <w:pStyle w:val="TableText"/>
            </w:pPr>
            <w:r w:rsidRPr="00614693">
              <w:t xml:space="preserve">Additional </w:t>
            </w:r>
            <w:r>
              <w:t>treatment appointments may be required.</w:t>
            </w:r>
          </w:p>
          <w:p w14:paraId="64861B1C" w14:textId="77777777" w:rsidR="00652775" w:rsidRDefault="00652775" w:rsidP="001E7335">
            <w:pPr>
              <w:pStyle w:val="TableText"/>
            </w:pPr>
            <w:r>
              <w:t xml:space="preserve">Additional </w:t>
            </w:r>
            <w:r w:rsidRPr="00614693">
              <w:t>follow-up appointments required</w:t>
            </w:r>
            <w:r>
              <w:t>.</w:t>
            </w:r>
          </w:p>
          <w:p w14:paraId="07CAFD68" w14:textId="77777777" w:rsidR="00652775" w:rsidRDefault="00652775" w:rsidP="001E7335">
            <w:pPr>
              <w:pStyle w:val="TableText"/>
            </w:pPr>
            <w:r w:rsidRPr="00614693">
              <w:t xml:space="preserve">Additional chair time </w:t>
            </w:r>
            <w:r>
              <w:t>for administration of treatment may be required.</w:t>
            </w:r>
          </w:p>
          <w:p w14:paraId="11683867" w14:textId="77777777" w:rsidR="00652775" w:rsidRDefault="00652775" w:rsidP="001E7335">
            <w:pPr>
              <w:pStyle w:val="TableText"/>
            </w:pPr>
            <w:r w:rsidRPr="00614693">
              <w:t>Increased demand for laboratory</w:t>
            </w:r>
            <w:r>
              <w:t xml:space="preserve"> and pathology services to monitor for treatment toxicities.</w:t>
            </w:r>
          </w:p>
          <w:p w14:paraId="6648950B" w14:textId="77777777" w:rsidR="00652775" w:rsidRDefault="00652775"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098AA7BB" w14:textId="77777777" w:rsidR="00652775" w:rsidRDefault="00652775" w:rsidP="001E7335">
            <w:pPr>
              <w:pStyle w:val="TableText"/>
            </w:pPr>
            <w:r>
              <w:t>Potential for increased demand for supportive care and toxicity management (including health care professionals’ time and pharmaceuticals).</w:t>
            </w:r>
          </w:p>
        </w:tc>
      </w:tr>
    </w:tbl>
    <w:p w14:paraId="7B62E0D6" w14:textId="77777777" w:rsidR="0038658B" w:rsidRPr="0038658B" w:rsidRDefault="0038658B" w:rsidP="0038658B"/>
    <w:p w14:paraId="1B586270" w14:textId="77777777" w:rsidR="00C338E8" w:rsidRDefault="006D7F10" w:rsidP="002147D2">
      <w:pPr>
        <w:pStyle w:val="Heading4"/>
      </w:pPr>
      <w:bookmarkStart w:id="422" w:name="_Toc100739072"/>
      <w:bookmarkEnd w:id="421"/>
      <w:r>
        <w:t>Epidemiology of bladder cancer</w:t>
      </w:r>
      <w:bookmarkEnd w:id="422"/>
    </w:p>
    <w:p w14:paraId="28C51D5C" w14:textId="77777777" w:rsidR="00C338E8" w:rsidRDefault="006D7F10" w:rsidP="002147D2">
      <w:pPr>
        <w:pStyle w:val="Heading5"/>
      </w:pPr>
      <w:r w:rsidRPr="001043A2">
        <w:t>Incidence</w:t>
      </w:r>
    </w:p>
    <w:p w14:paraId="2D040E84" w14:textId="77777777" w:rsidR="00C338E8" w:rsidRDefault="006D7F10" w:rsidP="002147D2">
      <w:r w:rsidRPr="001043A2">
        <w:t xml:space="preserve">Bladder cancers, of which the vast majority are urothelial cancers, are the </w:t>
      </w:r>
      <w:r>
        <w:t>fourteenth</w:t>
      </w:r>
      <w:r w:rsidRPr="001043A2">
        <w:t xml:space="preserve"> most commonly diagnosed cancers in </w:t>
      </w:r>
      <w:r>
        <w:t>Aotearoa</w:t>
      </w:r>
      <w:r w:rsidRPr="001043A2">
        <w:t xml:space="preserve"> – with an average of 380 people diagnosed </w:t>
      </w:r>
      <w:r>
        <w:t>each</w:t>
      </w:r>
      <w:r w:rsidRPr="001043A2">
        <w:t xml:space="preserve"> year, including 24 Māori</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w:t>
      </w:r>
      <w:r>
        <w:t xml:space="preserve"> </w:t>
      </w:r>
      <w:r w:rsidRPr="001043A2">
        <w:t xml:space="preserve">The rate of bladder cancer is somewhat lower for Māori (3 per 100,000) compared </w:t>
      </w:r>
      <w:r>
        <w:t>with</w:t>
      </w:r>
      <w:r w:rsidRPr="001043A2">
        <w:t xml:space="preserve"> non-Māori (4 per 100,000</w:t>
      </w:r>
      <w:r>
        <w:t>)</w:t>
      </w:r>
      <w:r w:rsidRPr="001043A2">
        <w:t xml:space="preserve"> </w:t>
      </w:r>
      <w:r w:rsidRPr="001043A2">
        <w:rPr>
          <w:noProof/>
        </w:rPr>
        <w:t xml:space="preserve">(Robson </w:t>
      </w:r>
      <w:r w:rsidR="00C338E8">
        <w:rPr>
          <w:noProof/>
        </w:rPr>
        <w:t>et al</w:t>
      </w:r>
      <w:r w:rsidR="003B51F4">
        <w:rPr>
          <w:noProof/>
        </w:rPr>
        <w:t xml:space="preserve"> 2</w:t>
      </w:r>
      <w:r w:rsidRPr="001043A2">
        <w:rPr>
          <w:noProof/>
        </w:rPr>
        <w:t>010)</w:t>
      </w:r>
      <w:r w:rsidRPr="001043A2">
        <w:t xml:space="preserve">. The rate of bladder cancer is also lower among Pacific peoples compared </w:t>
      </w:r>
      <w:r>
        <w:t>with the</w:t>
      </w:r>
      <w:r w:rsidRPr="001043A2">
        <w:t xml:space="preserve"> non-Māori</w:t>
      </w:r>
      <w:r>
        <w:t xml:space="preserve">, non-Pacific, non-Asian population </w:t>
      </w:r>
      <w:r>
        <w:rPr>
          <w:noProof/>
        </w:rPr>
        <w:t xml:space="preserve">(Meredith </w:t>
      </w:r>
      <w:r w:rsidR="00C338E8">
        <w:rPr>
          <w:noProof/>
        </w:rPr>
        <w:t>et al</w:t>
      </w:r>
      <w:r w:rsidR="003B51F4">
        <w:rPr>
          <w:noProof/>
        </w:rPr>
        <w:t xml:space="preserve"> 2</w:t>
      </w:r>
      <w:r>
        <w:rPr>
          <w:noProof/>
        </w:rPr>
        <w:t>012)</w:t>
      </w:r>
      <w:r w:rsidRPr="001043A2">
        <w:t>.</w:t>
      </w:r>
    </w:p>
    <w:p w14:paraId="0FADAB5B" w14:textId="77777777" w:rsidR="00C338E8" w:rsidRDefault="00C338E8" w:rsidP="002147D2"/>
    <w:p w14:paraId="14938DE4" w14:textId="77777777" w:rsidR="00C338E8" w:rsidRDefault="006D7F10" w:rsidP="002147D2">
      <w:pPr>
        <w:pStyle w:val="Heading5"/>
      </w:pPr>
      <w:r>
        <w:t>Stage at diagnosis</w:t>
      </w:r>
    </w:p>
    <w:p w14:paraId="7BB71068" w14:textId="77777777" w:rsidR="00C338E8" w:rsidRDefault="006D7F10" w:rsidP="002147D2">
      <w:r w:rsidRPr="001043A2">
        <w:t xml:space="preserve">There is currently a lack of national, robust staging information available for bladder cancer in </w:t>
      </w:r>
      <w:r>
        <w:t>Aotearoa</w:t>
      </w:r>
      <w:r w:rsidRPr="001043A2">
        <w:t>, and the vast majority of bladder cancers remain unstaged on the N</w:t>
      </w:r>
      <w:r>
        <w:t xml:space="preserve">ew </w:t>
      </w:r>
      <w:r w:rsidRPr="001043A2">
        <w:t>Z</w:t>
      </w:r>
      <w:r>
        <w:t>ealand</w:t>
      </w:r>
      <w:r w:rsidRPr="001043A2">
        <w:t xml:space="preserve"> Cancer Registry (70</w:t>
      </w:r>
      <w:r w:rsidR="00F64599">
        <w:t> percent</w:t>
      </w:r>
      <w:r w:rsidRPr="001043A2">
        <w:t xml:space="preserve"> of total cases, 65</w:t>
      </w:r>
      <w:r w:rsidR="00F64599">
        <w:t> percent</w:t>
      </w:r>
      <w:r w:rsidRPr="001043A2">
        <w:t xml:space="preserve"> Māori, 66</w:t>
      </w:r>
      <w:r w:rsidR="00F64599">
        <w:t> percent</w:t>
      </w:r>
      <w:r w:rsidRPr="001043A2">
        <w:t xml:space="preserve"> </w:t>
      </w:r>
      <w:r>
        <w:t xml:space="preserve">New Zealand </w:t>
      </w:r>
      <w:r w:rsidRPr="001043A2">
        <w:t>European). Approximately 12</w:t>
      </w:r>
      <w:r w:rsidR="00F64599">
        <w:t> percent</w:t>
      </w:r>
      <w:r w:rsidRPr="001043A2">
        <w:t xml:space="preserve"> are listed on the </w:t>
      </w:r>
      <w:r>
        <w:t>r</w:t>
      </w:r>
      <w:r w:rsidRPr="001043A2">
        <w:t>egistry as having advanced disease (12</w:t>
      </w:r>
      <w:r w:rsidR="00F64599">
        <w:t> percent</w:t>
      </w:r>
      <w:r w:rsidRPr="001043A2">
        <w:t xml:space="preserve"> total, 11</w:t>
      </w:r>
      <w:r w:rsidR="00F64599">
        <w:t> percent</w:t>
      </w:r>
      <w:r w:rsidRPr="001043A2">
        <w:t xml:space="preserve"> Māori, 12</w:t>
      </w:r>
      <w:r w:rsidR="00F64599">
        <w:t> percent</w:t>
      </w:r>
      <w:r w:rsidRPr="001043A2">
        <w:t xml:space="preserve"> </w:t>
      </w:r>
      <w:r>
        <w:t xml:space="preserve">New Zealand </w:t>
      </w:r>
      <w:r w:rsidRPr="001043A2">
        <w:t>European), with the remaining 18</w:t>
      </w:r>
      <w:r w:rsidR="00F64599">
        <w:t> percent</w:t>
      </w:r>
      <w:r w:rsidRPr="001043A2">
        <w:t xml:space="preserve"> listed as having either local (7</w:t>
      </w:r>
      <w:r w:rsidR="00F64599">
        <w:t> percent</w:t>
      </w:r>
      <w:r w:rsidRPr="001043A2">
        <w:t>) or regional (11</w:t>
      </w:r>
      <w:r w:rsidR="00F64599">
        <w:t> percent</w:t>
      </w:r>
      <w:r w:rsidRPr="001043A2">
        <w:t xml:space="preserve">) disease </w:t>
      </w:r>
      <w:r>
        <w:rPr>
          <w:noProof/>
        </w:rPr>
        <w:t xml:space="preserve">(Gurney, Stanley, Jackson, </w:t>
      </w:r>
      <w:r w:rsidR="00C338E8">
        <w:rPr>
          <w:noProof/>
        </w:rPr>
        <w:t>et al</w:t>
      </w:r>
      <w:r w:rsidR="003B51F4">
        <w:rPr>
          <w:noProof/>
        </w:rPr>
        <w:t xml:space="preserve"> 2</w:t>
      </w:r>
      <w:r>
        <w:rPr>
          <w:noProof/>
        </w:rPr>
        <w:t>020)</w:t>
      </w:r>
      <w:r w:rsidRPr="001043A2">
        <w:t>.</w:t>
      </w:r>
    </w:p>
    <w:p w14:paraId="38FD68E8" w14:textId="77777777" w:rsidR="00C338E8" w:rsidRDefault="00C338E8" w:rsidP="002147D2"/>
    <w:p w14:paraId="6CAE6153" w14:textId="77777777" w:rsidR="00C338E8" w:rsidRDefault="006D7F10" w:rsidP="002147D2">
      <w:pPr>
        <w:pStyle w:val="Heading5"/>
      </w:pPr>
      <w:r w:rsidRPr="001043A2">
        <w:t>Survival</w:t>
      </w:r>
    </w:p>
    <w:p w14:paraId="78D88D35" w14:textId="77777777" w:rsidR="00C338E8" w:rsidRPr="00B004AC" w:rsidRDefault="006D7F10" w:rsidP="00652775">
      <w:pPr>
        <w:keepNext/>
        <w:keepLines/>
        <w:rPr>
          <w:spacing w:val="-2"/>
        </w:rPr>
      </w:pPr>
      <w:r w:rsidRPr="00B004AC">
        <w:rPr>
          <w:bCs/>
          <w:spacing w:val="-2"/>
        </w:rPr>
        <w:t>Around half of those diagnosed with</w:t>
      </w:r>
      <w:r w:rsidRPr="00B004AC">
        <w:rPr>
          <w:spacing w:val="-2"/>
        </w:rPr>
        <w:t xml:space="preserve"> bladder cancer will survive to five years (43</w:t>
      </w:r>
      <w:r w:rsidR="00F64599" w:rsidRPr="00B004AC">
        <w:rPr>
          <w:spacing w:val="-2"/>
        </w:rPr>
        <w:t> percent</w:t>
      </w:r>
      <w:r w:rsidRPr="00B004AC">
        <w:rPr>
          <w:spacing w:val="-2"/>
        </w:rPr>
        <w:t xml:space="preserve"> Māori, 52</w:t>
      </w:r>
      <w:r w:rsidR="00F64599" w:rsidRPr="00B004AC">
        <w:rPr>
          <w:spacing w:val="-2"/>
        </w:rPr>
        <w:t> percent</w:t>
      </w:r>
      <w:r w:rsidRPr="00B004AC">
        <w:rPr>
          <w:spacing w:val="-2"/>
        </w:rPr>
        <w:t xml:space="preserve"> non-Māori) </w:t>
      </w:r>
      <w:r w:rsidRPr="00B004AC">
        <w:rPr>
          <w:noProof/>
          <w:spacing w:val="-2"/>
        </w:rPr>
        <w:t xml:space="preserve">(Gurney, Stanley, McLeod, </w:t>
      </w:r>
      <w:r w:rsidR="00C338E8" w:rsidRPr="00B004AC">
        <w:rPr>
          <w:noProof/>
          <w:spacing w:val="-2"/>
        </w:rPr>
        <w:t>et al</w:t>
      </w:r>
      <w:r w:rsidR="003B51F4" w:rsidRPr="00B004AC">
        <w:rPr>
          <w:noProof/>
          <w:spacing w:val="-2"/>
        </w:rPr>
        <w:t xml:space="preserve"> 2</w:t>
      </w:r>
      <w:r w:rsidRPr="00B004AC">
        <w:rPr>
          <w:noProof/>
          <w:spacing w:val="-2"/>
        </w:rPr>
        <w:t>020)</w:t>
      </w:r>
      <w:r w:rsidRPr="00B004AC">
        <w:rPr>
          <w:spacing w:val="-2"/>
        </w:rPr>
        <w:t>. There is currently a lack of robust stage-specific survival data for bladder cancer in Aotearoa. From</w:t>
      </w:r>
      <w:r w:rsidR="00B004AC">
        <w:rPr>
          <w:spacing w:val="-2"/>
        </w:rPr>
        <w:t xml:space="preserve"> </w:t>
      </w:r>
      <w:r w:rsidRPr="00B004AC">
        <w:rPr>
          <w:spacing w:val="-2"/>
        </w:rPr>
        <w:t>2007–2016 data, Māori patients with bladder cancer are 37</w:t>
      </w:r>
      <w:r w:rsidR="00F64599" w:rsidRPr="00B004AC">
        <w:rPr>
          <w:spacing w:val="-2"/>
        </w:rPr>
        <w:t> percent</w:t>
      </w:r>
      <w:r w:rsidRPr="00B004AC">
        <w:rPr>
          <w:spacing w:val="-2"/>
        </w:rPr>
        <w:t xml:space="preserve"> more likely to die from that cancer than non-Māori patients with bladder cancer </w:t>
      </w:r>
      <w:r w:rsidRPr="00B004AC">
        <w:rPr>
          <w:noProof/>
          <w:spacing w:val="-2"/>
        </w:rPr>
        <w:t xml:space="preserve">(Gurney, Stanley, McLeod, </w:t>
      </w:r>
      <w:r w:rsidR="00C338E8" w:rsidRPr="00B004AC">
        <w:rPr>
          <w:noProof/>
          <w:spacing w:val="-2"/>
        </w:rPr>
        <w:t>et al</w:t>
      </w:r>
      <w:r w:rsidR="003B51F4" w:rsidRPr="00B004AC">
        <w:rPr>
          <w:noProof/>
          <w:spacing w:val="-2"/>
        </w:rPr>
        <w:t xml:space="preserve"> 2</w:t>
      </w:r>
      <w:r w:rsidRPr="00B004AC">
        <w:rPr>
          <w:noProof/>
          <w:spacing w:val="-2"/>
        </w:rPr>
        <w:t>020)</w:t>
      </w:r>
      <w:r w:rsidRPr="00B004AC">
        <w:rPr>
          <w:spacing w:val="-2"/>
        </w:rPr>
        <w:t>.</w:t>
      </w:r>
    </w:p>
    <w:p w14:paraId="26AE255D" w14:textId="77777777" w:rsidR="00C338E8" w:rsidRDefault="00C338E8" w:rsidP="002147D2"/>
    <w:p w14:paraId="01DC250D" w14:textId="77777777" w:rsidR="00C338E8" w:rsidRDefault="006D7F10" w:rsidP="002147D2">
      <w:pPr>
        <w:pStyle w:val="Heading5"/>
      </w:pPr>
      <w:r w:rsidRPr="001043A2">
        <w:t>Mortality</w:t>
      </w:r>
    </w:p>
    <w:p w14:paraId="7586030A" w14:textId="77777777" w:rsidR="00C338E8" w:rsidRDefault="006D7F10" w:rsidP="002147D2">
      <w:r w:rsidRPr="001043A2">
        <w:rPr>
          <w:bCs/>
        </w:rPr>
        <w:t xml:space="preserve">On average over the last decade, there have been </w:t>
      </w:r>
      <w:r w:rsidRPr="001043A2">
        <w:t xml:space="preserve">202 deaths </w:t>
      </w:r>
      <w:r>
        <w:t>each</w:t>
      </w:r>
      <w:r w:rsidRPr="001043A2">
        <w:t xml:space="preserve"> year from bladder cancer, including 11 Māori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043A2">
        <w:t xml:space="preserve">. Mortality rates for bladder cancer are similar between Māori and non-Māori (both 1 per 100,000) </w:t>
      </w:r>
      <w:r w:rsidRPr="001043A2">
        <w:rPr>
          <w:noProof/>
        </w:rPr>
        <w:t xml:space="preserve">(Robson </w:t>
      </w:r>
      <w:r w:rsidR="00C338E8">
        <w:rPr>
          <w:noProof/>
        </w:rPr>
        <w:t>et al</w:t>
      </w:r>
      <w:r w:rsidR="003B51F4">
        <w:rPr>
          <w:noProof/>
        </w:rPr>
        <w:t xml:space="preserve"> 2</w:t>
      </w:r>
      <w:r w:rsidRPr="001043A2">
        <w:rPr>
          <w:noProof/>
        </w:rPr>
        <w:t>010)</w:t>
      </w:r>
      <w:r w:rsidRPr="001043A2">
        <w:t xml:space="preserve">. The bladder cancer mortality rate is also similar for Pacific peoples compared </w:t>
      </w:r>
      <w:r>
        <w:t>with</w:t>
      </w:r>
      <w:r w:rsidRPr="001043A2">
        <w:t xml:space="preserve"> </w:t>
      </w:r>
      <w:r>
        <w:t xml:space="preserve">the </w:t>
      </w:r>
      <w:r w:rsidRPr="001043A2">
        <w:t>n</w:t>
      </w:r>
      <w:r>
        <w:t xml:space="preserve">on-Māori, non-Pacific, non-Asian population </w:t>
      </w:r>
      <w:r w:rsidRPr="001043A2">
        <w:t>(both 1 per 100,000)</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w:t>
      </w:r>
    </w:p>
    <w:p w14:paraId="312F93FE" w14:textId="77777777" w:rsidR="00C338E8" w:rsidRDefault="00C338E8" w:rsidP="002147D2"/>
    <w:p w14:paraId="094D3D56" w14:textId="77777777" w:rsidR="00C338E8" w:rsidRDefault="006D7F10" w:rsidP="00652775">
      <w:pPr>
        <w:pStyle w:val="Heading3"/>
        <w:keepNext w:val="0"/>
        <w:pageBreakBefore/>
        <w:spacing w:before="0"/>
      </w:pPr>
      <w:bookmarkStart w:id="423" w:name="_Toc100739073"/>
      <w:r>
        <w:lastRenderedPageBreak/>
        <w:t>Ovarian cancer</w:t>
      </w:r>
      <w:bookmarkEnd w:id="423"/>
    </w:p>
    <w:p w14:paraId="7336B959" w14:textId="77777777" w:rsidR="006D7F10" w:rsidRDefault="006D7F10" w:rsidP="002147D2">
      <w:pPr>
        <w:pStyle w:val="Table"/>
      </w:pPr>
      <w:bookmarkStart w:id="424" w:name="_Toc101365630"/>
      <w:bookmarkStart w:id="425" w:name="Appendix_7_Table_7point14"/>
      <w:r>
        <w:t>Table</w:t>
      </w:r>
      <w:r w:rsidR="002147D2">
        <w:t> </w:t>
      </w:r>
      <w:r>
        <w:t>7.14: Olaparib for ovarian cancer</w:t>
      </w:r>
      <w:bookmarkEnd w:id="42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652775" w14:paraId="685AF8D4" w14:textId="77777777" w:rsidTr="00290AF3">
        <w:trPr>
          <w:cantSplit/>
        </w:trPr>
        <w:tc>
          <w:tcPr>
            <w:tcW w:w="2020" w:type="dxa"/>
            <w:tcBorders>
              <w:top w:val="nil"/>
              <w:bottom w:val="nil"/>
            </w:tcBorders>
            <w:shd w:val="clear" w:color="auto" w:fill="C2D9BA"/>
          </w:tcPr>
          <w:p w14:paraId="15717283" w14:textId="77777777" w:rsidR="00652775" w:rsidRPr="00181CD3" w:rsidRDefault="00652775"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3C42C3B6" w14:textId="77777777" w:rsidR="00652775" w:rsidRDefault="00652775" w:rsidP="001E7335">
            <w:pPr>
              <w:pStyle w:val="TableText"/>
            </w:pPr>
            <w:r w:rsidRPr="001043A2">
              <w:t>Epithelial ovarian, fallopian tube or primary peritoneal cancer, stage IIIb or IV, BRCA +ve</w:t>
            </w:r>
            <w:r>
              <w:t xml:space="preserve"> (germline or somatic)</w:t>
            </w:r>
            <w:r w:rsidRPr="001043A2">
              <w:t xml:space="preserve">, </w:t>
            </w:r>
            <w:r>
              <w:t>first-</w:t>
            </w:r>
            <w:r w:rsidRPr="001043A2">
              <w:t>line</w:t>
            </w:r>
            <w:r>
              <w:t xml:space="preserve"> maintenance therapy</w:t>
            </w:r>
          </w:p>
        </w:tc>
      </w:tr>
      <w:tr w:rsidR="00652775" w14:paraId="4B464B74" w14:textId="77777777" w:rsidTr="00290AF3">
        <w:trPr>
          <w:cantSplit/>
        </w:trPr>
        <w:tc>
          <w:tcPr>
            <w:tcW w:w="2020" w:type="dxa"/>
            <w:tcBorders>
              <w:top w:val="single" w:sz="4" w:space="0" w:color="C2D9BA"/>
              <w:bottom w:val="single" w:sz="4" w:space="0" w:color="C2D9BA"/>
            </w:tcBorders>
            <w:shd w:val="clear" w:color="auto" w:fill="E7F0E3"/>
          </w:tcPr>
          <w:p w14:paraId="0508C372" w14:textId="77777777" w:rsidR="00652775" w:rsidRPr="00181CD3" w:rsidRDefault="00652775" w:rsidP="00652775">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3C3EAB81" w14:textId="77777777" w:rsidR="00652775" w:rsidRDefault="00652775" w:rsidP="00652775">
            <w:pPr>
              <w:pStyle w:val="TableText"/>
            </w:pPr>
            <w:r>
              <w:t>Olaparib</w:t>
            </w:r>
          </w:p>
        </w:tc>
      </w:tr>
      <w:tr w:rsidR="00652775" w14:paraId="53ABFA08" w14:textId="77777777" w:rsidTr="00290AF3">
        <w:trPr>
          <w:cantSplit/>
        </w:trPr>
        <w:tc>
          <w:tcPr>
            <w:tcW w:w="2020" w:type="dxa"/>
            <w:tcBorders>
              <w:top w:val="single" w:sz="4" w:space="0" w:color="C2D9BA"/>
              <w:bottom w:val="single" w:sz="4" w:space="0" w:color="C2D9BA"/>
            </w:tcBorders>
            <w:shd w:val="clear" w:color="auto" w:fill="auto"/>
          </w:tcPr>
          <w:p w14:paraId="62C987F1" w14:textId="77777777" w:rsidR="00652775" w:rsidRPr="00181CD3" w:rsidRDefault="00652775"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68710A7B" w14:textId="77777777" w:rsidR="00652775" w:rsidRDefault="00652775" w:rsidP="001E7335">
            <w:pPr>
              <w:pStyle w:val="TableText"/>
            </w:pPr>
            <w:r>
              <w:t>Targeted treatment (small molecule PARP inhibitor targeting BRCA mutated cells)</w:t>
            </w:r>
          </w:p>
        </w:tc>
      </w:tr>
      <w:tr w:rsidR="00652775" w14:paraId="06E85A32" w14:textId="77777777" w:rsidTr="00290AF3">
        <w:trPr>
          <w:cantSplit/>
        </w:trPr>
        <w:tc>
          <w:tcPr>
            <w:tcW w:w="2020" w:type="dxa"/>
            <w:tcBorders>
              <w:top w:val="single" w:sz="4" w:space="0" w:color="C2D9BA"/>
              <w:bottom w:val="single" w:sz="4" w:space="0" w:color="C2D9BA"/>
            </w:tcBorders>
            <w:shd w:val="clear" w:color="auto" w:fill="auto"/>
          </w:tcPr>
          <w:p w14:paraId="07A3ED96" w14:textId="77777777" w:rsidR="00652775" w:rsidRPr="00181CD3" w:rsidRDefault="00652775"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36DE3D74" w14:textId="77777777" w:rsidR="00652775" w:rsidRDefault="00652775" w:rsidP="001E7335">
            <w:pPr>
              <w:pStyle w:val="TableText"/>
            </w:pPr>
            <w:r>
              <w:t>Non-curative</w:t>
            </w:r>
          </w:p>
        </w:tc>
      </w:tr>
      <w:tr w:rsidR="00652775" w14:paraId="694BBE83" w14:textId="77777777" w:rsidTr="00652775">
        <w:trPr>
          <w:cantSplit/>
        </w:trPr>
        <w:tc>
          <w:tcPr>
            <w:tcW w:w="2020" w:type="dxa"/>
            <w:tcBorders>
              <w:top w:val="single" w:sz="4" w:space="0" w:color="C2D9BA"/>
              <w:bottom w:val="single" w:sz="4" w:space="0" w:color="C2D9BA"/>
            </w:tcBorders>
            <w:shd w:val="clear" w:color="auto" w:fill="auto"/>
          </w:tcPr>
          <w:p w14:paraId="1AD8D57B" w14:textId="77777777" w:rsidR="00652775" w:rsidRPr="00181CD3" w:rsidRDefault="00652775"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0B8294B2" w14:textId="77777777" w:rsidR="00652775" w:rsidRDefault="00652775" w:rsidP="001E7335">
            <w:pPr>
              <w:pStyle w:val="TableText"/>
            </w:pPr>
            <w:r>
              <w:t>Application received May 2020.</w:t>
            </w:r>
          </w:p>
          <w:p w14:paraId="2B8F2F4E" w14:textId="77777777" w:rsidR="00652775" w:rsidRPr="00652775" w:rsidRDefault="00652775" w:rsidP="001E7335">
            <w:pPr>
              <w:pStyle w:val="TableText"/>
            </w:pPr>
            <w:r>
              <w:t xml:space="preserve">Ranked as an </w:t>
            </w:r>
            <w:r w:rsidRPr="00652775">
              <w:t>option for investment. This means that this option would be funded if the budget allowed.</w:t>
            </w:r>
          </w:p>
          <w:p w14:paraId="2F16977B" w14:textId="77777777" w:rsidR="00652775" w:rsidRDefault="00652775" w:rsidP="001E7335">
            <w:pPr>
              <w:pStyle w:val="TableText"/>
            </w:pPr>
            <w:r>
              <w:t>Note: At the time of publication, Pharmac had announced approval for this funding application. This means that this gap will be filled (for germline BRCA+ve ovarian cancer) from 1 August 2022. A gap for somatic BRCA+ve ovarian cancer will remain.</w:t>
            </w:r>
          </w:p>
          <w:p w14:paraId="10BE22DA" w14:textId="77777777" w:rsidR="00652775" w:rsidRDefault="0056499C" w:rsidP="001E7335">
            <w:pPr>
              <w:pStyle w:val="TableText"/>
            </w:pPr>
            <w:hyperlink r:id="rId111" w:history="1">
              <w:r w:rsidR="00652775" w:rsidRPr="004B44F9">
                <w:rPr>
                  <w:rStyle w:val="Hyperlink"/>
                  <w:rFonts w:eastAsia="MS Gothic"/>
                </w:rPr>
                <w:t>https://connect.pharmac.govt.nz/apptracker/s/application-public/a102P00000AHK3i/p001558</w:t>
              </w:r>
            </w:hyperlink>
          </w:p>
        </w:tc>
      </w:tr>
      <w:tr w:rsidR="00652775" w14:paraId="371FAD7C" w14:textId="77777777" w:rsidTr="00652775">
        <w:trPr>
          <w:cantSplit/>
        </w:trPr>
        <w:tc>
          <w:tcPr>
            <w:tcW w:w="2020" w:type="dxa"/>
            <w:tcBorders>
              <w:top w:val="single" w:sz="4" w:space="0" w:color="C2D9BA"/>
              <w:bottom w:val="single" w:sz="4" w:space="0" w:color="C2D9BA"/>
            </w:tcBorders>
            <w:shd w:val="clear" w:color="auto" w:fill="auto"/>
          </w:tcPr>
          <w:p w14:paraId="19D8A612" w14:textId="77777777" w:rsidR="00652775" w:rsidRPr="0038658B" w:rsidRDefault="00652775"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2767CB65" w14:textId="77777777" w:rsidR="00652775" w:rsidRDefault="00652775" w:rsidP="001E7335">
            <w:pPr>
              <w:pStyle w:val="TableText"/>
            </w:pPr>
            <w:r>
              <w:t>4</w:t>
            </w:r>
          </w:p>
        </w:tc>
        <w:tc>
          <w:tcPr>
            <w:tcW w:w="5528" w:type="dxa"/>
            <w:tcBorders>
              <w:top w:val="single" w:sz="4" w:space="0" w:color="C2D9BA"/>
              <w:bottom w:val="single" w:sz="4" w:space="0" w:color="C2D9BA"/>
            </w:tcBorders>
            <w:shd w:val="clear" w:color="auto" w:fill="auto"/>
          </w:tcPr>
          <w:p w14:paraId="53F2A6C6" w14:textId="77777777" w:rsidR="00652775" w:rsidRDefault="00652775" w:rsidP="001E7335">
            <w:pPr>
              <w:pStyle w:val="TableText"/>
            </w:pPr>
            <w:r>
              <w:t>Compared with placebo:</w:t>
            </w:r>
          </w:p>
          <w:p w14:paraId="1EF4E5E7" w14:textId="77777777" w:rsidR="00652775" w:rsidRDefault="00652775" w:rsidP="001E7335">
            <w:pPr>
              <w:pStyle w:val="TableText"/>
            </w:pPr>
            <w:r>
              <w:t>Gain in overall survival not reported</w:t>
            </w:r>
          </w:p>
          <w:p w14:paraId="34249EF1" w14:textId="77777777" w:rsidR="00652775" w:rsidRDefault="00652775" w:rsidP="001E7335">
            <w:pPr>
              <w:pStyle w:val="TableText"/>
            </w:pPr>
            <w:r>
              <w:t>Gain in median progression-free survival of over 30 months with durable response (two-year progression-free survival gain &gt;10%)</w:t>
            </w:r>
          </w:p>
          <w:p w14:paraId="7BF25D16" w14:textId="77777777" w:rsidR="00652775" w:rsidRDefault="00652775" w:rsidP="001E7335">
            <w:pPr>
              <w:pStyle w:val="TableText"/>
            </w:pPr>
            <w:r>
              <w:t>No quality-of-life benefit.</w:t>
            </w:r>
          </w:p>
          <w:p w14:paraId="1BEA1785" w14:textId="77777777" w:rsidR="00652775" w:rsidRDefault="00652775" w:rsidP="001E7335">
            <w:pPr>
              <w:pStyle w:val="TableText"/>
            </w:pPr>
            <w:r>
              <w:t>Toxicity results did not contribute to the score.</w:t>
            </w:r>
          </w:p>
          <w:p w14:paraId="7E950CF9" w14:textId="77777777" w:rsidR="00652775" w:rsidRDefault="0056499C" w:rsidP="00652775">
            <w:pPr>
              <w:pStyle w:val="TableText"/>
            </w:pPr>
            <w:hyperlink r:id="rId112" w:history="1">
              <w:r w:rsidR="00652775" w:rsidRPr="00333377">
                <w:rPr>
                  <w:rStyle w:val="Hyperlink"/>
                  <w:rFonts w:eastAsia="MS Gothic"/>
                </w:rPr>
                <w:t>www.esmo.org/guidelines/esmo-mcbs/esmo-mcbs-scorecards/scorecard-144-1</w:t>
              </w:r>
            </w:hyperlink>
          </w:p>
        </w:tc>
      </w:tr>
      <w:tr w:rsidR="00652775" w14:paraId="70CA2522" w14:textId="77777777" w:rsidTr="00290AF3">
        <w:trPr>
          <w:cantSplit/>
        </w:trPr>
        <w:tc>
          <w:tcPr>
            <w:tcW w:w="2020" w:type="dxa"/>
            <w:tcBorders>
              <w:top w:val="single" w:sz="4" w:space="0" w:color="C2D9BA"/>
              <w:bottom w:val="single" w:sz="4" w:space="0" w:color="C2D9BA"/>
            </w:tcBorders>
            <w:shd w:val="clear" w:color="auto" w:fill="auto"/>
          </w:tcPr>
          <w:p w14:paraId="554F3FCB" w14:textId="77777777" w:rsidR="00652775" w:rsidRPr="0038658B" w:rsidRDefault="00652775"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5C4F2F1A" w14:textId="77777777" w:rsidR="00652775" w:rsidRDefault="00652775" w:rsidP="001E7335">
            <w:pPr>
              <w:pStyle w:val="TableText"/>
            </w:pPr>
            <w:r w:rsidRPr="001043A2">
              <w:t>In Aotearoa</w:t>
            </w:r>
            <w:r>
              <w:t>,</w:t>
            </w:r>
            <w:r w:rsidRPr="001043A2">
              <w:t xml:space="preserve"> the current treatment for these patients is </w:t>
            </w:r>
            <w:r>
              <w:t>‘watch and w</w:t>
            </w:r>
            <w:r w:rsidRPr="009D213E">
              <w:t>ait</w:t>
            </w:r>
            <w:r>
              <w:t>’ following first-line chemotherapy. This means that</w:t>
            </w:r>
            <w:r w:rsidRPr="009D213E">
              <w:t xml:space="preserve"> patients do not receive any </w:t>
            </w:r>
            <w:r>
              <w:t>active maintenance</w:t>
            </w:r>
            <w:r w:rsidRPr="009D213E">
              <w:t xml:space="preserve"> treatment </w:t>
            </w:r>
            <w:r>
              <w:t xml:space="preserve">after their first line of chemotherapy, </w:t>
            </w:r>
            <w:r w:rsidRPr="009D213E">
              <w:t xml:space="preserve">and are </w:t>
            </w:r>
            <w:r>
              <w:t>followed closely</w:t>
            </w:r>
            <w:r w:rsidRPr="009D213E">
              <w:t xml:space="preserve"> to detect tumour recurrence</w:t>
            </w:r>
            <w:r>
              <w:t>.</w:t>
            </w:r>
          </w:p>
          <w:p w14:paraId="64CEE8E9" w14:textId="77777777" w:rsidR="00652775" w:rsidRDefault="00652775" w:rsidP="00652775">
            <w:pPr>
              <w:pStyle w:val="TableText"/>
            </w:pPr>
            <w:r w:rsidRPr="001043A2">
              <w:t xml:space="preserve">If </w:t>
            </w:r>
            <w:r>
              <w:t>olaparib</w:t>
            </w:r>
            <w:r w:rsidRPr="001043A2">
              <w:t xml:space="preserve"> were funded for this indication</w:t>
            </w:r>
            <w:r>
              <w:t xml:space="preserve">, </w:t>
            </w:r>
            <w:r w:rsidRPr="001043A2">
              <w:t xml:space="preserve">it would </w:t>
            </w:r>
            <w:r>
              <w:t>become an active maintenance treatment option</w:t>
            </w:r>
            <w:r w:rsidRPr="001043A2">
              <w:t xml:space="preserve"> for people</w:t>
            </w:r>
            <w:r>
              <w:t xml:space="preserve"> who received platinum-based chemotherapy that reduced or cleared the cancer.</w:t>
            </w:r>
          </w:p>
        </w:tc>
      </w:tr>
      <w:tr w:rsidR="00652775" w14:paraId="3B2A4C9A" w14:textId="77777777" w:rsidTr="00290AF3">
        <w:trPr>
          <w:cantSplit/>
        </w:trPr>
        <w:tc>
          <w:tcPr>
            <w:tcW w:w="2020" w:type="dxa"/>
            <w:tcBorders>
              <w:top w:val="single" w:sz="4" w:space="0" w:color="C2D9BA"/>
              <w:bottom w:val="single" w:sz="4" w:space="0" w:color="C2D9BA"/>
            </w:tcBorders>
            <w:shd w:val="clear" w:color="auto" w:fill="auto"/>
          </w:tcPr>
          <w:p w14:paraId="15FF782C" w14:textId="77777777" w:rsidR="00652775" w:rsidRPr="0038658B" w:rsidRDefault="00652775"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04B1FC57" w14:textId="77777777" w:rsidR="00652775" w:rsidRDefault="00652775" w:rsidP="001E7335">
            <w:pPr>
              <w:pStyle w:val="TableText"/>
            </w:pPr>
            <w:r w:rsidRPr="001043A2">
              <w:t>Size of eligible population: approximately 20 people in the first year, increasing over time (</w:t>
            </w:r>
            <w:r>
              <w:t>Pharmac 2021c</w:t>
            </w:r>
            <w:r w:rsidRPr="001043A2">
              <w:t>)</w:t>
            </w:r>
            <w:r>
              <w:t>.</w:t>
            </w:r>
          </w:p>
        </w:tc>
      </w:tr>
      <w:tr w:rsidR="00652775" w14:paraId="4DE8F62F" w14:textId="77777777" w:rsidTr="00290AF3">
        <w:trPr>
          <w:cantSplit/>
        </w:trPr>
        <w:tc>
          <w:tcPr>
            <w:tcW w:w="2020" w:type="dxa"/>
            <w:tcBorders>
              <w:top w:val="single" w:sz="4" w:space="0" w:color="C2D9BA"/>
              <w:bottom w:val="single" w:sz="4" w:space="0" w:color="C2D9BA"/>
            </w:tcBorders>
            <w:shd w:val="clear" w:color="auto" w:fill="auto"/>
          </w:tcPr>
          <w:p w14:paraId="60C99639" w14:textId="77777777" w:rsidR="00652775" w:rsidRPr="0038658B" w:rsidRDefault="00652775" w:rsidP="00DA12FD">
            <w:pPr>
              <w:pStyle w:val="TableText"/>
              <w:ind w:right="113"/>
              <w:rPr>
                <w:b/>
              </w:rPr>
            </w:pPr>
            <w:r w:rsidRPr="0038658B">
              <w:rPr>
                <w:b/>
              </w:rPr>
              <w:t>How th</w:t>
            </w:r>
            <w:r w:rsidR="00DA12FD">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3094E039" w14:textId="77777777" w:rsidR="00652775" w:rsidRDefault="00652775" w:rsidP="001E7335">
            <w:pPr>
              <w:pStyle w:val="TableText"/>
            </w:pPr>
            <w:r>
              <w:t>This medicine is given orally.</w:t>
            </w:r>
          </w:p>
          <w:p w14:paraId="5A6ACA8A" w14:textId="77777777" w:rsidR="00652775" w:rsidRDefault="00652775" w:rsidP="001E7335">
            <w:pPr>
              <w:pStyle w:val="TableText"/>
            </w:pPr>
            <w:r>
              <w:t>Olaparib is a tablet that is generally taken twice daily – the standard dosing is eight capsules taken for each dose. Treatment is continued for two years</w:t>
            </w:r>
            <w:r w:rsidRPr="009D213E">
              <w:t xml:space="preserve"> </w:t>
            </w:r>
            <w:r>
              <w:t>(</w:t>
            </w:r>
            <w:r w:rsidRPr="009D213E">
              <w:t>or</w:t>
            </w:r>
            <w:r>
              <w:t xml:space="preserve"> until</w:t>
            </w:r>
            <w:r w:rsidRPr="009D213E">
              <w:t xml:space="preserve"> </w:t>
            </w:r>
            <w:r>
              <w:t xml:space="preserve">disease progression or unacceptable </w:t>
            </w:r>
            <w:r w:rsidRPr="009D213E">
              <w:t>toxicity</w:t>
            </w:r>
            <w:r>
              <w:t>). If the tumour is not in complete response at the end of two years, treatment may continue.</w:t>
            </w:r>
          </w:p>
        </w:tc>
      </w:tr>
      <w:tr w:rsidR="00652775" w14:paraId="5E454A7A" w14:textId="77777777" w:rsidTr="00290AF3">
        <w:trPr>
          <w:cantSplit/>
        </w:trPr>
        <w:tc>
          <w:tcPr>
            <w:tcW w:w="2020" w:type="dxa"/>
            <w:tcBorders>
              <w:top w:val="single" w:sz="4" w:space="0" w:color="C2D9BA"/>
              <w:bottom w:val="single" w:sz="4" w:space="0" w:color="C2D9BA"/>
            </w:tcBorders>
            <w:shd w:val="clear" w:color="auto" w:fill="auto"/>
          </w:tcPr>
          <w:p w14:paraId="7D39520C" w14:textId="77777777" w:rsidR="00652775" w:rsidRPr="0038658B" w:rsidRDefault="00652775"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1B0D828F" w14:textId="77777777" w:rsidR="00652775" w:rsidRDefault="00652775" w:rsidP="001E7335">
            <w:pPr>
              <w:pStyle w:val="TableText"/>
            </w:pPr>
            <w:r>
              <w:t>This treatment would become an active maintenance treatment option for these patients, with the potential clinical benefit described above.</w:t>
            </w:r>
          </w:p>
          <w:p w14:paraId="70566683" w14:textId="77777777" w:rsidR="00652775" w:rsidRDefault="00652775" w:rsidP="001E7335">
            <w:pPr>
              <w:pStyle w:val="TableText"/>
            </w:pPr>
            <w:r>
              <w:t>Compared with the current approach (‘watch and wait’), there would be tablets to take. These could be taken at home, but a prescription charge would be payable. There would be more follow-up appointments needed. There may be other medicines needed to manage side effects that may also have a prescription charge.</w:t>
            </w:r>
          </w:p>
          <w:p w14:paraId="3DA7A321" w14:textId="77777777" w:rsidR="00652775" w:rsidRDefault="00652775" w:rsidP="001E7335">
            <w:pPr>
              <w:pStyle w:val="TableText"/>
            </w:pPr>
            <w:r>
              <w:t>Treatment would continue for two years unless there the disease progressed (or there were intolerable side effects). If there was still evidence of the tumour after two years, treatment could continue.</w:t>
            </w:r>
          </w:p>
          <w:p w14:paraId="632A066C" w14:textId="77777777" w:rsidR="00652775" w:rsidRDefault="00652775" w:rsidP="00652775">
            <w:pPr>
              <w:pStyle w:val="TableText"/>
            </w:pPr>
            <w:r>
              <w:t>This medicine may require a particular genetic test prior to funded access. Because this genetic test looks at a patient’s inherited genetic profile, there may be implications of this testing to other members of the whānau that need to be considered.</w:t>
            </w:r>
          </w:p>
        </w:tc>
      </w:tr>
      <w:tr w:rsidR="00652775" w14:paraId="7A44D253" w14:textId="77777777" w:rsidTr="00290AF3">
        <w:trPr>
          <w:cantSplit/>
        </w:trPr>
        <w:tc>
          <w:tcPr>
            <w:tcW w:w="2020" w:type="dxa"/>
            <w:tcBorders>
              <w:top w:val="single" w:sz="4" w:space="0" w:color="C2D9BA"/>
              <w:bottom w:val="single" w:sz="4" w:space="0" w:color="C2D9BA"/>
            </w:tcBorders>
            <w:shd w:val="clear" w:color="auto" w:fill="auto"/>
          </w:tcPr>
          <w:p w14:paraId="23472415" w14:textId="77777777" w:rsidR="00652775" w:rsidRPr="0038658B" w:rsidRDefault="00652775"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7B3FF378" w14:textId="77777777" w:rsidR="00652775" w:rsidRDefault="00652775" w:rsidP="001E7335">
            <w:pPr>
              <w:pStyle w:val="TableText"/>
            </w:pPr>
            <w:r>
              <w:t xml:space="preserve">Additional </w:t>
            </w:r>
            <w:r w:rsidRPr="00614693">
              <w:t>follow-up appointments required</w:t>
            </w:r>
            <w:r>
              <w:t>.</w:t>
            </w:r>
          </w:p>
          <w:p w14:paraId="5F6C4B7C" w14:textId="77777777" w:rsidR="00652775" w:rsidRDefault="00652775" w:rsidP="001E7335">
            <w:pPr>
              <w:pStyle w:val="TableText"/>
            </w:pPr>
            <w:r>
              <w:t>Increased demand for clinical genetics services to determine eligibility for treatment (via germline mutations), and to assess familial cancer risk.</w:t>
            </w:r>
          </w:p>
          <w:p w14:paraId="5898CEDA" w14:textId="77777777" w:rsidR="00652775" w:rsidRDefault="00652775" w:rsidP="001E7335">
            <w:pPr>
              <w:pStyle w:val="TableText"/>
            </w:pPr>
            <w:r w:rsidRPr="00614693">
              <w:t>Increased demand for laboratory</w:t>
            </w:r>
            <w:r>
              <w:t xml:space="preserve"> and pathology services to determine eligibility for treatment and monitor for treatment toxicities. In particular, there would be increased requirements for molecular testing for BRCA mutations – either germline or somatic. Currently, there are capacity constraints on germline BRCA testing, and somatic BRCA testing is not routinely available in Aotearoa.</w:t>
            </w:r>
          </w:p>
          <w:p w14:paraId="7944763B" w14:textId="77777777" w:rsidR="00652775" w:rsidRDefault="00652775"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5278AAFF" w14:textId="77777777" w:rsidR="00652775" w:rsidRDefault="00652775" w:rsidP="001E7335">
            <w:pPr>
              <w:pStyle w:val="TableText"/>
            </w:pPr>
            <w:r>
              <w:t>Potential for increased demand for supportive care and toxicity management (including health care professionals’ time and pharmaceuticals).</w:t>
            </w:r>
          </w:p>
        </w:tc>
      </w:tr>
    </w:tbl>
    <w:p w14:paraId="3D45A440" w14:textId="77777777" w:rsidR="0038658B" w:rsidRPr="0038658B" w:rsidRDefault="0038658B" w:rsidP="0038658B"/>
    <w:p w14:paraId="33BB0CE2" w14:textId="77777777" w:rsidR="006D7F10" w:rsidRDefault="006D7F10" w:rsidP="00652775">
      <w:pPr>
        <w:pStyle w:val="Table"/>
        <w:keepNext w:val="0"/>
        <w:pageBreakBefore/>
        <w:spacing w:before="0"/>
      </w:pPr>
      <w:bookmarkStart w:id="426" w:name="_Toc101365631"/>
      <w:bookmarkStart w:id="427" w:name="Appendix_7_Table_7point15"/>
      <w:bookmarkEnd w:id="425"/>
      <w:r>
        <w:lastRenderedPageBreak/>
        <w:t>Table</w:t>
      </w:r>
      <w:r w:rsidR="00652775">
        <w:t> </w:t>
      </w:r>
      <w:r>
        <w:t>7.15: Bevacizumab for ovarian cancer</w:t>
      </w:r>
      <w:bookmarkEnd w:id="42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652775" w14:paraId="11C3E224" w14:textId="77777777" w:rsidTr="00290AF3">
        <w:trPr>
          <w:cantSplit/>
        </w:trPr>
        <w:tc>
          <w:tcPr>
            <w:tcW w:w="2020" w:type="dxa"/>
            <w:tcBorders>
              <w:top w:val="nil"/>
              <w:bottom w:val="nil"/>
            </w:tcBorders>
            <w:shd w:val="clear" w:color="auto" w:fill="C2D9BA"/>
          </w:tcPr>
          <w:p w14:paraId="29EA0794" w14:textId="77777777" w:rsidR="00652775" w:rsidRPr="00181CD3" w:rsidRDefault="00652775"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12318B91" w14:textId="77777777" w:rsidR="00652775" w:rsidRDefault="00652775" w:rsidP="001E7335">
            <w:pPr>
              <w:pStyle w:val="TableText"/>
            </w:pPr>
            <w:r w:rsidRPr="001043A2">
              <w:t>Epithelial ovarian, fallopian tube or primary peritoneal cancer, metastatic, recurrent, platinum-resistant</w:t>
            </w:r>
          </w:p>
        </w:tc>
      </w:tr>
      <w:tr w:rsidR="00652775" w14:paraId="269A478F" w14:textId="77777777" w:rsidTr="00290AF3">
        <w:trPr>
          <w:cantSplit/>
        </w:trPr>
        <w:tc>
          <w:tcPr>
            <w:tcW w:w="2020" w:type="dxa"/>
            <w:tcBorders>
              <w:top w:val="single" w:sz="4" w:space="0" w:color="C2D9BA"/>
              <w:bottom w:val="single" w:sz="4" w:space="0" w:color="C2D9BA"/>
            </w:tcBorders>
            <w:shd w:val="clear" w:color="auto" w:fill="E7F0E3"/>
          </w:tcPr>
          <w:p w14:paraId="22C735DA" w14:textId="77777777" w:rsidR="00652775" w:rsidRPr="00181CD3" w:rsidRDefault="00652775" w:rsidP="00652775">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4F69BD91" w14:textId="77777777" w:rsidR="00652775" w:rsidRDefault="00652775" w:rsidP="00652775">
            <w:pPr>
              <w:pStyle w:val="TableText"/>
            </w:pPr>
            <w:r>
              <w:t>Bevacizumab (used with chemotherapy)</w:t>
            </w:r>
          </w:p>
        </w:tc>
      </w:tr>
      <w:tr w:rsidR="00652775" w14:paraId="34FD8A5A" w14:textId="77777777" w:rsidTr="00290AF3">
        <w:trPr>
          <w:cantSplit/>
        </w:trPr>
        <w:tc>
          <w:tcPr>
            <w:tcW w:w="2020" w:type="dxa"/>
            <w:tcBorders>
              <w:top w:val="single" w:sz="4" w:space="0" w:color="C2D9BA"/>
              <w:bottom w:val="single" w:sz="4" w:space="0" w:color="C2D9BA"/>
            </w:tcBorders>
            <w:shd w:val="clear" w:color="auto" w:fill="auto"/>
          </w:tcPr>
          <w:p w14:paraId="07B7F14D" w14:textId="77777777" w:rsidR="00652775" w:rsidRPr="00181CD3" w:rsidRDefault="00652775"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36B0BADD" w14:textId="77777777" w:rsidR="00652775" w:rsidRDefault="00652775" w:rsidP="001E7335">
            <w:pPr>
              <w:pStyle w:val="TableText"/>
            </w:pPr>
            <w:r>
              <w:t>Targeted treatment (monoclonal antibody targeting VEGF protein)</w:t>
            </w:r>
          </w:p>
        </w:tc>
      </w:tr>
      <w:tr w:rsidR="00652775" w14:paraId="554EDED5" w14:textId="77777777" w:rsidTr="00290AF3">
        <w:trPr>
          <w:cantSplit/>
        </w:trPr>
        <w:tc>
          <w:tcPr>
            <w:tcW w:w="2020" w:type="dxa"/>
            <w:tcBorders>
              <w:top w:val="single" w:sz="4" w:space="0" w:color="C2D9BA"/>
              <w:bottom w:val="single" w:sz="4" w:space="0" w:color="C2D9BA"/>
            </w:tcBorders>
            <w:shd w:val="clear" w:color="auto" w:fill="auto"/>
          </w:tcPr>
          <w:p w14:paraId="7DB15EE8" w14:textId="77777777" w:rsidR="00652775" w:rsidRPr="00181CD3" w:rsidRDefault="00652775"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1892DDAC" w14:textId="77777777" w:rsidR="00652775" w:rsidRDefault="00652775" w:rsidP="001E7335">
            <w:pPr>
              <w:pStyle w:val="TableText"/>
            </w:pPr>
            <w:r>
              <w:t>Non-curative</w:t>
            </w:r>
          </w:p>
        </w:tc>
      </w:tr>
      <w:tr w:rsidR="00652775" w14:paraId="2AE12BBB" w14:textId="77777777" w:rsidTr="00652775">
        <w:trPr>
          <w:cantSplit/>
        </w:trPr>
        <w:tc>
          <w:tcPr>
            <w:tcW w:w="2020" w:type="dxa"/>
            <w:tcBorders>
              <w:top w:val="single" w:sz="4" w:space="0" w:color="C2D9BA"/>
              <w:bottom w:val="single" w:sz="4" w:space="0" w:color="C2D9BA"/>
            </w:tcBorders>
            <w:shd w:val="clear" w:color="auto" w:fill="auto"/>
          </w:tcPr>
          <w:p w14:paraId="4DC778EE" w14:textId="77777777" w:rsidR="00652775" w:rsidRPr="00181CD3" w:rsidRDefault="00652775"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78771D59" w14:textId="77777777" w:rsidR="00652775" w:rsidRDefault="00652775" w:rsidP="001E7335">
            <w:pPr>
              <w:pStyle w:val="TableText"/>
            </w:pPr>
            <w:r>
              <w:t>Application received November 2013</w:t>
            </w:r>
          </w:p>
          <w:p w14:paraId="0CADC5D6" w14:textId="77777777" w:rsidR="00652775" w:rsidRPr="00652775" w:rsidRDefault="00652775" w:rsidP="001E7335">
            <w:pPr>
              <w:pStyle w:val="TableText"/>
            </w:pPr>
            <w:r>
              <w:t xml:space="preserve">Under consultation </w:t>
            </w:r>
            <w:r w:rsidRPr="00652775">
              <w:t>as an option for decline – this means this option would not be funded, even if budget allowed, unless new information came to light, and Pharmac is seeking feedback on declining this application.</w:t>
            </w:r>
          </w:p>
          <w:p w14:paraId="018B68CE" w14:textId="77777777" w:rsidR="00652775" w:rsidRDefault="00652775" w:rsidP="001E7335">
            <w:pPr>
              <w:pStyle w:val="TableText"/>
            </w:pPr>
            <w:r>
              <w:t>Note: At the time of publication, Pharmac had updated the status to ‘seeking clinical advice’. Consultation feedback indicated that there was updated information to be considered. Pharmac will now seek further advice.</w:t>
            </w:r>
          </w:p>
          <w:p w14:paraId="5C4053F1" w14:textId="77777777" w:rsidR="00652775" w:rsidRDefault="0056499C" w:rsidP="001E7335">
            <w:pPr>
              <w:pStyle w:val="TableText"/>
            </w:pPr>
            <w:hyperlink r:id="rId113" w:history="1">
              <w:r w:rsidR="00652775" w:rsidRPr="00775945">
                <w:rPr>
                  <w:rStyle w:val="Hyperlink"/>
                  <w:rFonts w:eastAsia="MS Gothic"/>
                </w:rPr>
                <w:t>https://connect.pharmac.govt.nz/apptracker/s/application-public/a102P000008pufP/p001366</w:t>
              </w:r>
            </w:hyperlink>
          </w:p>
        </w:tc>
      </w:tr>
      <w:tr w:rsidR="00652775" w14:paraId="1D3E2CFF" w14:textId="77777777" w:rsidTr="00652775">
        <w:trPr>
          <w:cantSplit/>
        </w:trPr>
        <w:tc>
          <w:tcPr>
            <w:tcW w:w="2020" w:type="dxa"/>
            <w:tcBorders>
              <w:top w:val="single" w:sz="4" w:space="0" w:color="C2D9BA"/>
              <w:bottom w:val="single" w:sz="4" w:space="0" w:color="C2D9BA"/>
            </w:tcBorders>
            <w:shd w:val="clear" w:color="auto" w:fill="auto"/>
          </w:tcPr>
          <w:p w14:paraId="1B576872" w14:textId="77777777" w:rsidR="00652775" w:rsidRPr="0038658B" w:rsidRDefault="00652775"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034EAA25" w14:textId="77777777" w:rsidR="00652775" w:rsidRDefault="00652775" w:rsidP="001E7335">
            <w:pPr>
              <w:pStyle w:val="TableText"/>
            </w:pPr>
            <w:r>
              <w:t>4</w:t>
            </w:r>
          </w:p>
        </w:tc>
        <w:tc>
          <w:tcPr>
            <w:tcW w:w="5528" w:type="dxa"/>
            <w:tcBorders>
              <w:top w:val="single" w:sz="4" w:space="0" w:color="C2D9BA"/>
              <w:bottom w:val="single" w:sz="4" w:space="0" w:color="C2D9BA"/>
            </w:tcBorders>
            <w:shd w:val="clear" w:color="auto" w:fill="auto"/>
          </w:tcPr>
          <w:p w14:paraId="7BE200EA" w14:textId="77777777" w:rsidR="00652775" w:rsidRDefault="00652775" w:rsidP="001E7335">
            <w:pPr>
              <w:pStyle w:val="TableText"/>
            </w:pPr>
            <w:r>
              <w:t>Compared with chemotherapy:</w:t>
            </w:r>
          </w:p>
          <w:p w14:paraId="284A090C" w14:textId="77777777" w:rsidR="00652775" w:rsidRDefault="00652775" w:rsidP="001E7335">
            <w:pPr>
              <w:pStyle w:val="TableText"/>
            </w:pPr>
            <w:r>
              <w:t>No gain in overall survival</w:t>
            </w:r>
          </w:p>
          <w:p w14:paraId="3B49DB77" w14:textId="77777777" w:rsidR="00652775" w:rsidRDefault="00652775" w:rsidP="001E7335">
            <w:pPr>
              <w:pStyle w:val="TableText"/>
            </w:pPr>
            <w:r>
              <w:t>Gain in median progression-free survival of 3.3 months</w:t>
            </w:r>
          </w:p>
          <w:p w14:paraId="1B75305C" w14:textId="77777777" w:rsidR="00652775" w:rsidRDefault="00652775" w:rsidP="001E7335">
            <w:pPr>
              <w:pStyle w:val="TableText"/>
            </w:pPr>
            <w:r>
              <w:t>Quality-of-life improvement contributed to the score.</w:t>
            </w:r>
          </w:p>
          <w:p w14:paraId="79CD01E0" w14:textId="77777777" w:rsidR="00652775" w:rsidRDefault="00652775" w:rsidP="001E7335">
            <w:pPr>
              <w:pStyle w:val="TableText"/>
            </w:pPr>
            <w:r>
              <w:t>Toxicity results did not contribute to the score.</w:t>
            </w:r>
          </w:p>
          <w:p w14:paraId="48CDE104" w14:textId="77777777" w:rsidR="00652775" w:rsidRDefault="0056499C" w:rsidP="00652775">
            <w:pPr>
              <w:pStyle w:val="TableText"/>
            </w:pPr>
            <w:hyperlink r:id="rId114" w:history="1">
              <w:r w:rsidR="00652775" w:rsidRPr="005E48E7">
                <w:rPr>
                  <w:rStyle w:val="Hyperlink"/>
                  <w:rFonts w:eastAsia="MS Gothic"/>
                </w:rPr>
                <w:t>www.esmo.org/guidelines/esmo-mcbs/esmo-mcbs-scorecards/scorecard-37-1</w:t>
              </w:r>
            </w:hyperlink>
          </w:p>
        </w:tc>
      </w:tr>
      <w:tr w:rsidR="00652775" w14:paraId="18C5C491" w14:textId="77777777" w:rsidTr="00290AF3">
        <w:trPr>
          <w:cantSplit/>
        </w:trPr>
        <w:tc>
          <w:tcPr>
            <w:tcW w:w="2020" w:type="dxa"/>
            <w:tcBorders>
              <w:top w:val="single" w:sz="4" w:space="0" w:color="C2D9BA"/>
              <w:bottom w:val="single" w:sz="4" w:space="0" w:color="C2D9BA"/>
            </w:tcBorders>
            <w:shd w:val="clear" w:color="auto" w:fill="auto"/>
          </w:tcPr>
          <w:p w14:paraId="7551049B" w14:textId="77777777" w:rsidR="00652775" w:rsidRPr="0038658B" w:rsidRDefault="00652775"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402AA392" w14:textId="77777777" w:rsidR="00652775" w:rsidRDefault="00652775" w:rsidP="001E7335">
            <w:pPr>
              <w:pStyle w:val="TableText"/>
            </w:pPr>
            <w:r w:rsidRPr="001043A2">
              <w:t>In Aotearoa</w:t>
            </w:r>
            <w:r>
              <w:t>,</w:t>
            </w:r>
            <w:r w:rsidRPr="001043A2">
              <w:t xml:space="preserve"> the current treatment for these patients is </w:t>
            </w:r>
            <w:r>
              <w:t>chemotherapy.</w:t>
            </w:r>
          </w:p>
          <w:p w14:paraId="3ED1FC38" w14:textId="77777777" w:rsidR="00652775" w:rsidRDefault="00652775" w:rsidP="00652775">
            <w:pPr>
              <w:pStyle w:val="TableText"/>
            </w:pPr>
            <w:r w:rsidRPr="001043A2">
              <w:t xml:space="preserve">If </w:t>
            </w:r>
            <w:r>
              <w:t>bevacizumab were funded for this indication, it would be added to chemotherapy.</w:t>
            </w:r>
          </w:p>
        </w:tc>
      </w:tr>
      <w:tr w:rsidR="00652775" w14:paraId="39606776" w14:textId="77777777" w:rsidTr="00290AF3">
        <w:trPr>
          <w:cantSplit/>
        </w:trPr>
        <w:tc>
          <w:tcPr>
            <w:tcW w:w="2020" w:type="dxa"/>
            <w:tcBorders>
              <w:top w:val="single" w:sz="4" w:space="0" w:color="C2D9BA"/>
              <w:bottom w:val="single" w:sz="4" w:space="0" w:color="C2D9BA"/>
            </w:tcBorders>
            <w:shd w:val="clear" w:color="auto" w:fill="auto"/>
          </w:tcPr>
          <w:p w14:paraId="7612A871" w14:textId="77777777" w:rsidR="00652775" w:rsidRPr="0038658B" w:rsidRDefault="00652775"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44D4F8FA" w14:textId="77777777" w:rsidR="00652775" w:rsidRDefault="00652775" w:rsidP="001E7335">
            <w:pPr>
              <w:pStyle w:val="TableText"/>
            </w:pPr>
            <w:r>
              <w:t>A Pharmac estimate of the eligible population size was not readily available at time of publication. The population size was not able to be estimated by other means. For reference purposes only, 280 people are diagnosed with ovarian cancer on average per year in Aotearoa, and about 60% (equating to 168 people) are diagnosed at an advanced stage (approximating metastatic here), see ‘epidemiology of ovarian cancer’ section below. It is unclear what proportion of these people would have recurre</w:t>
            </w:r>
            <w:r w:rsidR="00CE5715">
              <w:t>nt, platinum-resistant disease.</w:t>
            </w:r>
          </w:p>
        </w:tc>
      </w:tr>
      <w:tr w:rsidR="00652775" w14:paraId="19B849C5" w14:textId="77777777" w:rsidTr="00290AF3">
        <w:trPr>
          <w:cantSplit/>
        </w:trPr>
        <w:tc>
          <w:tcPr>
            <w:tcW w:w="2020" w:type="dxa"/>
            <w:tcBorders>
              <w:top w:val="single" w:sz="4" w:space="0" w:color="C2D9BA"/>
              <w:bottom w:val="single" w:sz="4" w:space="0" w:color="C2D9BA"/>
            </w:tcBorders>
            <w:shd w:val="clear" w:color="auto" w:fill="auto"/>
          </w:tcPr>
          <w:p w14:paraId="426DEF23" w14:textId="77777777" w:rsidR="00652775" w:rsidRPr="0038658B" w:rsidRDefault="00652775" w:rsidP="00DA12FD">
            <w:pPr>
              <w:pStyle w:val="TableText"/>
              <w:ind w:right="113"/>
              <w:rPr>
                <w:b/>
              </w:rPr>
            </w:pPr>
            <w:r w:rsidRPr="0038658B">
              <w:rPr>
                <w:b/>
              </w:rPr>
              <w:t>How th</w:t>
            </w:r>
            <w:r w:rsidR="00DA12FD">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0E7BE051" w14:textId="77777777" w:rsidR="00652775" w:rsidRDefault="00652775" w:rsidP="001E7335">
            <w:pPr>
              <w:pStyle w:val="TableText"/>
            </w:pPr>
            <w:r>
              <w:t>This medicine is given by infusion.</w:t>
            </w:r>
          </w:p>
          <w:p w14:paraId="41594BA8" w14:textId="77777777" w:rsidR="00652775" w:rsidRDefault="00652775" w:rsidP="001E7335">
            <w:pPr>
              <w:pStyle w:val="TableText"/>
            </w:pPr>
            <w:r>
              <w:t>Bevacizumab would be given once every two or three weeks (depending on the accompanying chemotherapy). Bevacizumab would usually be given on the same day as chemotherapy. Treatment would continue until disease progression (or unacceptable toxicity).</w:t>
            </w:r>
          </w:p>
        </w:tc>
      </w:tr>
      <w:tr w:rsidR="00652775" w14:paraId="519BFF97" w14:textId="77777777" w:rsidTr="00290AF3">
        <w:trPr>
          <w:cantSplit/>
        </w:trPr>
        <w:tc>
          <w:tcPr>
            <w:tcW w:w="2020" w:type="dxa"/>
            <w:tcBorders>
              <w:top w:val="single" w:sz="4" w:space="0" w:color="C2D9BA"/>
              <w:bottom w:val="single" w:sz="4" w:space="0" w:color="C2D9BA"/>
            </w:tcBorders>
            <w:shd w:val="clear" w:color="auto" w:fill="auto"/>
          </w:tcPr>
          <w:p w14:paraId="4DF2C6F5" w14:textId="77777777" w:rsidR="00652775" w:rsidRPr="0038658B" w:rsidRDefault="00652775"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75C78E46" w14:textId="77777777" w:rsidR="00652775" w:rsidRDefault="00652775" w:rsidP="001E7335">
            <w:pPr>
              <w:pStyle w:val="TableText"/>
            </w:pPr>
            <w:r>
              <w:t>This treatment would be added to the current treatment for these patients, with the potential clinical benefit described above.</w:t>
            </w:r>
          </w:p>
          <w:p w14:paraId="03AA1B81" w14:textId="77777777" w:rsidR="00652775" w:rsidRDefault="00652775" w:rsidP="001E7335">
            <w:pPr>
              <w:pStyle w:val="TableText"/>
            </w:pPr>
            <w:r>
              <w:t>The current approach is chemotherapy, and bevacizumab would be added in. This would mean that, compared with the current approach, there would be a similar number of treatment appointments to attend. Bevacizumab would be administered in the outpatient infusion centre, on the same day as chemotherapy, so the appointment time would be longer. There may be other medicines needed to manage side effects that may have a prescription charge.</w:t>
            </w:r>
          </w:p>
          <w:p w14:paraId="2FEDD1F2" w14:textId="77777777" w:rsidR="00652775" w:rsidRDefault="00652775" w:rsidP="00652775">
            <w:pPr>
              <w:pStyle w:val="TableText"/>
            </w:pPr>
            <w:r>
              <w:t>Treatment would continue until there is progression of the disease (or intolerable side effects).</w:t>
            </w:r>
          </w:p>
        </w:tc>
      </w:tr>
      <w:tr w:rsidR="00652775" w14:paraId="4C71D891" w14:textId="77777777" w:rsidTr="00290AF3">
        <w:trPr>
          <w:cantSplit/>
        </w:trPr>
        <w:tc>
          <w:tcPr>
            <w:tcW w:w="2020" w:type="dxa"/>
            <w:tcBorders>
              <w:top w:val="single" w:sz="4" w:space="0" w:color="C2D9BA"/>
              <w:bottom w:val="single" w:sz="4" w:space="0" w:color="C2D9BA"/>
            </w:tcBorders>
            <w:shd w:val="clear" w:color="auto" w:fill="auto"/>
          </w:tcPr>
          <w:p w14:paraId="68A9130D" w14:textId="77777777" w:rsidR="00652775" w:rsidRPr="0038658B" w:rsidRDefault="00652775"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394CD9B3" w14:textId="77777777" w:rsidR="00652775" w:rsidRDefault="00652775" w:rsidP="001E7335">
            <w:pPr>
              <w:pStyle w:val="TableText"/>
            </w:pPr>
            <w:r w:rsidRPr="00614693">
              <w:t xml:space="preserve">Additional </w:t>
            </w:r>
            <w:r>
              <w:t>treatment and follow-up appointments may be required.</w:t>
            </w:r>
          </w:p>
          <w:p w14:paraId="54488B28" w14:textId="77777777" w:rsidR="00652775" w:rsidRDefault="00652775" w:rsidP="001E7335">
            <w:pPr>
              <w:pStyle w:val="TableText"/>
            </w:pPr>
            <w:r w:rsidRPr="00614693">
              <w:t xml:space="preserve">Additional chair time </w:t>
            </w:r>
            <w:r>
              <w:t>for administration of treatment required.</w:t>
            </w:r>
          </w:p>
          <w:p w14:paraId="7E0F6348" w14:textId="77777777" w:rsidR="00652775" w:rsidRDefault="00652775" w:rsidP="001E7335">
            <w:pPr>
              <w:pStyle w:val="TableText"/>
            </w:pPr>
            <w:r w:rsidRPr="00614693">
              <w:t>Increased demand for laboratory</w:t>
            </w:r>
            <w:r>
              <w:t xml:space="preserve"> and pathology services to monitor for treatment toxicities.</w:t>
            </w:r>
          </w:p>
          <w:p w14:paraId="2F60B49F" w14:textId="77777777" w:rsidR="00652775" w:rsidRDefault="00652775"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2BFE0E28" w14:textId="77777777" w:rsidR="00652775" w:rsidRDefault="00652775" w:rsidP="001E7335">
            <w:pPr>
              <w:pStyle w:val="TableText"/>
            </w:pPr>
            <w:r>
              <w:t>Potential for increased demand for supportive care and toxicity management (including health care professionals’ time and pharmaceuticals).</w:t>
            </w:r>
          </w:p>
        </w:tc>
      </w:tr>
    </w:tbl>
    <w:p w14:paraId="468E09D1" w14:textId="77777777" w:rsidR="0038658B" w:rsidRPr="0038658B" w:rsidRDefault="0038658B" w:rsidP="0038658B"/>
    <w:p w14:paraId="521B7A48" w14:textId="77777777" w:rsidR="00C338E8" w:rsidRDefault="006D7F10" w:rsidP="00DA12FD">
      <w:pPr>
        <w:pStyle w:val="Heading4"/>
        <w:keepNext w:val="0"/>
        <w:pageBreakBefore/>
        <w:spacing w:before="0"/>
      </w:pPr>
      <w:bookmarkStart w:id="428" w:name="_Toc100739074"/>
      <w:bookmarkEnd w:id="427"/>
      <w:r>
        <w:lastRenderedPageBreak/>
        <w:t>Epidemiology of ovarian cancer</w:t>
      </w:r>
      <w:bookmarkEnd w:id="428"/>
    </w:p>
    <w:p w14:paraId="032EF074" w14:textId="77777777" w:rsidR="00C338E8" w:rsidRDefault="006D7F10" w:rsidP="002147D2">
      <w:pPr>
        <w:pStyle w:val="Heading5"/>
      </w:pPr>
      <w:r w:rsidRPr="001043A2">
        <w:t>Incidence</w:t>
      </w:r>
    </w:p>
    <w:p w14:paraId="3ACB52E1" w14:textId="77777777" w:rsidR="00C338E8" w:rsidRDefault="006D7F10" w:rsidP="00EC2914">
      <w:r w:rsidRPr="001043A2">
        <w:t xml:space="preserve">Ovarian cancer </w:t>
      </w:r>
      <w:r>
        <w:t>is</w:t>
      </w:r>
      <w:r w:rsidRPr="001043A2">
        <w:t xml:space="preserve"> the </w:t>
      </w:r>
      <w:r>
        <w:t>seventh</w:t>
      </w:r>
      <w:r w:rsidRPr="001043A2">
        <w:t xml:space="preserve"> most</w:t>
      </w:r>
      <w:r>
        <w:t xml:space="preserve"> </w:t>
      </w:r>
      <w:r w:rsidRPr="001043A2">
        <w:t>common cancer diagnosed among women</w:t>
      </w:r>
      <w:r>
        <w:t xml:space="preserve"> in Aotearoa</w:t>
      </w:r>
      <w:r w:rsidRPr="001043A2">
        <w:t xml:space="preserve"> – with an average of 280 people diagnosed </w:t>
      </w:r>
      <w:r>
        <w:t>each</w:t>
      </w:r>
      <w:r w:rsidRPr="001043A2">
        <w:t xml:space="preserve"> year, including 32 Māori. The rate of ovarian cancer appears to be reducing over time</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 xml:space="preserve">. The rate of ovarian cancer is somewhat higher for Māori (7 per 100,000 total population) compared </w:t>
      </w:r>
      <w:r>
        <w:t>with</w:t>
      </w:r>
      <w:r w:rsidRPr="001043A2">
        <w:t xml:space="preserve"> non-Māori (6 per 100,000 total population) </w:t>
      </w:r>
      <w:r w:rsidRPr="001043A2">
        <w:rPr>
          <w:noProof/>
        </w:rPr>
        <w:t xml:space="preserve">(Robson </w:t>
      </w:r>
      <w:r w:rsidR="00C338E8">
        <w:rPr>
          <w:noProof/>
        </w:rPr>
        <w:t>et al</w:t>
      </w:r>
      <w:r w:rsidR="003B51F4">
        <w:rPr>
          <w:noProof/>
        </w:rPr>
        <w:t xml:space="preserve"> 2</w:t>
      </w:r>
      <w:r w:rsidRPr="001043A2">
        <w:rPr>
          <w:noProof/>
        </w:rPr>
        <w:t>010)</w:t>
      </w:r>
      <w:r w:rsidRPr="001043A2">
        <w:t xml:space="preserve">. The rate of ovarian cancer among Pacific peoples is also higher than that of </w:t>
      </w:r>
      <w:r>
        <w:t xml:space="preserve">the </w:t>
      </w:r>
      <w:r w:rsidRPr="001043A2">
        <w:t>non-Māori</w:t>
      </w:r>
      <w:r>
        <w:t xml:space="preserve">, non-Pacific, non-Asian population </w:t>
      </w:r>
      <w:r>
        <w:rPr>
          <w:noProof/>
        </w:rPr>
        <w:t xml:space="preserve">(Meredith </w:t>
      </w:r>
      <w:r w:rsidR="00C338E8">
        <w:rPr>
          <w:noProof/>
        </w:rPr>
        <w:t>et al</w:t>
      </w:r>
      <w:r w:rsidR="003B51F4">
        <w:rPr>
          <w:noProof/>
        </w:rPr>
        <w:t xml:space="preserve"> 2</w:t>
      </w:r>
      <w:r>
        <w:rPr>
          <w:noProof/>
        </w:rPr>
        <w:t>012)</w:t>
      </w:r>
      <w:r w:rsidRPr="001043A2">
        <w:t>.</w:t>
      </w:r>
      <w:r>
        <w:t xml:space="preserve"> Relevant to the olaparib gap above, international studies have shown that about 10–20</w:t>
      </w:r>
      <w:r w:rsidR="00F64599">
        <w:t> percent</w:t>
      </w:r>
      <w:r>
        <w:t xml:space="preserve"> of epithelial ovarian cancer patients are germline BRCA positive, with the highest prevalence in those with high-grade serous subtype </w:t>
      </w:r>
      <w:r>
        <w:rPr>
          <w:noProof/>
        </w:rPr>
        <w:t xml:space="preserve">(Alsop </w:t>
      </w:r>
      <w:r w:rsidR="00C338E8">
        <w:rPr>
          <w:noProof/>
        </w:rPr>
        <w:t>et al</w:t>
      </w:r>
      <w:r w:rsidR="003B51F4">
        <w:rPr>
          <w:noProof/>
        </w:rPr>
        <w:t xml:space="preserve"> 2</w:t>
      </w:r>
      <w:r>
        <w:rPr>
          <w:noProof/>
        </w:rPr>
        <w:t xml:space="preserve">012; Zhang </w:t>
      </w:r>
      <w:r w:rsidR="00C338E8">
        <w:rPr>
          <w:noProof/>
        </w:rPr>
        <w:t>et al</w:t>
      </w:r>
      <w:r>
        <w:rPr>
          <w:noProof/>
        </w:rPr>
        <w:t xml:space="preserve"> 2011)</w:t>
      </w:r>
      <w:r>
        <w:t>. A small study in Aotearoa found that 16</w:t>
      </w:r>
      <w:r w:rsidR="00F64599">
        <w:t> percent</w:t>
      </w:r>
      <w:r>
        <w:t xml:space="preserve"> of patients with high-grade serous cancer of the ovary, fallopian tube or peritoneum who were diagnosed between 2015 and 2016 and referred for genetic testing were germline BRCA positive </w:t>
      </w:r>
      <w:r>
        <w:rPr>
          <w:noProof/>
        </w:rPr>
        <w:t xml:space="preserve">(Fraser </w:t>
      </w:r>
      <w:r w:rsidR="00C338E8">
        <w:rPr>
          <w:noProof/>
        </w:rPr>
        <w:t>et al</w:t>
      </w:r>
      <w:r w:rsidR="003B51F4">
        <w:rPr>
          <w:noProof/>
        </w:rPr>
        <w:t xml:space="preserve"> 2</w:t>
      </w:r>
      <w:r>
        <w:rPr>
          <w:noProof/>
        </w:rPr>
        <w:t>019)</w:t>
      </w:r>
      <w:r>
        <w:t>.</w:t>
      </w:r>
    </w:p>
    <w:p w14:paraId="2537592F" w14:textId="77777777" w:rsidR="00C338E8" w:rsidRDefault="00C338E8" w:rsidP="00EC2914"/>
    <w:p w14:paraId="57652994" w14:textId="77777777" w:rsidR="00C338E8" w:rsidRDefault="006D7F10" w:rsidP="00EC2914">
      <w:pPr>
        <w:pStyle w:val="Heading5"/>
      </w:pPr>
      <w:r>
        <w:t>Stage at diagnosis</w:t>
      </w:r>
    </w:p>
    <w:p w14:paraId="5EF8F3DF" w14:textId="77777777" w:rsidR="00C338E8" w:rsidRDefault="006D7F10" w:rsidP="00EC2914">
      <w:r w:rsidRPr="001043A2">
        <w:t>Based on N</w:t>
      </w:r>
      <w:r>
        <w:t xml:space="preserve">ew </w:t>
      </w:r>
      <w:r w:rsidRPr="001043A2">
        <w:t>Z</w:t>
      </w:r>
      <w:r>
        <w:t>ealand</w:t>
      </w:r>
      <w:r w:rsidRPr="001043A2">
        <w:t xml:space="preserve"> Cancer Registry data, around 15</w:t>
      </w:r>
      <w:r w:rsidR="00F64599">
        <w:t> percent</w:t>
      </w:r>
      <w:r w:rsidRPr="001043A2">
        <w:t xml:space="preserve"> of ovarian cancers are diagnosed when the disease is localised (14</w:t>
      </w:r>
      <w:r w:rsidR="00F64599">
        <w:t> percent</w:t>
      </w:r>
      <w:r w:rsidRPr="001043A2">
        <w:t xml:space="preserve"> Māori, 13</w:t>
      </w:r>
      <w:r w:rsidR="00F64599">
        <w:t> percent</w:t>
      </w:r>
      <w:r w:rsidRPr="001043A2">
        <w:t xml:space="preserve"> </w:t>
      </w:r>
      <w:r>
        <w:t xml:space="preserve">New Zealand </w:t>
      </w:r>
      <w:r w:rsidRPr="001043A2">
        <w:t>European), and 18</w:t>
      </w:r>
      <w:r w:rsidR="00F64599">
        <w:t> percent</w:t>
      </w:r>
      <w:r w:rsidRPr="001043A2">
        <w:t xml:space="preserve"> at a regional stage (15</w:t>
      </w:r>
      <w:r w:rsidR="00F64599">
        <w:t> percent</w:t>
      </w:r>
      <w:r w:rsidRPr="001043A2">
        <w:t xml:space="preserve"> Māori, 17</w:t>
      </w:r>
      <w:r w:rsidR="00F64599">
        <w:t> percent</w:t>
      </w:r>
      <w:r w:rsidRPr="001043A2">
        <w:t xml:space="preserve"> </w:t>
      </w:r>
      <w:r>
        <w:t xml:space="preserve">New Zealand </w:t>
      </w:r>
      <w:r w:rsidRPr="001043A2">
        <w:t>European). Nearly two-thirds of ovarian cancers are diagnosed at an advanced stage (60</w:t>
      </w:r>
      <w:r w:rsidR="00F64599">
        <w:t> percent</w:t>
      </w:r>
      <w:r w:rsidRPr="001043A2">
        <w:t xml:space="preserve"> of total cases, 58</w:t>
      </w:r>
      <w:r w:rsidR="00F64599">
        <w:t> percent</w:t>
      </w:r>
      <w:r w:rsidRPr="001043A2">
        <w:t xml:space="preserve"> Māori, 63</w:t>
      </w:r>
      <w:r w:rsidR="00F64599">
        <w:t> percent</w:t>
      </w:r>
      <w:r w:rsidRPr="001043A2">
        <w:t xml:space="preserve"> </w:t>
      </w:r>
      <w:r>
        <w:t xml:space="preserve">New Zealand </w:t>
      </w:r>
      <w:r w:rsidRPr="001043A2">
        <w:t xml:space="preserve">European). Only a small proportion of ovarian cancers remain unstaged on the </w:t>
      </w:r>
      <w:r>
        <w:t>r</w:t>
      </w:r>
      <w:r w:rsidRPr="001043A2">
        <w:t>egistry (7</w:t>
      </w:r>
      <w:r w:rsidR="00F64599">
        <w:t> percent</w:t>
      </w:r>
      <w:r w:rsidRPr="001043A2">
        <w:t xml:space="preserve"> total, 12</w:t>
      </w:r>
      <w:r w:rsidR="00F64599">
        <w:t> percent</w:t>
      </w:r>
      <w:r w:rsidRPr="001043A2">
        <w:t xml:space="preserve"> Māori, 7</w:t>
      </w:r>
      <w:r w:rsidR="00F64599">
        <w:t> percent</w:t>
      </w:r>
      <w:r w:rsidRPr="001043A2">
        <w:t xml:space="preserve"> </w:t>
      </w:r>
      <w:r>
        <w:t xml:space="preserve">New Zealand </w:t>
      </w:r>
      <w:r w:rsidRPr="001043A2">
        <w:t xml:space="preserve">European) </w:t>
      </w:r>
      <w:r>
        <w:rPr>
          <w:noProof/>
        </w:rPr>
        <w:t xml:space="preserve">(Gurney, Stanley, Jackson, </w:t>
      </w:r>
      <w:r w:rsidR="00C338E8">
        <w:rPr>
          <w:noProof/>
        </w:rPr>
        <w:t>et al</w:t>
      </w:r>
      <w:r w:rsidR="003B51F4">
        <w:rPr>
          <w:noProof/>
        </w:rPr>
        <w:t xml:space="preserve"> 2</w:t>
      </w:r>
      <w:r>
        <w:rPr>
          <w:noProof/>
        </w:rPr>
        <w:t>020)</w:t>
      </w:r>
      <w:r w:rsidRPr="001043A2">
        <w:t>.</w:t>
      </w:r>
    </w:p>
    <w:p w14:paraId="0FB09B70" w14:textId="77777777" w:rsidR="00C338E8" w:rsidRDefault="00C338E8" w:rsidP="00EC2914"/>
    <w:p w14:paraId="0547E0F9" w14:textId="77777777" w:rsidR="00C338E8" w:rsidRDefault="006D7F10" w:rsidP="00EC2914">
      <w:pPr>
        <w:pStyle w:val="Heading5"/>
      </w:pPr>
      <w:r w:rsidRPr="001043A2">
        <w:t>Survival</w:t>
      </w:r>
    </w:p>
    <w:p w14:paraId="318E564C" w14:textId="0D652EC0" w:rsidR="00C338E8" w:rsidRDefault="006D7F10" w:rsidP="00EC2914">
      <w:r w:rsidRPr="001043A2">
        <w:rPr>
          <w:bCs/>
        </w:rPr>
        <w:t>Around 40</w:t>
      </w:r>
      <w:r w:rsidR="00F64599">
        <w:rPr>
          <w:bCs/>
        </w:rPr>
        <w:t> percent</w:t>
      </w:r>
      <w:r w:rsidRPr="001043A2">
        <w:rPr>
          <w:bCs/>
        </w:rPr>
        <w:t xml:space="preserve"> of those diagnosed with</w:t>
      </w:r>
      <w:r w:rsidRPr="001043A2">
        <w:t xml:space="preserve"> ovarian cancer will survive to </w:t>
      </w:r>
      <w:r>
        <w:t>five</w:t>
      </w:r>
      <w:r w:rsidRPr="001043A2">
        <w:t xml:space="preserve"> years (43</w:t>
      </w:r>
      <w:r w:rsidR="00F64599">
        <w:t> percent</w:t>
      </w:r>
      <w:r w:rsidRPr="001043A2">
        <w:t xml:space="preserve"> Māori, 39</w:t>
      </w:r>
      <w:r w:rsidR="00F64599">
        <w:t> percent</w:t>
      </w:r>
      <w:r w:rsidRPr="001043A2">
        <w:t xml:space="preserve"> non-Māori</w:t>
      </w:r>
      <w:r>
        <w:t xml:space="preserve"> </w:t>
      </w:r>
      <w:r>
        <w:rPr>
          <w:noProof/>
        </w:rPr>
        <w:t xml:space="preserve">(Gurney, Stanley, McLeod, </w:t>
      </w:r>
      <w:r w:rsidR="00C338E8">
        <w:rPr>
          <w:noProof/>
        </w:rPr>
        <w:t>et al</w:t>
      </w:r>
      <w:r w:rsidR="003B51F4">
        <w:rPr>
          <w:noProof/>
        </w:rPr>
        <w:t xml:space="preserve"> 2</w:t>
      </w:r>
      <w:r>
        <w:rPr>
          <w:noProof/>
        </w:rPr>
        <w:t>020)</w:t>
      </w:r>
      <w:r w:rsidRPr="001043A2">
        <w:t xml:space="preserve">. </w:t>
      </w:r>
      <w:r>
        <w:t>Aotearoa</w:t>
      </w:r>
      <w:r w:rsidRPr="001043A2">
        <w:t xml:space="preserve"> is sixth out of seven high-income countries for five-year survival from ovarian cancer </w:t>
      </w:r>
      <w:r>
        <w:rPr>
          <w:noProof/>
        </w:rPr>
        <w:t xml:space="preserve">(Arnold </w:t>
      </w:r>
      <w:r w:rsidR="00C338E8">
        <w:rPr>
          <w:noProof/>
        </w:rPr>
        <w:t>et al</w:t>
      </w:r>
      <w:r w:rsidR="003B51F4">
        <w:rPr>
          <w:noProof/>
        </w:rPr>
        <w:t xml:space="preserve"> 2</w:t>
      </w:r>
      <w:r>
        <w:rPr>
          <w:noProof/>
        </w:rPr>
        <w:t>019)</w:t>
      </w:r>
      <w:r w:rsidRPr="001043A2">
        <w:t>.</w:t>
      </w:r>
      <w:r w:rsidRPr="00AF72C9">
        <w:t xml:space="preserve"> </w:t>
      </w:r>
      <w:r w:rsidRPr="001043A2">
        <w:t xml:space="preserve">There is currently a lack of robust stage-specific survival data for ovarian cancer in </w:t>
      </w:r>
      <w:r>
        <w:t>Aotearoa</w:t>
      </w:r>
      <w:r w:rsidRPr="001043A2">
        <w:t xml:space="preserve">, although </w:t>
      </w:r>
      <w:r w:rsidR="00670E78" w:rsidRPr="001043A2">
        <w:t>a</w:t>
      </w:r>
      <w:r w:rsidRPr="001043A2">
        <w:t xml:space="preserve"> study in one centre found that around 20</w:t>
      </w:r>
      <w:r w:rsidR="00F64599">
        <w:t> percent</w:t>
      </w:r>
      <w:r w:rsidRPr="001043A2">
        <w:t xml:space="preserve"> of patients with advanced disease survived to five years </w:t>
      </w:r>
      <w:r w:rsidRPr="001043A2">
        <w:rPr>
          <w:noProof/>
        </w:rPr>
        <w:t xml:space="preserve">(Yeoh </w:t>
      </w:r>
      <w:r w:rsidR="00C338E8">
        <w:rPr>
          <w:noProof/>
        </w:rPr>
        <w:t>et al</w:t>
      </w:r>
      <w:r w:rsidR="003B51F4">
        <w:rPr>
          <w:noProof/>
        </w:rPr>
        <w:t xml:space="preserve"> 2</w:t>
      </w:r>
      <w:r w:rsidRPr="001043A2">
        <w:rPr>
          <w:noProof/>
        </w:rPr>
        <w:t>019)</w:t>
      </w:r>
      <w:r w:rsidRPr="001043A2">
        <w:t>.</w:t>
      </w:r>
      <w:r>
        <w:t xml:space="preserve"> </w:t>
      </w:r>
      <w:r w:rsidRPr="001043A2">
        <w:t>From 2007</w:t>
      </w:r>
      <w:r>
        <w:t>–</w:t>
      </w:r>
      <w:r w:rsidRPr="001043A2">
        <w:t>2016 data, Māori patients with ovarian cancer are 62</w:t>
      </w:r>
      <w:r w:rsidR="00F64599">
        <w:t> percent</w:t>
      </w:r>
      <w:r w:rsidRPr="001043A2">
        <w:t xml:space="preserve"> more likely to die </w:t>
      </w:r>
      <w:r>
        <w:t xml:space="preserve">of their cancer </w:t>
      </w:r>
      <w:r w:rsidRPr="001043A2">
        <w:t xml:space="preserve">than non-Māori patients with </w:t>
      </w:r>
      <w:r>
        <w:t>ovarian</w:t>
      </w:r>
      <w:r w:rsidRPr="001043A2">
        <w:t xml:space="preserve"> </w:t>
      </w:r>
      <w:r>
        <w:t>c</w:t>
      </w:r>
      <w:r w:rsidRPr="001043A2">
        <w:t>ancer</w:t>
      </w:r>
      <w:r>
        <w:t xml:space="preserve"> </w:t>
      </w:r>
      <w:r>
        <w:rPr>
          <w:noProof/>
        </w:rPr>
        <w:t xml:space="preserve">(Gurney, Stanley, McLeod, </w:t>
      </w:r>
      <w:r w:rsidR="00C338E8">
        <w:rPr>
          <w:noProof/>
        </w:rPr>
        <w:t>et al</w:t>
      </w:r>
      <w:r w:rsidR="003B51F4">
        <w:rPr>
          <w:noProof/>
        </w:rPr>
        <w:t xml:space="preserve"> 2</w:t>
      </w:r>
      <w:r>
        <w:rPr>
          <w:noProof/>
        </w:rPr>
        <w:t>020)</w:t>
      </w:r>
      <w:r w:rsidRPr="001043A2">
        <w:t>.</w:t>
      </w:r>
    </w:p>
    <w:p w14:paraId="3C917109" w14:textId="77777777" w:rsidR="00C338E8" w:rsidRDefault="00C338E8" w:rsidP="00EC2914"/>
    <w:p w14:paraId="32AA2E6D" w14:textId="77777777" w:rsidR="00C338E8" w:rsidRDefault="006D7F10" w:rsidP="00EC2914">
      <w:pPr>
        <w:pStyle w:val="Heading5"/>
      </w:pPr>
      <w:r w:rsidRPr="001043A2">
        <w:t>Mortality</w:t>
      </w:r>
    </w:p>
    <w:p w14:paraId="45C3E25D" w14:textId="77777777" w:rsidR="00C338E8" w:rsidRDefault="006D7F10" w:rsidP="00EC2914">
      <w:r w:rsidRPr="001043A2">
        <w:rPr>
          <w:bCs/>
        </w:rPr>
        <w:t xml:space="preserve">On average over the last decade, there have been </w:t>
      </w:r>
      <w:r w:rsidRPr="001043A2">
        <w:t xml:space="preserve">194 deaths </w:t>
      </w:r>
      <w:r>
        <w:t>each</w:t>
      </w:r>
      <w:r w:rsidRPr="001043A2">
        <w:t xml:space="preserve"> year from ovarian cancer, including 15 Māori</w:t>
      </w:r>
      <w:r>
        <w:t xml:space="preserve">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rsidRPr="001043A2">
        <w:t>. Mortality rates for ovarian cancer are similar between Māori and non-Māori (both 3 per 100,000 total population)</w:t>
      </w:r>
      <w:r>
        <w:t xml:space="preserve"> </w:t>
      </w:r>
      <w:r>
        <w:rPr>
          <w:noProof/>
        </w:rPr>
        <w:t xml:space="preserve">(Gurney, Robson, </w:t>
      </w:r>
      <w:r w:rsidR="00C338E8">
        <w:rPr>
          <w:noProof/>
        </w:rPr>
        <w:t>et al</w:t>
      </w:r>
      <w:r w:rsidR="003B51F4">
        <w:rPr>
          <w:noProof/>
        </w:rPr>
        <w:t xml:space="preserve"> 2</w:t>
      </w:r>
      <w:r>
        <w:rPr>
          <w:noProof/>
        </w:rPr>
        <w:t>020)</w:t>
      </w:r>
      <w:r w:rsidRPr="001043A2">
        <w:t xml:space="preserve">. The ovarian cancer mortality rate is also similar between Pacific </w:t>
      </w:r>
      <w:r>
        <w:t xml:space="preserve">peoples </w:t>
      </w:r>
      <w:r w:rsidRPr="001043A2">
        <w:t xml:space="preserve">and </w:t>
      </w:r>
      <w:r>
        <w:t xml:space="preserve">the </w:t>
      </w:r>
      <w:r w:rsidRPr="001043A2">
        <w:t>non-Māori</w:t>
      </w:r>
      <w:r>
        <w:t xml:space="preserve">, non-Pacific, non-Asian population </w:t>
      </w:r>
      <w:r w:rsidRPr="001043A2">
        <w:t>(both 2 per 100,000)</w:t>
      </w:r>
      <w:r>
        <w:t xml:space="preserve"> </w:t>
      </w:r>
      <w:r>
        <w:rPr>
          <w:noProof/>
        </w:rPr>
        <w:t>(</w:t>
      </w:r>
      <w:r w:rsidR="00F64599">
        <w:rPr>
          <w:noProof/>
        </w:rPr>
        <w:t>Te Aho</w:t>
      </w:r>
      <w:r>
        <w:rPr>
          <w:noProof/>
        </w:rPr>
        <w:t xml:space="preserve"> o </w:t>
      </w:r>
      <w:r w:rsidR="00B537E2">
        <w:rPr>
          <w:noProof/>
        </w:rPr>
        <w:t>Te Kahu</w:t>
      </w:r>
      <w:r>
        <w:rPr>
          <w:noProof/>
        </w:rPr>
        <w:t xml:space="preserve"> 2021a)</w:t>
      </w:r>
      <w:r w:rsidRPr="001043A2">
        <w:t>.</w:t>
      </w:r>
    </w:p>
    <w:p w14:paraId="06CFF0AA" w14:textId="77777777" w:rsidR="00C338E8" w:rsidRDefault="00C338E8" w:rsidP="00EC2914"/>
    <w:p w14:paraId="72506C4B" w14:textId="77777777" w:rsidR="00C338E8" w:rsidRDefault="006D7F10" w:rsidP="00652775">
      <w:pPr>
        <w:pStyle w:val="Heading3"/>
        <w:keepNext w:val="0"/>
        <w:pageBreakBefore/>
        <w:spacing w:before="0"/>
      </w:pPr>
      <w:bookmarkStart w:id="429" w:name="_Toc100739075"/>
      <w:r>
        <w:lastRenderedPageBreak/>
        <w:t>Head and neck cancer</w:t>
      </w:r>
      <w:bookmarkEnd w:id="429"/>
    </w:p>
    <w:p w14:paraId="12575E7A" w14:textId="77777777" w:rsidR="006D7F10" w:rsidRDefault="006D7F10" w:rsidP="00EC2914">
      <w:pPr>
        <w:pStyle w:val="Table"/>
      </w:pPr>
      <w:bookmarkStart w:id="430" w:name="_Toc101365632"/>
      <w:bookmarkStart w:id="431" w:name="Appendix_7_Table_7point16"/>
      <w:r>
        <w:t>Table</w:t>
      </w:r>
      <w:r w:rsidR="00EC2914">
        <w:t> </w:t>
      </w:r>
      <w:r>
        <w:t>7.16: Nivolumab for head and neck cancer</w:t>
      </w:r>
      <w:bookmarkEnd w:id="43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C91B6C" w14:paraId="518313BE" w14:textId="77777777" w:rsidTr="00290AF3">
        <w:trPr>
          <w:cantSplit/>
        </w:trPr>
        <w:tc>
          <w:tcPr>
            <w:tcW w:w="2020" w:type="dxa"/>
            <w:tcBorders>
              <w:top w:val="nil"/>
              <w:bottom w:val="nil"/>
            </w:tcBorders>
            <w:shd w:val="clear" w:color="auto" w:fill="C2D9BA"/>
          </w:tcPr>
          <w:p w14:paraId="3CD03115" w14:textId="77777777" w:rsidR="00C91B6C" w:rsidRPr="00181CD3" w:rsidRDefault="00C91B6C"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19F7C667" w14:textId="77777777" w:rsidR="00C91B6C" w:rsidRDefault="00C91B6C" w:rsidP="001E7335">
            <w:pPr>
              <w:pStyle w:val="TableText"/>
            </w:pPr>
            <w:r w:rsidRPr="001043A2">
              <w:t xml:space="preserve">Head and neck squamous cell cancer (HNSCC), locally recurrent or metastatic, </w:t>
            </w:r>
            <w:r>
              <w:t>second-</w:t>
            </w:r>
            <w:r w:rsidRPr="001043A2">
              <w:t>line</w:t>
            </w:r>
            <w:r>
              <w:t xml:space="preserve"> therapy</w:t>
            </w:r>
          </w:p>
        </w:tc>
      </w:tr>
      <w:tr w:rsidR="00C91B6C" w14:paraId="79025FC6" w14:textId="77777777" w:rsidTr="00290AF3">
        <w:trPr>
          <w:cantSplit/>
        </w:trPr>
        <w:tc>
          <w:tcPr>
            <w:tcW w:w="2020" w:type="dxa"/>
            <w:tcBorders>
              <w:top w:val="single" w:sz="4" w:space="0" w:color="C2D9BA"/>
              <w:bottom w:val="single" w:sz="4" w:space="0" w:color="C2D9BA"/>
            </w:tcBorders>
            <w:shd w:val="clear" w:color="auto" w:fill="E7F0E3"/>
          </w:tcPr>
          <w:p w14:paraId="2C992DF3" w14:textId="77777777" w:rsidR="00C91B6C" w:rsidRPr="00181CD3" w:rsidRDefault="00C91B6C" w:rsidP="00C91B6C">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0B849986" w14:textId="77777777" w:rsidR="00C91B6C" w:rsidRDefault="00C91B6C" w:rsidP="001E7335">
            <w:pPr>
              <w:pStyle w:val="TableText"/>
            </w:pPr>
            <w:r w:rsidRPr="00114AAF">
              <w:t>Nivolumab</w:t>
            </w:r>
          </w:p>
        </w:tc>
      </w:tr>
      <w:tr w:rsidR="00C91B6C" w14:paraId="276A246D" w14:textId="77777777" w:rsidTr="00290AF3">
        <w:trPr>
          <w:cantSplit/>
        </w:trPr>
        <w:tc>
          <w:tcPr>
            <w:tcW w:w="2020" w:type="dxa"/>
            <w:tcBorders>
              <w:top w:val="single" w:sz="4" w:space="0" w:color="C2D9BA"/>
              <w:bottom w:val="single" w:sz="4" w:space="0" w:color="C2D9BA"/>
            </w:tcBorders>
            <w:shd w:val="clear" w:color="auto" w:fill="auto"/>
          </w:tcPr>
          <w:p w14:paraId="6B2134AD" w14:textId="77777777" w:rsidR="00C91B6C" w:rsidRPr="00181CD3" w:rsidRDefault="00C91B6C"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73EEB386" w14:textId="77777777" w:rsidR="00C91B6C" w:rsidRDefault="00C91B6C" w:rsidP="001E7335">
            <w:pPr>
              <w:pStyle w:val="TableText"/>
            </w:pPr>
            <w:r w:rsidRPr="00961B27">
              <w:t>Immune checkpoint inhibitor (monoclonal antibody targeting PD-1 protein)</w:t>
            </w:r>
          </w:p>
        </w:tc>
      </w:tr>
      <w:tr w:rsidR="00C91B6C" w14:paraId="7A907804" w14:textId="77777777" w:rsidTr="00290AF3">
        <w:trPr>
          <w:cantSplit/>
        </w:trPr>
        <w:tc>
          <w:tcPr>
            <w:tcW w:w="2020" w:type="dxa"/>
            <w:tcBorders>
              <w:top w:val="single" w:sz="4" w:space="0" w:color="C2D9BA"/>
              <w:bottom w:val="single" w:sz="4" w:space="0" w:color="C2D9BA"/>
            </w:tcBorders>
            <w:shd w:val="clear" w:color="auto" w:fill="auto"/>
          </w:tcPr>
          <w:p w14:paraId="2E04301B" w14:textId="77777777" w:rsidR="00C91B6C" w:rsidRPr="00181CD3" w:rsidRDefault="00C91B6C"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71B652B9" w14:textId="77777777" w:rsidR="00C91B6C" w:rsidRDefault="00C91B6C" w:rsidP="001E7335">
            <w:pPr>
              <w:pStyle w:val="TableText"/>
            </w:pPr>
            <w:r>
              <w:t>Non-curative</w:t>
            </w:r>
          </w:p>
        </w:tc>
      </w:tr>
      <w:tr w:rsidR="00C91B6C" w14:paraId="562E7F97" w14:textId="77777777" w:rsidTr="00C91B6C">
        <w:trPr>
          <w:cantSplit/>
        </w:trPr>
        <w:tc>
          <w:tcPr>
            <w:tcW w:w="2020" w:type="dxa"/>
            <w:tcBorders>
              <w:top w:val="single" w:sz="4" w:space="0" w:color="C2D9BA"/>
              <w:bottom w:val="single" w:sz="4" w:space="0" w:color="C2D9BA"/>
            </w:tcBorders>
            <w:shd w:val="clear" w:color="auto" w:fill="auto"/>
          </w:tcPr>
          <w:p w14:paraId="1359388D" w14:textId="77777777" w:rsidR="00C91B6C" w:rsidRPr="00181CD3" w:rsidRDefault="00C91B6C"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60DB3FE1" w14:textId="77777777" w:rsidR="00C91B6C" w:rsidRDefault="00C91B6C" w:rsidP="001E7335">
            <w:pPr>
              <w:pStyle w:val="TableText"/>
            </w:pPr>
            <w:r w:rsidRPr="00961B27">
              <w:t>No application received</w:t>
            </w:r>
          </w:p>
        </w:tc>
      </w:tr>
      <w:tr w:rsidR="00C91B6C" w14:paraId="1CFDCDBC" w14:textId="77777777" w:rsidTr="00C91B6C">
        <w:trPr>
          <w:cantSplit/>
        </w:trPr>
        <w:tc>
          <w:tcPr>
            <w:tcW w:w="2020" w:type="dxa"/>
            <w:tcBorders>
              <w:top w:val="single" w:sz="4" w:space="0" w:color="C2D9BA"/>
              <w:bottom w:val="single" w:sz="4" w:space="0" w:color="C2D9BA"/>
            </w:tcBorders>
            <w:shd w:val="clear" w:color="auto" w:fill="auto"/>
          </w:tcPr>
          <w:p w14:paraId="50E1B06D" w14:textId="77777777" w:rsidR="00C91B6C" w:rsidRPr="0038658B" w:rsidRDefault="00C91B6C"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7D3A2700" w14:textId="77777777" w:rsidR="00C91B6C" w:rsidRDefault="00C91B6C" w:rsidP="001E7335">
            <w:pPr>
              <w:pStyle w:val="TableText"/>
            </w:pPr>
            <w:r>
              <w:t>5</w:t>
            </w:r>
          </w:p>
        </w:tc>
        <w:tc>
          <w:tcPr>
            <w:tcW w:w="5528" w:type="dxa"/>
            <w:tcBorders>
              <w:top w:val="single" w:sz="4" w:space="0" w:color="C2D9BA"/>
              <w:bottom w:val="single" w:sz="4" w:space="0" w:color="C2D9BA"/>
            </w:tcBorders>
            <w:shd w:val="clear" w:color="auto" w:fill="auto"/>
          </w:tcPr>
          <w:p w14:paraId="3AF7304C" w14:textId="77777777" w:rsidR="00C91B6C" w:rsidRDefault="00C91B6C" w:rsidP="001E7335">
            <w:pPr>
              <w:pStyle w:val="TableText"/>
            </w:pPr>
            <w:r>
              <w:t>Compared with chemotherapy</w:t>
            </w:r>
          </w:p>
          <w:p w14:paraId="3804B2D8" w14:textId="77777777" w:rsidR="00C91B6C" w:rsidRDefault="00C91B6C" w:rsidP="001E7335">
            <w:pPr>
              <w:pStyle w:val="TableText"/>
            </w:pPr>
            <w:r>
              <w:t>Gain in median overall survival of 2.4 months, with durable response (two-year survival gain 10.9%)</w:t>
            </w:r>
          </w:p>
          <w:p w14:paraId="274DDD24" w14:textId="77777777" w:rsidR="00C91B6C" w:rsidRDefault="00C91B6C" w:rsidP="001E7335">
            <w:pPr>
              <w:pStyle w:val="TableText"/>
            </w:pPr>
            <w:r>
              <w:t>Progression-free survival did not contribute to the score.</w:t>
            </w:r>
          </w:p>
          <w:p w14:paraId="71296B4B" w14:textId="77777777" w:rsidR="00C91B6C" w:rsidRDefault="00C91B6C" w:rsidP="001E7335">
            <w:pPr>
              <w:pStyle w:val="TableText"/>
            </w:pPr>
            <w:r>
              <w:t>Quality-of-life results did not contribute to the score.</w:t>
            </w:r>
          </w:p>
          <w:p w14:paraId="5D060572" w14:textId="77777777" w:rsidR="00C91B6C" w:rsidRDefault="00C91B6C" w:rsidP="001E7335">
            <w:pPr>
              <w:pStyle w:val="TableText"/>
            </w:pPr>
            <w:r>
              <w:t>Reduced toxicity contributed to the score.</w:t>
            </w:r>
          </w:p>
          <w:p w14:paraId="4B0BC127" w14:textId="77777777" w:rsidR="00C91B6C" w:rsidRDefault="0056499C" w:rsidP="001E7335">
            <w:pPr>
              <w:pStyle w:val="TableText"/>
            </w:pPr>
            <w:hyperlink r:id="rId115" w:history="1">
              <w:r w:rsidR="00C91B6C" w:rsidRPr="00333377">
                <w:rPr>
                  <w:rStyle w:val="Hyperlink"/>
                  <w:rFonts w:eastAsia="MS Gothic"/>
                </w:rPr>
                <w:t>www.esmo.org/guidelines/esmo-mcbs/esmo-mcbs-scorecards/scorecard-189-1</w:t>
              </w:r>
            </w:hyperlink>
          </w:p>
        </w:tc>
      </w:tr>
      <w:tr w:rsidR="00C91B6C" w14:paraId="0A65D010" w14:textId="77777777" w:rsidTr="00290AF3">
        <w:trPr>
          <w:cantSplit/>
        </w:trPr>
        <w:tc>
          <w:tcPr>
            <w:tcW w:w="2020" w:type="dxa"/>
            <w:tcBorders>
              <w:top w:val="single" w:sz="4" w:space="0" w:color="C2D9BA"/>
              <w:bottom w:val="single" w:sz="4" w:space="0" w:color="C2D9BA"/>
            </w:tcBorders>
            <w:shd w:val="clear" w:color="auto" w:fill="auto"/>
          </w:tcPr>
          <w:p w14:paraId="4FCA7399" w14:textId="77777777" w:rsidR="00C91B6C" w:rsidRPr="0038658B" w:rsidRDefault="00C91B6C"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24C1874E" w14:textId="77777777" w:rsidR="00C91B6C" w:rsidRDefault="00C91B6C" w:rsidP="001E7335">
            <w:pPr>
              <w:pStyle w:val="TableText"/>
            </w:pPr>
            <w:r w:rsidRPr="001043A2">
              <w:t>In Aotearoa</w:t>
            </w:r>
            <w:r>
              <w:t>,</w:t>
            </w:r>
            <w:r w:rsidRPr="001043A2">
              <w:t xml:space="preserve"> the current treatment for these patients is </w:t>
            </w:r>
            <w:r>
              <w:t>chemotherapy or best supportive care.</w:t>
            </w:r>
          </w:p>
          <w:p w14:paraId="2F708332" w14:textId="77777777" w:rsidR="00C91B6C" w:rsidRDefault="00C91B6C" w:rsidP="001E7335">
            <w:pPr>
              <w:pStyle w:val="TableText"/>
            </w:pPr>
            <w:r w:rsidRPr="001043A2">
              <w:t xml:space="preserve">If </w:t>
            </w:r>
            <w:r>
              <w:t>nivolumab</w:t>
            </w:r>
            <w:r w:rsidRPr="001043A2">
              <w:t xml:space="preserve"> were funded for this indication it would </w:t>
            </w:r>
            <w:r>
              <w:t>become an additional line of active treatment</w:t>
            </w:r>
            <w:r w:rsidRPr="001043A2">
              <w:t xml:space="preserve">. </w:t>
            </w:r>
            <w:r>
              <w:t>It would be used alone, rather than being added to chemotherapy.</w:t>
            </w:r>
          </w:p>
        </w:tc>
      </w:tr>
      <w:tr w:rsidR="00C91B6C" w14:paraId="64994AE0" w14:textId="77777777" w:rsidTr="00290AF3">
        <w:trPr>
          <w:cantSplit/>
        </w:trPr>
        <w:tc>
          <w:tcPr>
            <w:tcW w:w="2020" w:type="dxa"/>
            <w:tcBorders>
              <w:top w:val="single" w:sz="4" w:space="0" w:color="C2D9BA"/>
              <w:bottom w:val="single" w:sz="4" w:space="0" w:color="C2D9BA"/>
            </w:tcBorders>
            <w:shd w:val="clear" w:color="auto" w:fill="auto"/>
          </w:tcPr>
          <w:p w14:paraId="7EEBA071" w14:textId="77777777" w:rsidR="00C91B6C" w:rsidRPr="0038658B" w:rsidRDefault="00C91B6C"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30771CD1" w14:textId="77777777" w:rsidR="00C91B6C" w:rsidRPr="008C6EFC" w:rsidRDefault="00C91B6C" w:rsidP="001E7335">
            <w:pPr>
              <w:pStyle w:val="TableText"/>
              <w:rPr>
                <w:highlight w:val="yellow"/>
              </w:rPr>
            </w:pPr>
            <w:r>
              <w:t>A Pharmac estimate of the eligible population size was not readily available at time of publication. The population size was not able to be estimated by other means.</w:t>
            </w:r>
          </w:p>
        </w:tc>
      </w:tr>
      <w:tr w:rsidR="00C91B6C" w14:paraId="3A441E3F" w14:textId="77777777" w:rsidTr="00290AF3">
        <w:trPr>
          <w:cantSplit/>
        </w:trPr>
        <w:tc>
          <w:tcPr>
            <w:tcW w:w="2020" w:type="dxa"/>
            <w:tcBorders>
              <w:top w:val="single" w:sz="4" w:space="0" w:color="C2D9BA"/>
              <w:bottom w:val="single" w:sz="4" w:space="0" w:color="C2D9BA"/>
            </w:tcBorders>
            <w:shd w:val="clear" w:color="auto" w:fill="auto"/>
          </w:tcPr>
          <w:p w14:paraId="67DA621E" w14:textId="77777777" w:rsidR="00C91B6C" w:rsidRPr="0038658B" w:rsidRDefault="00C91B6C" w:rsidP="00C91B6C">
            <w:pPr>
              <w:pStyle w:val="TableText"/>
              <w:ind w:right="113"/>
              <w:rPr>
                <w:b/>
              </w:rPr>
            </w:pPr>
            <w:r w:rsidRPr="0038658B">
              <w:rPr>
                <w:b/>
              </w:rPr>
              <w:t>How th</w:t>
            </w:r>
            <w:r>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3FF30492" w14:textId="77777777" w:rsidR="00C91B6C" w:rsidRDefault="00C91B6C" w:rsidP="001E7335">
            <w:pPr>
              <w:pStyle w:val="TableText"/>
            </w:pPr>
            <w:r>
              <w:t>This medicine is given by infusion.</w:t>
            </w:r>
          </w:p>
          <w:p w14:paraId="69032F8D" w14:textId="77777777" w:rsidR="00C91B6C" w:rsidRDefault="00C91B6C" w:rsidP="00C91B6C">
            <w:pPr>
              <w:pStyle w:val="TableText"/>
            </w:pPr>
            <w:r>
              <w:t>Nivolumab would be given every two or four weeks until disease progression (or unacceptable toxicity).</w:t>
            </w:r>
          </w:p>
        </w:tc>
      </w:tr>
      <w:tr w:rsidR="00C91B6C" w14:paraId="7DD92D9B" w14:textId="77777777" w:rsidTr="00290AF3">
        <w:trPr>
          <w:cantSplit/>
        </w:trPr>
        <w:tc>
          <w:tcPr>
            <w:tcW w:w="2020" w:type="dxa"/>
            <w:tcBorders>
              <w:top w:val="single" w:sz="4" w:space="0" w:color="C2D9BA"/>
              <w:bottom w:val="single" w:sz="4" w:space="0" w:color="C2D9BA"/>
            </w:tcBorders>
            <w:shd w:val="clear" w:color="auto" w:fill="auto"/>
          </w:tcPr>
          <w:p w14:paraId="6249318C" w14:textId="77777777" w:rsidR="00C91B6C" w:rsidRPr="0038658B" w:rsidRDefault="00C91B6C" w:rsidP="00290AF3">
            <w:pPr>
              <w:pStyle w:val="TableText"/>
              <w:ind w:right="113"/>
              <w:rPr>
                <w:b/>
              </w:rPr>
            </w:pPr>
            <w:r w:rsidRPr="0038658B">
              <w:rPr>
                <w:b/>
              </w:rPr>
              <w:t>Patient and whānau considerations</w:t>
            </w:r>
          </w:p>
        </w:tc>
        <w:tc>
          <w:tcPr>
            <w:tcW w:w="6060" w:type="dxa"/>
            <w:gridSpan w:val="2"/>
            <w:tcBorders>
              <w:top w:val="single" w:sz="4" w:space="0" w:color="C2D9BA"/>
              <w:bottom w:val="single" w:sz="4" w:space="0" w:color="C2D9BA"/>
            </w:tcBorders>
            <w:shd w:val="clear" w:color="auto" w:fill="auto"/>
          </w:tcPr>
          <w:p w14:paraId="2CFEBFD2" w14:textId="77777777" w:rsidR="00C91B6C" w:rsidRDefault="00C91B6C" w:rsidP="001E7335">
            <w:pPr>
              <w:pStyle w:val="TableText"/>
            </w:pPr>
            <w:r>
              <w:t>This treatment would become an additional treatment option for these patients, with the potential clinical benefit described above.</w:t>
            </w:r>
          </w:p>
          <w:p w14:paraId="4411ADB6" w14:textId="77777777" w:rsidR="00C91B6C" w:rsidRDefault="00C91B6C" w:rsidP="001E7335">
            <w:pPr>
              <w:pStyle w:val="TableText"/>
            </w:pPr>
            <w:r>
              <w:t>The current approach is either chemotherapy or best supportive care. This would mean that, compared with the current approach, there would generally be more treatment appointments to attend. Nivolumab would be administered in the outpatient infusion centre, so patients would need to travel, but there would be no prescription charge. There may be other medicines needed to manage side effects that may have a prescription charge. There are some particular side effects associated with immune checkpoint inhibitors that are quite different to the side effects of chemotherapy. These can develop long after treatment has stopped and may require specialised management.</w:t>
            </w:r>
          </w:p>
          <w:p w14:paraId="7541F176" w14:textId="77777777" w:rsidR="00C91B6C" w:rsidRDefault="00C91B6C" w:rsidP="00C91B6C">
            <w:pPr>
              <w:pStyle w:val="TableText"/>
            </w:pPr>
            <w:r>
              <w:t>Treatment would continue until there is progression of the disease (or intolerable side effects).</w:t>
            </w:r>
          </w:p>
        </w:tc>
      </w:tr>
      <w:tr w:rsidR="00C91B6C" w14:paraId="21C596C4" w14:textId="77777777" w:rsidTr="00290AF3">
        <w:trPr>
          <w:cantSplit/>
        </w:trPr>
        <w:tc>
          <w:tcPr>
            <w:tcW w:w="2020" w:type="dxa"/>
            <w:tcBorders>
              <w:top w:val="single" w:sz="4" w:space="0" w:color="C2D9BA"/>
              <w:bottom w:val="single" w:sz="4" w:space="0" w:color="C2D9BA"/>
            </w:tcBorders>
            <w:shd w:val="clear" w:color="auto" w:fill="auto"/>
          </w:tcPr>
          <w:p w14:paraId="0FB78953" w14:textId="77777777" w:rsidR="00C91B6C" w:rsidRPr="0038658B" w:rsidRDefault="00C91B6C" w:rsidP="00290AF3">
            <w:pPr>
              <w:pStyle w:val="TableText"/>
              <w:ind w:right="113"/>
              <w:rPr>
                <w:b/>
              </w:rPr>
            </w:pPr>
            <w:r w:rsidRPr="0038658B">
              <w:rPr>
                <w:b/>
              </w:rPr>
              <w:lastRenderedPageBreak/>
              <w:t>Health system resource considerations</w:t>
            </w:r>
          </w:p>
        </w:tc>
        <w:tc>
          <w:tcPr>
            <w:tcW w:w="6060" w:type="dxa"/>
            <w:gridSpan w:val="2"/>
            <w:tcBorders>
              <w:top w:val="single" w:sz="4" w:space="0" w:color="C2D9BA"/>
              <w:bottom w:val="single" w:sz="4" w:space="0" w:color="C2D9BA"/>
            </w:tcBorders>
            <w:shd w:val="clear" w:color="auto" w:fill="auto"/>
          </w:tcPr>
          <w:p w14:paraId="0F1BEBEE" w14:textId="77777777" w:rsidR="00C91B6C" w:rsidRDefault="00C91B6C" w:rsidP="001E7335">
            <w:pPr>
              <w:pStyle w:val="TableText"/>
            </w:pPr>
            <w:r w:rsidRPr="00614693">
              <w:t xml:space="preserve">Additional </w:t>
            </w:r>
            <w:r>
              <w:t>treatment appointments may be required.</w:t>
            </w:r>
          </w:p>
          <w:p w14:paraId="3D36B478" w14:textId="77777777" w:rsidR="00C91B6C" w:rsidRDefault="00C91B6C" w:rsidP="001E7335">
            <w:pPr>
              <w:pStyle w:val="TableText"/>
            </w:pPr>
            <w:r>
              <w:t xml:space="preserve">Additional </w:t>
            </w:r>
            <w:r w:rsidRPr="00614693">
              <w:t>follow-up appointments required</w:t>
            </w:r>
            <w:r>
              <w:t>.</w:t>
            </w:r>
          </w:p>
          <w:p w14:paraId="76B64378" w14:textId="77777777" w:rsidR="00C91B6C" w:rsidRDefault="00C91B6C" w:rsidP="001E7335">
            <w:pPr>
              <w:pStyle w:val="TableText"/>
            </w:pPr>
            <w:r w:rsidRPr="00614693">
              <w:t xml:space="preserve">Additional chair time </w:t>
            </w:r>
            <w:r>
              <w:t>for administration of treatment may be required.</w:t>
            </w:r>
          </w:p>
          <w:p w14:paraId="494757AB" w14:textId="77777777" w:rsidR="00C91B6C" w:rsidRDefault="00C91B6C" w:rsidP="001E7335">
            <w:pPr>
              <w:pStyle w:val="TableText"/>
            </w:pPr>
            <w:r w:rsidRPr="00614693">
              <w:t>Increased demand for laboratory</w:t>
            </w:r>
            <w:r>
              <w:t xml:space="preserve"> and pathology services to monitor for treatment toxicities.</w:t>
            </w:r>
          </w:p>
          <w:p w14:paraId="50FB0560" w14:textId="77777777" w:rsidR="00C91B6C" w:rsidRDefault="00C91B6C"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490A0DF0" w14:textId="77777777" w:rsidR="00C91B6C" w:rsidRDefault="00C91B6C" w:rsidP="001E7335">
            <w:pPr>
              <w:pStyle w:val="TableText"/>
            </w:pPr>
            <w:r>
              <w:t>Potential for increased demand for supportive care and toxicity management (including health care professionals’ time and pharmaceuticals).</w:t>
            </w:r>
          </w:p>
        </w:tc>
      </w:tr>
    </w:tbl>
    <w:p w14:paraId="3435AA3B" w14:textId="77777777" w:rsidR="0038658B" w:rsidRPr="0038658B" w:rsidRDefault="0038658B" w:rsidP="0038658B"/>
    <w:p w14:paraId="09D068C9" w14:textId="77777777" w:rsidR="00C338E8" w:rsidRDefault="006D7F10" w:rsidP="00EC2914">
      <w:pPr>
        <w:pStyle w:val="Heading4"/>
      </w:pPr>
      <w:bookmarkStart w:id="432" w:name="_Toc100739076"/>
      <w:bookmarkEnd w:id="431"/>
      <w:r>
        <w:t>Epidemiology of head and neck cancer</w:t>
      </w:r>
      <w:bookmarkEnd w:id="432"/>
    </w:p>
    <w:p w14:paraId="1B50A836" w14:textId="77777777" w:rsidR="00C338E8" w:rsidRDefault="006D7F10" w:rsidP="00EC2914">
      <w:pPr>
        <w:pStyle w:val="Heading5"/>
      </w:pPr>
      <w:r>
        <w:t>Incidence</w:t>
      </w:r>
    </w:p>
    <w:p w14:paraId="0051D425" w14:textId="77777777" w:rsidR="00C338E8" w:rsidRDefault="006D7F10" w:rsidP="00EC2914">
      <w:r>
        <w:t xml:space="preserve">Head and neck cancers are among the top-10 most commonly diagnosed cancers in Aotearoa – with an average of 550 people diagnosed each year, including 55 Māori </w:t>
      </w:r>
      <w:r>
        <w:rPr>
          <w:noProof/>
        </w:rPr>
        <w:t>(</w:t>
      </w:r>
      <w:r w:rsidR="00F64599">
        <w:rPr>
          <w:noProof/>
        </w:rPr>
        <w:t>Te Aho</w:t>
      </w:r>
      <w:r>
        <w:rPr>
          <w:noProof/>
        </w:rPr>
        <w:t xml:space="preserve"> o </w:t>
      </w:r>
      <w:r w:rsidR="00B537E2">
        <w:rPr>
          <w:noProof/>
        </w:rPr>
        <w:t>Te Kahu</w:t>
      </w:r>
      <w:r>
        <w:rPr>
          <w:noProof/>
        </w:rPr>
        <w:t xml:space="preserve"> 2021a)</w:t>
      </w:r>
      <w:r>
        <w:t>. The rate of head and neck cancer is similar for Māori and non</w:t>
      </w:r>
      <w:r w:rsidR="00EC2914">
        <w:noBreakHyphen/>
      </w:r>
      <w:r>
        <w:t>Māori (both 6 per 100,000). The rate of head and neck cancer among Pacific peoples (8</w:t>
      </w:r>
      <w:r w:rsidR="00EC2914">
        <w:t> </w:t>
      </w:r>
      <w:r>
        <w:t xml:space="preserve">per 100,000) appears to be higher than that of the non-Māori, non-Pacific, non-Asian population (6 per 100,000) </w:t>
      </w:r>
      <w:r>
        <w:rPr>
          <w:noProof/>
        </w:rPr>
        <w:t>(</w:t>
      </w:r>
      <w:r w:rsidR="00F64599">
        <w:rPr>
          <w:noProof/>
        </w:rPr>
        <w:t>Te Aho</w:t>
      </w:r>
      <w:r>
        <w:rPr>
          <w:noProof/>
        </w:rPr>
        <w:t xml:space="preserve"> o </w:t>
      </w:r>
      <w:r w:rsidR="00B537E2">
        <w:rPr>
          <w:noProof/>
        </w:rPr>
        <w:t>Te Kahu</w:t>
      </w:r>
      <w:r>
        <w:rPr>
          <w:noProof/>
        </w:rPr>
        <w:t xml:space="preserve"> 2021a)</w:t>
      </w:r>
      <w:r>
        <w:t>.</w:t>
      </w:r>
    </w:p>
    <w:p w14:paraId="5E444F94" w14:textId="77777777" w:rsidR="00C338E8" w:rsidRDefault="00C338E8" w:rsidP="00EC2914"/>
    <w:p w14:paraId="7DADCD2F" w14:textId="77777777" w:rsidR="00C338E8" w:rsidRDefault="006D7F10" w:rsidP="00EC2914">
      <w:pPr>
        <w:pStyle w:val="Heading5"/>
      </w:pPr>
      <w:r>
        <w:t>Stage at diagnosis</w:t>
      </w:r>
    </w:p>
    <w:p w14:paraId="0FA58C4C" w14:textId="77777777" w:rsidR="00C338E8" w:rsidRDefault="006D7F10" w:rsidP="00EC2914">
      <w:r>
        <w:t>Based on New Zealand Cancer Registry data, the majority of head and neck cancers are diagnosed at either the local stage (24</w:t>
      </w:r>
      <w:r w:rsidR="00F64599">
        <w:t> percent</w:t>
      </w:r>
      <w:r>
        <w:t xml:space="preserve"> of total cases, 14</w:t>
      </w:r>
      <w:r w:rsidR="00F64599">
        <w:t> percent</w:t>
      </w:r>
      <w:r>
        <w:t xml:space="preserve"> Māori, 27</w:t>
      </w:r>
      <w:r w:rsidR="00F64599">
        <w:t> percent</w:t>
      </w:r>
      <w:r>
        <w:t xml:space="preserve"> New Zealand European) or a regional stage, when the disease has spread around the region of origin (32</w:t>
      </w:r>
      <w:r w:rsidR="00F64599">
        <w:t> percent</w:t>
      </w:r>
      <w:r>
        <w:t xml:space="preserve"> total, 35</w:t>
      </w:r>
      <w:r w:rsidR="00F64599">
        <w:t> percent</w:t>
      </w:r>
      <w:r>
        <w:t xml:space="preserve"> Māori, 31</w:t>
      </w:r>
      <w:r w:rsidR="00F64599">
        <w:t> percent</w:t>
      </w:r>
      <w:r>
        <w:t xml:space="preserve"> New Zealand European). While the registry records less than 10</w:t>
      </w:r>
      <w:r w:rsidR="00F64599">
        <w:t> percent</w:t>
      </w:r>
      <w:r>
        <w:t xml:space="preserve"> of head and neck cancer patients as being diagnosed with advanced disease (7</w:t>
      </w:r>
      <w:r w:rsidR="00F64599">
        <w:t> percent</w:t>
      </w:r>
      <w:r>
        <w:t xml:space="preserve"> total, 9</w:t>
      </w:r>
      <w:r w:rsidR="00F64599">
        <w:t> percent</w:t>
      </w:r>
      <w:r>
        <w:t xml:space="preserve"> Māori, 6</w:t>
      </w:r>
      <w:r w:rsidR="00F64599">
        <w:t> percent</w:t>
      </w:r>
      <w:r>
        <w:t xml:space="preserve"> New Zealand European), more than one-third of diagnoses remain unstaged on the registry (37</w:t>
      </w:r>
      <w:r w:rsidR="00F64599">
        <w:t> percent</w:t>
      </w:r>
      <w:r>
        <w:t xml:space="preserve"> total, 42</w:t>
      </w:r>
      <w:r w:rsidR="00F64599">
        <w:t> percent</w:t>
      </w:r>
      <w:r>
        <w:t xml:space="preserve"> Māori, 36</w:t>
      </w:r>
      <w:r w:rsidR="00F64599">
        <w:t> percent</w:t>
      </w:r>
      <w:r>
        <w:t xml:space="preserve"> New Zealand European) </w:t>
      </w:r>
      <w:r>
        <w:rPr>
          <w:noProof/>
        </w:rPr>
        <w:t xml:space="preserve">(Gurney, Stanley, Jackson, </w:t>
      </w:r>
      <w:r w:rsidR="00C338E8">
        <w:rPr>
          <w:noProof/>
        </w:rPr>
        <w:t>et al</w:t>
      </w:r>
      <w:r w:rsidR="003B51F4">
        <w:rPr>
          <w:noProof/>
        </w:rPr>
        <w:t xml:space="preserve"> 2</w:t>
      </w:r>
      <w:r>
        <w:rPr>
          <w:noProof/>
        </w:rPr>
        <w:t>020)</w:t>
      </w:r>
      <w:r>
        <w:t>.</w:t>
      </w:r>
    </w:p>
    <w:p w14:paraId="5D03FBC6" w14:textId="77777777" w:rsidR="00EC2914" w:rsidRDefault="00EC2914" w:rsidP="00EC2914"/>
    <w:p w14:paraId="7CDED5A9" w14:textId="77777777" w:rsidR="00EC2914" w:rsidRPr="00EC2914" w:rsidRDefault="006D7F10" w:rsidP="00EC2914">
      <w:pPr>
        <w:pStyle w:val="Heading5"/>
      </w:pPr>
      <w:r w:rsidRPr="00EC2914">
        <w:t>Survival</w:t>
      </w:r>
    </w:p>
    <w:p w14:paraId="0BB7A278" w14:textId="77777777" w:rsidR="00C338E8" w:rsidRDefault="006D7F10" w:rsidP="00EC2914">
      <w:r>
        <w:rPr>
          <w:bCs/>
        </w:rPr>
        <w:t>Around two-thirds of those diagnosed with</w:t>
      </w:r>
      <w:r>
        <w:t xml:space="preserve"> head and neck cancer will survive to five years (64</w:t>
      </w:r>
      <w:r w:rsidR="00F64599">
        <w:t> percent</w:t>
      </w:r>
      <w:r>
        <w:t xml:space="preserve"> Māori, 64</w:t>
      </w:r>
      <w:r w:rsidR="00F64599">
        <w:t> percent</w:t>
      </w:r>
      <w:r>
        <w:t xml:space="preserve"> non-Māori) </w:t>
      </w:r>
      <w:r>
        <w:rPr>
          <w:noProof/>
        </w:rPr>
        <w:t xml:space="preserve">(Soeberg </w:t>
      </w:r>
      <w:r w:rsidR="00C338E8">
        <w:rPr>
          <w:noProof/>
        </w:rPr>
        <w:t>et al</w:t>
      </w:r>
      <w:r w:rsidR="003B51F4">
        <w:rPr>
          <w:noProof/>
        </w:rPr>
        <w:t xml:space="preserve"> 2</w:t>
      </w:r>
      <w:r>
        <w:rPr>
          <w:noProof/>
        </w:rPr>
        <w:t>012)</w:t>
      </w:r>
      <w:r>
        <w:t>. There is currently a lack of robust stage-specific survival data for head and neck cancer in Aotearoa. Based on estimates from 2001–2004, Māori head and neck cancer patients had 37</w:t>
      </w:r>
      <w:r w:rsidR="00F64599">
        <w:t> percent</w:t>
      </w:r>
      <w:r>
        <w:t xml:space="preserve"> greater excess mortality than non-Māori patients </w:t>
      </w:r>
      <w:r>
        <w:rPr>
          <w:noProof/>
        </w:rPr>
        <w:t xml:space="preserve">(Soeberg </w:t>
      </w:r>
      <w:r w:rsidR="00C338E8">
        <w:rPr>
          <w:noProof/>
        </w:rPr>
        <w:t>et al</w:t>
      </w:r>
      <w:r w:rsidR="003B51F4">
        <w:rPr>
          <w:noProof/>
        </w:rPr>
        <w:t xml:space="preserve"> 2</w:t>
      </w:r>
      <w:r>
        <w:rPr>
          <w:noProof/>
        </w:rPr>
        <w:t>012)</w:t>
      </w:r>
      <w:r>
        <w:t>.</w:t>
      </w:r>
    </w:p>
    <w:p w14:paraId="1EE082A1" w14:textId="77777777" w:rsidR="00C338E8" w:rsidRDefault="00C338E8" w:rsidP="00EC2914"/>
    <w:p w14:paraId="26001456" w14:textId="77777777" w:rsidR="00C338E8" w:rsidRDefault="006D7F10" w:rsidP="00EC2914">
      <w:pPr>
        <w:pStyle w:val="Heading5"/>
      </w:pPr>
      <w:r>
        <w:t>Mortality</w:t>
      </w:r>
    </w:p>
    <w:p w14:paraId="6C18E368" w14:textId="77777777" w:rsidR="00C338E8" w:rsidRDefault="006D7F10" w:rsidP="00EC2914">
      <w:pPr>
        <w:rPr>
          <w:rFonts w:ascii="Times New Roman" w:hAnsi="Times New Roman"/>
          <w:sz w:val="24"/>
          <w:szCs w:val="24"/>
          <w:lang w:eastAsia="en-NZ"/>
        </w:rPr>
      </w:pPr>
      <w:r>
        <w:rPr>
          <w:bCs/>
        </w:rPr>
        <w:t xml:space="preserve">On average over the last decade, there have been </w:t>
      </w:r>
      <w:r>
        <w:t xml:space="preserve">170 deaths each year from head and neck cancer, including 17 Māori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t xml:space="preserve">. Mortality rates for head and neck cancer are higher for Māori (2 per 100,000) compared with non-Māori (1 per 100,000). The head and neck cancer mortality rate is also higher for Pacific peoples (3 per 100,000) than for the non-Māori, non-Pacific, non-Asian population. (1 per 100,000) </w:t>
      </w:r>
      <w:r>
        <w:rPr>
          <w:noProof/>
        </w:rPr>
        <w:t>(</w:t>
      </w:r>
      <w:r w:rsidR="00F64599">
        <w:rPr>
          <w:noProof/>
        </w:rPr>
        <w:t>Te Aho</w:t>
      </w:r>
      <w:r>
        <w:rPr>
          <w:noProof/>
        </w:rPr>
        <w:t xml:space="preserve"> o </w:t>
      </w:r>
      <w:r w:rsidR="00B537E2">
        <w:rPr>
          <w:noProof/>
        </w:rPr>
        <w:t>Te Kahu</w:t>
      </w:r>
      <w:r>
        <w:rPr>
          <w:noProof/>
        </w:rPr>
        <w:t xml:space="preserve"> 2021a)</w:t>
      </w:r>
      <w:r>
        <w:t>.</w:t>
      </w:r>
    </w:p>
    <w:p w14:paraId="11D90784" w14:textId="77777777" w:rsidR="00C338E8" w:rsidRDefault="00C338E8" w:rsidP="00EC2914">
      <w:pPr>
        <w:rPr>
          <w:lang w:eastAsia="en-NZ"/>
        </w:rPr>
      </w:pPr>
    </w:p>
    <w:p w14:paraId="4E021ACF" w14:textId="77777777" w:rsidR="00C338E8" w:rsidRDefault="006D7F10" w:rsidP="00EC2914">
      <w:pPr>
        <w:pStyle w:val="Heading3"/>
      </w:pPr>
      <w:bookmarkStart w:id="433" w:name="_Toc100739077"/>
      <w:r>
        <w:lastRenderedPageBreak/>
        <w:t>Skin cancer</w:t>
      </w:r>
      <w:bookmarkEnd w:id="433"/>
    </w:p>
    <w:p w14:paraId="41CB5875" w14:textId="77777777" w:rsidR="006D7F10" w:rsidRDefault="006D7F10" w:rsidP="00EC2914">
      <w:pPr>
        <w:pStyle w:val="Table"/>
      </w:pPr>
      <w:bookmarkStart w:id="434" w:name="_Toc101365633"/>
      <w:bookmarkStart w:id="435" w:name="Appendix_7_Table_7point17"/>
      <w:r>
        <w:t>Table</w:t>
      </w:r>
      <w:r w:rsidR="00EC2914">
        <w:t> </w:t>
      </w:r>
      <w:r>
        <w:t>7.17: Nivolumab or pembrolizumab for melanoma (adjuvant)</w:t>
      </w:r>
      <w:bookmarkEnd w:id="43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1524"/>
        <w:gridCol w:w="425"/>
        <w:gridCol w:w="4111"/>
      </w:tblGrid>
      <w:tr w:rsidR="006B3143" w14:paraId="0036A4E0" w14:textId="77777777" w:rsidTr="00290AF3">
        <w:trPr>
          <w:cantSplit/>
        </w:trPr>
        <w:tc>
          <w:tcPr>
            <w:tcW w:w="2020" w:type="dxa"/>
            <w:tcBorders>
              <w:top w:val="nil"/>
              <w:bottom w:val="nil"/>
            </w:tcBorders>
            <w:shd w:val="clear" w:color="auto" w:fill="C2D9BA"/>
          </w:tcPr>
          <w:p w14:paraId="310D5181" w14:textId="77777777" w:rsidR="006B3143" w:rsidRPr="00181CD3" w:rsidRDefault="006B3143" w:rsidP="00290AF3">
            <w:pPr>
              <w:pStyle w:val="TableText"/>
              <w:ind w:right="113"/>
              <w:rPr>
                <w:b/>
              </w:rPr>
            </w:pPr>
            <w:r w:rsidRPr="00181CD3">
              <w:rPr>
                <w:b/>
              </w:rPr>
              <w:t>Indication description</w:t>
            </w:r>
          </w:p>
        </w:tc>
        <w:tc>
          <w:tcPr>
            <w:tcW w:w="6060" w:type="dxa"/>
            <w:gridSpan w:val="3"/>
            <w:tcBorders>
              <w:top w:val="nil"/>
              <w:bottom w:val="nil"/>
            </w:tcBorders>
            <w:shd w:val="clear" w:color="auto" w:fill="C2D9BA"/>
          </w:tcPr>
          <w:p w14:paraId="66FC82E6" w14:textId="77777777" w:rsidR="006B3143" w:rsidRDefault="006B3143" w:rsidP="001E7335">
            <w:pPr>
              <w:pStyle w:val="TableText"/>
            </w:pPr>
            <w:r w:rsidRPr="00C74966">
              <w:t>Melanoma, stage III, adjuvant</w:t>
            </w:r>
            <w:r>
              <w:t xml:space="preserve"> therapy after surgery (complete resection)</w:t>
            </w:r>
          </w:p>
        </w:tc>
      </w:tr>
      <w:tr w:rsidR="006B3143" w14:paraId="5E7F74C7" w14:textId="77777777" w:rsidTr="00290AF3">
        <w:trPr>
          <w:cantSplit/>
        </w:trPr>
        <w:tc>
          <w:tcPr>
            <w:tcW w:w="2020" w:type="dxa"/>
            <w:tcBorders>
              <w:top w:val="single" w:sz="4" w:space="0" w:color="C2D9BA"/>
              <w:bottom w:val="single" w:sz="4" w:space="0" w:color="C2D9BA"/>
            </w:tcBorders>
            <w:shd w:val="clear" w:color="auto" w:fill="E7F0E3"/>
          </w:tcPr>
          <w:p w14:paraId="4B5FC764" w14:textId="77777777" w:rsidR="006B3143" w:rsidRPr="00181CD3" w:rsidRDefault="006B3143" w:rsidP="006B3143">
            <w:pPr>
              <w:pStyle w:val="TableText"/>
              <w:ind w:right="113"/>
              <w:rPr>
                <w:b/>
              </w:rPr>
            </w:pPr>
            <w:r w:rsidRPr="00181CD3">
              <w:rPr>
                <w:b/>
              </w:rPr>
              <w:t>Medicine option to fill the gap</w:t>
            </w:r>
          </w:p>
        </w:tc>
        <w:tc>
          <w:tcPr>
            <w:tcW w:w="6060" w:type="dxa"/>
            <w:gridSpan w:val="3"/>
            <w:tcBorders>
              <w:top w:val="single" w:sz="4" w:space="0" w:color="C2D9BA"/>
              <w:bottom w:val="single" w:sz="4" w:space="0" w:color="C2D9BA"/>
            </w:tcBorders>
            <w:shd w:val="clear" w:color="auto" w:fill="E7F0E3"/>
          </w:tcPr>
          <w:p w14:paraId="34713301" w14:textId="77777777" w:rsidR="006B3143" w:rsidRDefault="006B3143" w:rsidP="001E7335">
            <w:pPr>
              <w:pStyle w:val="TableText"/>
            </w:pPr>
            <w:r w:rsidRPr="00114AAF">
              <w:t>Nivolumab</w:t>
            </w:r>
          </w:p>
          <w:p w14:paraId="75BE6FE6" w14:textId="77777777" w:rsidR="006B3143" w:rsidRDefault="006B3143" w:rsidP="001E7335">
            <w:pPr>
              <w:pStyle w:val="TableText"/>
            </w:pPr>
            <w:r>
              <w:t>OR</w:t>
            </w:r>
          </w:p>
          <w:p w14:paraId="25D7AFC9" w14:textId="77777777" w:rsidR="006B3143" w:rsidRDefault="006B3143" w:rsidP="001E7335">
            <w:pPr>
              <w:pStyle w:val="TableText"/>
            </w:pPr>
            <w:r>
              <w:t>Pembrolizumab</w:t>
            </w:r>
          </w:p>
        </w:tc>
      </w:tr>
      <w:tr w:rsidR="006B3143" w14:paraId="72725871" w14:textId="77777777" w:rsidTr="00290AF3">
        <w:trPr>
          <w:cantSplit/>
        </w:trPr>
        <w:tc>
          <w:tcPr>
            <w:tcW w:w="2020" w:type="dxa"/>
            <w:tcBorders>
              <w:top w:val="single" w:sz="4" w:space="0" w:color="C2D9BA"/>
              <w:bottom w:val="single" w:sz="4" w:space="0" w:color="C2D9BA"/>
            </w:tcBorders>
            <w:shd w:val="clear" w:color="auto" w:fill="auto"/>
          </w:tcPr>
          <w:p w14:paraId="5AAFF06D" w14:textId="77777777" w:rsidR="006B3143" w:rsidRPr="00181CD3" w:rsidRDefault="006B3143" w:rsidP="00290AF3">
            <w:pPr>
              <w:pStyle w:val="TableText"/>
              <w:ind w:right="113"/>
              <w:rPr>
                <w:b/>
              </w:rPr>
            </w:pPr>
            <w:r w:rsidRPr="00181CD3">
              <w:rPr>
                <w:b/>
              </w:rPr>
              <w:t>Descripti</w:t>
            </w:r>
            <w:r>
              <w:rPr>
                <w:b/>
              </w:rPr>
              <w:t>on of medicine class</w:t>
            </w:r>
          </w:p>
        </w:tc>
        <w:tc>
          <w:tcPr>
            <w:tcW w:w="6060" w:type="dxa"/>
            <w:gridSpan w:val="3"/>
            <w:tcBorders>
              <w:top w:val="single" w:sz="4" w:space="0" w:color="C2D9BA"/>
              <w:bottom w:val="single" w:sz="4" w:space="0" w:color="C2D9BA"/>
            </w:tcBorders>
            <w:shd w:val="clear" w:color="auto" w:fill="auto"/>
          </w:tcPr>
          <w:p w14:paraId="2AA76249" w14:textId="77777777" w:rsidR="006B3143" w:rsidRDefault="006B3143" w:rsidP="001E7335">
            <w:pPr>
              <w:pStyle w:val="TableText"/>
            </w:pPr>
            <w:r w:rsidRPr="00961B27">
              <w:t>Immune checkpoint inhibitor (monoclonal antibod</w:t>
            </w:r>
            <w:r>
              <w:t>ies</w:t>
            </w:r>
            <w:r w:rsidRPr="00961B27">
              <w:t xml:space="preserve"> targeting PD-1 protein)</w:t>
            </w:r>
          </w:p>
        </w:tc>
      </w:tr>
      <w:tr w:rsidR="006B3143" w14:paraId="6C422107" w14:textId="77777777" w:rsidTr="00290AF3">
        <w:trPr>
          <w:cantSplit/>
        </w:trPr>
        <w:tc>
          <w:tcPr>
            <w:tcW w:w="2020" w:type="dxa"/>
            <w:tcBorders>
              <w:top w:val="single" w:sz="4" w:space="0" w:color="C2D9BA"/>
              <w:bottom w:val="single" w:sz="4" w:space="0" w:color="C2D9BA"/>
            </w:tcBorders>
            <w:shd w:val="clear" w:color="auto" w:fill="auto"/>
          </w:tcPr>
          <w:p w14:paraId="27B7E3A9" w14:textId="77777777" w:rsidR="006B3143" w:rsidRPr="00181CD3" w:rsidRDefault="006B3143" w:rsidP="00290AF3">
            <w:pPr>
              <w:pStyle w:val="TableText"/>
              <w:ind w:right="113"/>
              <w:rPr>
                <w:b/>
              </w:rPr>
            </w:pPr>
            <w:r w:rsidRPr="00181CD3">
              <w:rPr>
                <w:b/>
              </w:rPr>
              <w:t>Intent of treatment</w:t>
            </w:r>
          </w:p>
        </w:tc>
        <w:tc>
          <w:tcPr>
            <w:tcW w:w="6060" w:type="dxa"/>
            <w:gridSpan w:val="3"/>
            <w:tcBorders>
              <w:top w:val="single" w:sz="4" w:space="0" w:color="C2D9BA"/>
              <w:bottom w:val="single" w:sz="4" w:space="0" w:color="C2D9BA"/>
            </w:tcBorders>
            <w:shd w:val="clear" w:color="auto" w:fill="auto"/>
          </w:tcPr>
          <w:p w14:paraId="54A58091" w14:textId="77777777" w:rsidR="006B3143" w:rsidRDefault="006B3143" w:rsidP="001E7335">
            <w:pPr>
              <w:pStyle w:val="TableText"/>
            </w:pPr>
            <w:r>
              <w:t>Curative</w:t>
            </w:r>
          </w:p>
        </w:tc>
      </w:tr>
      <w:tr w:rsidR="006B3143" w14:paraId="18B07A4D" w14:textId="77777777" w:rsidTr="006B3143">
        <w:trPr>
          <w:cantSplit/>
        </w:trPr>
        <w:tc>
          <w:tcPr>
            <w:tcW w:w="2020" w:type="dxa"/>
            <w:tcBorders>
              <w:top w:val="single" w:sz="4" w:space="0" w:color="C2D9BA"/>
              <w:bottom w:val="single" w:sz="4" w:space="0" w:color="C2D9BA"/>
            </w:tcBorders>
            <w:shd w:val="clear" w:color="auto" w:fill="auto"/>
          </w:tcPr>
          <w:p w14:paraId="3FF9E807" w14:textId="77777777" w:rsidR="006B3143" w:rsidRPr="00181CD3" w:rsidRDefault="006B3143" w:rsidP="00290AF3">
            <w:pPr>
              <w:pStyle w:val="TableText"/>
              <w:ind w:right="113"/>
              <w:rPr>
                <w:b/>
              </w:rPr>
            </w:pPr>
            <w:r w:rsidRPr="00181CD3">
              <w:rPr>
                <w:b/>
              </w:rPr>
              <w:t>Pharmac status at time of analysis</w:t>
            </w:r>
          </w:p>
        </w:tc>
        <w:tc>
          <w:tcPr>
            <w:tcW w:w="6060" w:type="dxa"/>
            <w:gridSpan w:val="3"/>
            <w:tcBorders>
              <w:top w:val="single" w:sz="4" w:space="0" w:color="C2D9BA"/>
              <w:bottom w:val="single" w:sz="4" w:space="0" w:color="C2D9BA"/>
            </w:tcBorders>
            <w:shd w:val="clear" w:color="auto" w:fill="auto"/>
          </w:tcPr>
          <w:p w14:paraId="71473054" w14:textId="77777777" w:rsidR="006B3143" w:rsidRDefault="006B3143" w:rsidP="001E7335">
            <w:pPr>
              <w:pStyle w:val="TableText"/>
            </w:pPr>
            <w:r>
              <w:t>Nivolumab: n</w:t>
            </w:r>
            <w:r w:rsidRPr="00961B27">
              <w:t>o application received</w:t>
            </w:r>
          </w:p>
          <w:p w14:paraId="5315F3E9" w14:textId="77777777" w:rsidR="006B3143" w:rsidRDefault="006B3143" w:rsidP="001E7335">
            <w:pPr>
              <w:pStyle w:val="TableText"/>
            </w:pPr>
            <w:r>
              <w:t>Pembrolizumab: Application deferred pending further data. This means that Pharmac has not ranked the application, and it has received advice that additional data is expected.</w:t>
            </w:r>
          </w:p>
          <w:p w14:paraId="0C3B12FB" w14:textId="77777777" w:rsidR="006B3143" w:rsidRPr="006B3143" w:rsidRDefault="006B3143" w:rsidP="001E7335">
            <w:pPr>
              <w:pStyle w:val="TableText"/>
            </w:pPr>
            <w:r>
              <w:t xml:space="preserve">Note: At the time of publication, the Pharmac status had been updated to under </w:t>
            </w:r>
            <w:r w:rsidRPr="006B3143">
              <w:t>assessment – this means that Pharmac has received clinical advice regarding this funding application, and it is working to compare this against other options for funding.</w:t>
            </w:r>
          </w:p>
          <w:p w14:paraId="5153D8C9" w14:textId="77777777" w:rsidR="006B3143" w:rsidRPr="006B3143" w:rsidRDefault="0056499C" w:rsidP="006B3143">
            <w:pPr>
              <w:pStyle w:val="TableText"/>
              <w:rPr>
                <w:rStyle w:val="Hyperlink"/>
              </w:rPr>
            </w:pPr>
            <w:hyperlink r:id="rId116" w:history="1">
              <w:r w:rsidR="006B3143" w:rsidRPr="006B3143">
                <w:rPr>
                  <w:rStyle w:val="Hyperlink"/>
                </w:rPr>
                <w:t>https://connect.pharmac.govt.nz/apptracker/s/application-public/a102P000008ptx2/p000298</w:t>
              </w:r>
            </w:hyperlink>
          </w:p>
        </w:tc>
      </w:tr>
      <w:tr w:rsidR="006B3143" w14:paraId="7086CE95" w14:textId="77777777" w:rsidTr="006B3143">
        <w:trPr>
          <w:cantSplit/>
        </w:trPr>
        <w:tc>
          <w:tcPr>
            <w:tcW w:w="2020" w:type="dxa"/>
            <w:vMerge w:val="restart"/>
            <w:tcBorders>
              <w:top w:val="single" w:sz="4" w:space="0" w:color="C2D9BA"/>
              <w:bottom w:val="single" w:sz="4" w:space="0" w:color="C2D9BA"/>
            </w:tcBorders>
            <w:shd w:val="clear" w:color="auto" w:fill="auto"/>
          </w:tcPr>
          <w:p w14:paraId="4550A94C" w14:textId="77777777" w:rsidR="006B3143" w:rsidRPr="0038658B" w:rsidRDefault="006B3143" w:rsidP="00290AF3">
            <w:pPr>
              <w:pStyle w:val="TableText"/>
              <w:ind w:right="113"/>
              <w:rPr>
                <w:b/>
              </w:rPr>
            </w:pPr>
            <w:r w:rsidRPr="0038658B">
              <w:rPr>
                <w:b/>
              </w:rPr>
              <w:t>ESMO-MCBS clinical benefit score and summary of data informing the score</w:t>
            </w:r>
          </w:p>
        </w:tc>
        <w:tc>
          <w:tcPr>
            <w:tcW w:w="1524" w:type="dxa"/>
            <w:tcBorders>
              <w:top w:val="single" w:sz="4" w:space="0" w:color="C2D9BA"/>
              <w:bottom w:val="single" w:sz="4" w:space="0" w:color="C2D9BA"/>
            </w:tcBorders>
            <w:shd w:val="clear" w:color="auto" w:fill="auto"/>
          </w:tcPr>
          <w:p w14:paraId="427BB3D5" w14:textId="77777777" w:rsidR="006B3143" w:rsidRDefault="006B3143" w:rsidP="001E7335">
            <w:pPr>
              <w:pStyle w:val="TableText"/>
            </w:pPr>
            <w:r>
              <w:t>Nivolumab</w:t>
            </w:r>
          </w:p>
        </w:tc>
        <w:tc>
          <w:tcPr>
            <w:tcW w:w="425" w:type="dxa"/>
            <w:tcBorders>
              <w:top w:val="single" w:sz="4" w:space="0" w:color="C2D9BA"/>
              <w:bottom w:val="single" w:sz="4" w:space="0" w:color="C2D9BA"/>
            </w:tcBorders>
            <w:shd w:val="clear" w:color="auto" w:fill="auto"/>
          </w:tcPr>
          <w:p w14:paraId="1EAEC973" w14:textId="77777777" w:rsidR="006B3143" w:rsidRDefault="006B3143" w:rsidP="001E7335">
            <w:pPr>
              <w:pStyle w:val="TableText"/>
            </w:pPr>
            <w:r>
              <w:t>A</w:t>
            </w:r>
          </w:p>
        </w:tc>
        <w:tc>
          <w:tcPr>
            <w:tcW w:w="4111" w:type="dxa"/>
            <w:tcBorders>
              <w:top w:val="single" w:sz="4" w:space="0" w:color="C2D9BA"/>
              <w:bottom w:val="single" w:sz="4" w:space="0" w:color="C2D9BA"/>
            </w:tcBorders>
            <w:shd w:val="clear" w:color="auto" w:fill="auto"/>
          </w:tcPr>
          <w:p w14:paraId="3272F6CD" w14:textId="77777777" w:rsidR="006B3143" w:rsidRDefault="006B3143" w:rsidP="001E7335">
            <w:pPr>
              <w:pStyle w:val="TableText"/>
            </w:pPr>
            <w:r>
              <w:t>Compared with ipilimumab:</w:t>
            </w:r>
          </w:p>
          <w:p w14:paraId="7F72EEE2" w14:textId="77777777" w:rsidR="006B3143" w:rsidRDefault="006B3143" w:rsidP="001E7335">
            <w:pPr>
              <w:pStyle w:val="TableText"/>
            </w:pPr>
            <w:r>
              <w:t>Overall survival did not contribute to the score</w:t>
            </w:r>
          </w:p>
          <w:p w14:paraId="77436130" w14:textId="77777777" w:rsidR="006B3143" w:rsidRDefault="006B3143" w:rsidP="001E7335">
            <w:pPr>
              <w:pStyle w:val="TableText"/>
            </w:pPr>
            <w:r>
              <w:t>Gain in median relapse-free survival at one year of 9.7%</w:t>
            </w:r>
          </w:p>
          <w:p w14:paraId="6EF46FD6" w14:textId="77777777" w:rsidR="006B3143" w:rsidRDefault="006B3143" w:rsidP="001E7335">
            <w:pPr>
              <w:pStyle w:val="TableText"/>
            </w:pPr>
            <w:r>
              <w:t>Quality-of-life results did not contribute to the score.</w:t>
            </w:r>
          </w:p>
          <w:p w14:paraId="32735942" w14:textId="77777777" w:rsidR="006B3143" w:rsidRDefault="006B3143" w:rsidP="001E7335">
            <w:pPr>
              <w:pStyle w:val="TableText"/>
            </w:pPr>
            <w:r>
              <w:t>Fewer severe adverse events were noted, but these did not contribute to the score.</w:t>
            </w:r>
          </w:p>
          <w:p w14:paraId="0E33FDD7" w14:textId="77777777" w:rsidR="006B3143" w:rsidRDefault="006B3143" w:rsidP="001E7335">
            <w:pPr>
              <w:pStyle w:val="TableText"/>
            </w:pPr>
            <w:r>
              <w:t>Note: These were the results in a comparison against ipilimumab, which is not funded in Aotearoa. The relevant comparator for Aotearoa would be no active treatment and ‘watch and wait’. Clinical advice indicated that against this comparator the ESMO-MCBS score would likely be at least B.</w:t>
            </w:r>
          </w:p>
          <w:p w14:paraId="7B9DD1CE" w14:textId="77777777" w:rsidR="006B3143" w:rsidRDefault="0056499C" w:rsidP="006B3143">
            <w:pPr>
              <w:pStyle w:val="TableText"/>
            </w:pPr>
            <w:hyperlink r:id="rId117" w:history="1">
              <w:r w:rsidR="006B3143" w:rsidRPr="00333377">
                <w:rPr>
                  <w:rStyle w:val="Hyperlink"/>
                  <w:rFonts w:eastAsia="MS Gothic"/>
                </w:rPr>
                <w:t>www.esmo.org/guidelines/esmo-mcbs/esmo-mcbs-scorecards/scorecard-174-1</w:t>
              </w:r>
            </w:hyperlink>
          </w:p>
        </w:tc>
      </w:tr>
      <w:tr w:rsidR="006B3143" w:rsidRPr="00181CD3" w14:paraId="7FA4AA57" w14:textId="77777777" w:rsidTr="006B3143">
        <w:trPr>
          <w:cantSplit/>
        </w:trPr>
        <w:tc>
          <w:tcPr>
            <w:tcW w:w="2020" w:type="dxa"/>
            <w:vMerge/>
            <w:tcBorders>
              <w:bottom w:val="single" w:sz="4" w:space="0" w:color="C2D9BA"/>
            </w:tcBorders>
            <w:shd w:val="clear" w:color="auto" w:fill="auto"/>
          </w:tcPr>
          <w:p w14:paraId="7EB028FB" w14:textId="77777777" w:rsidR="006B3143" w:rsidRPr="0074040F" w:rsidRDefault="006B3143" w:rsidP="00290AF3">
            <w:pPr>
              <w:pStyle w:val="TableText"/>
            </w:pPr>
          </w:p>
        </w:tc>
        <w:tc>
          <w:tcPr>
            <w:tcW w:w="1524" w:type="dxa"/>
            <w:tcBorders>
              <w:top w:val="single" w:sz="4" w:space="0" w:color="C2D9BA"/>
              <w:bottom w:val="single" w:sz="4" w:space="0" w:color="C2D9BA"/>
            </w:tcBorders>
            <w:shd w:val="clear" w:color="auto" w:fill="auto"/>
          </w:tcPr>
          <w:p w14:paraId="472112F4" w14:textId="77777777" w:rsidR="006B3143" w:rsidRDefault="006B3143" w:rsidP="001E7335">
            <w:pPr>
              <w:pStyle w:val="TableText"/>
            </w:pPr>
            <w:r>
              <w:t>Pembrolizumab</w:t>
            </w:r>
          </w:p>
        </w:tc>
        <w:tc>
          <w:tcPr>
            <w:tcW w:w="425" w:type="dxa"/>
            <w:tcBorders>
              <w:top w:val="single" w:sz="4" w:space="0" w:color="C2D9BA"/>
              <w:bottom w:val="single" w:sz="4" w:space="0" w:color="C2D9BA"/>
            </w:tcBorders>
            <w:shd w:val="clear" w:color="auto" w:fill="auto"/>
          </w:tcPr>
          <w:p w14:paraId="5AE0F886" w14:textId="77777777" w:rsidR="006B3143" w:rsidRDefault="006B3143" w:rsidP="001E7335">
            <w:pPr>
              <w:pStyle w:val="TableText"/>
            </w:pPr>
            <w:r>
              <w:t>A</w:t>
            </w:r>
          </w:p>
        </w:tc>
        <w:tc>
          <w:tcPr>
            <w:tcW w:w="4111" w:type="dxa"/>
            <w:tcBorders>
              <w:top w:val="single" w:sz="4" w:space="0" w:color="C2D9BA"/>
              <w:bottom w:val="single" w:sz="4" w:space="0" w:color="C2D9BA"/>
            </w:tcBorders>
            <w:shd w:val="clear" w:color="auto" w:fill="auto"/>
          </w:tcPr>
          <w:p w14:paraId="03AB1D60" w14:textId="77777777" w:rsidR="006B3143" w:rsidRDefault="006B3143" w:rsidP="001E7335">
            <w:pPr>
              <w:pStyle w:val="TableText"/>
            </w:pPr>
            <w:r>
              <w:t>Compared with placebo:</w:t>
            </w:r>
          </w:p>
          <w:p w14:paraId="5692A68B" w14:textId="77777777" w:rsidR="006B3143" w:rsidRDefault="006B3143" w:rsidP="001E7335">
            <w:pPr>
              <w:pStyle w:val="TableText"/>
            </w:pPr>
            <w:r>
              <w:t>Overall survival did not contribute to the score.</w:t>
            </w:r>
          </w:p>
          <w:p w14:paraId="530C04F3" w14:textId="77777777" w:rsidR="006B3143" w:rsidRDefault="006B3143" w:rsidP="001E7335">
            <w:pPr>
              <w:pStyle w:val="TableText"/>
            </w:pPr>
            <w:r>
              <w:t>Gain in median relapse-free survival at one year of 14.4%.</w:t>
            </w:r>
          </w:p>
          <w:p w14:paraId="0F26D20B" w14:textId="77777777" w:rsidR="006B3143" w:rsidRDefault="006B3143" w:rsidP="001E7335">
            <w:pPr>
              <w:pStyle w:val="TableText"/>
            </w:pPr>
            <w:r>
              <w:t>Quality-of-life results did not contribute to the score.</w:t>
            </w:r>
          </w:p>
          <w:p w14:paraId="5F54BBD2" w14:textId="77777777" w:rsidR="006B3143" w:rsidRDefault="006B3143" w:rsidP="001E7335">
            <w:pPr>
              <w:pStyle w:val="TableText"/>
            </w:pPr>
            <w:r>
              <w:t>A higher rate of acute and persisting adverse effects was noted, but this did not contribute to the score.</w:t>
            </w:r>
          </w:p>
          <w:p w14:paraId="50B66099" w14:textId="77777777" w:rsidR="006B3143" w:rsidRDefault="0056499C" w:rsidP="001E7335">
            <w:pPr>
              <w:pStyle w:val="TableText"/>
            </w:pPr>
            <w:hyperlink r:id="rId118" w:history="1">
              <w:r w:rsidR="006B3143" w:rsidRPr="005E48E7">
                <w:rPr>
                  <w:rStyle w:val="Hyperlink"/>
                  <w:rFonts w:eastAsia="MS Gothic"/>
                </w:rPr>
                <w:t>www.esmo.org/guidelines/esmo-mcbs/esmo-mcbs-scorecards/scorecard-173-1</w:t>
              </w:r>
            </w:hyperlink>
          </w:p>
        </w:tc>
      </w:tr>
      <w:tr w:rsidR="006B3143" w14:paraId="49678B19" w14:textId="77777777" w:rsidTr="00290AF3">
        <w:trPr>
          <w:cantSplit/>
        </w:trPr>
        <w:tc>
          <w:tcPr>
            <w:tcW w:w="2020" w:type="dxa"/>
            <w:tcBorders>
              <w:top w:val="single" w:sz="4" w:space="0" w:color="C2D9BA"/>
              <w:bottom w:val="single" w:sz="4" w:space="0" w:color="C2D9BA"/>
            </w:tcBorders>
            <w:shd w:val="clear" w:color="auto" w:fill="auto"/>
          </w:tcPr>
          <w:p w14:paraId="6B27C6DC" w14:textId="77777777" w:rsidR="006B3143" w:rsidRPr="0038658B" w:rsidRDefault="006B3143" w:rsidP="00290AF3">
            <w:pPr>
              <w:pStyle w:val="TableText"/>
              <w:ind w:right="113"/>
              <w:rPr>
                <w:b/>
              </w:rPr>
            </w:pPr>
            <w:r w:rsidRPr="0038658B">
              <w:rPr>
                <w:b/>
              </w:rPr>
              <w:lastRenderedPageBreak/>
              <w:t>Current clinical practice in Aotearoa and how this would change if the gap were filled</w:t>
            </w:r>
          </w:p>
        </w:tc>
        <w:tc>
          <w:tcPr>
            <w:tcW w:w="6060" w:type="dxa"/>
            <w:gridSpan w:val="3"/>
            <w:tcBorders>
              <w:top w:val="single" w:sz="4" w:space="0" w:color="C2D9BA"/>
              <w:bottom w:val="single" w:sz="4" w:space="0" w:color="C2D9BA"/>
            </w:tcBorders>
            <w:shd w:val="clear" w:color="auto" w:fill="auto"/>
          </w:tcPr>
          <w:p w14:paraId="7004DE7B" w14:textId="77777777" w:rsidR="006B3143" w:rsidRDefault="006B3143" w:rsidP="001E7335">
            <w:pPr>
              <w:pStyle w:val="TableText"/>
            </w:pPr>
            <w:r w:rsidRPr="001043A2">
              <w:t>In Aotearoa</w:t>
            </w:r>
            <w:r>
              <w:t>,</w:t>
            </w:r>
            <w:r w:rsidRPr="001043A2">
              <w:t xml:space="preserve"> the current </w:t>
            </w:r>
            <w:r>
              <w:t xml:space="preserve">approach for </w:t>
            </w:r>
            <w:r w:rsidRPr="001043A2">
              <w:t xml:space="preserve">these patients is </w:t>
            </w:r>
            <w:r>
              <w:t>to ‘watch and wait’ after surgery.</w:t>
            </w:r>
            <w:r w:rsidRPr="009D213E">
              <w:t xml:space="preserve"> </w:t>
            </w:r>
            <w:r>
              <w:t>This means that</w:t>
            </w:r>
            <w:r w:rsidRPr="009D213E">
              <w:t xml:space="preserve"> patients do not receive any </w:t>
            </w:r>
            <w:r>
              <w:t>adjuvant</w:t>
            </w:r>
            <w:r w:rsidRPr="009D213E">
              <w:t xml:space="preserve"> treatment and are </w:t>
            </w:r>
            <w:r>
              <w:t>followed closely</w:t>
            </w:r>
            <w:r w:rsidRPr="009D213E">
              <w:t xml:space="preserve"> to detect tumour recurrence</w:t>
            </w:r>
            <w:r>
              <w:t>.</w:t>
            </w:r>
          </w:p>
          <w:p w14:paraId="05D7F891" w14:textId="77777777" w:rsidR="006B3143" w:rsidRDefault="006B3143" w:rsidP="006B3143">
            <w:pPr>
              <w:pStyle w:val="TableText"/>
            </w:pPr>
            <w:r w:rsidRPr="001043A2">
              <w:t xml:space="preserve">If </w:t>
            </w:r>
            <w:r>
              <w:t>nivolumab or pembrolizumab</w:t>
            </w:r>
            <w:r w:rsidRPr="001043A2">
              <w:t xml:space="preserve"> were funded for this indication</w:t>
            </w:r>
            <w:r>
              <w:t>,</w:t>
            </w:r>
            <w:r w:rsidRPr="001043A2">
              <w:t xml:space="preserve"> </w:t>
            </w:r>
            <w:r>
              <w:t>either would become an active consolidation treatment to enhance the efficacy of surgical removal of the cancer.</w:t>
            </w:r>
          </w:p>
        </w:tc>
      </w:tr>
      <w:tr w:rsidR="006B3143" w14:paraId="65D2FFBE" w14:textId="77777777" w:rsidTr="00290AF3">
        <w:trPr>
          <w:cantSplit/>
        </w:trPr>
        <w:tc>
          <w:tcPr>
            <w:tcW w:w="2020" w:type="dxa"/>
            <w:tcBorders>
              <w:top w:val="single" w:sz="4" w:space="0" w:color="C2D9BA"/>
              <w:bottom w:val="single" w:sz="4" w:space="0" w:color="C2D9BA"/>
            </w:tcBorders>
            <w:shd w:val="clear" w:color="auto" w:fill="auto"/>
          </w:tcPr>
          <w:p w14:paraId="24500F4E" w14:textId="77777777" w:rsidR="006B3143" w:rsidRPr="0038658B" w:rsidRDefault="006B3143" w:rsidP="00290AF3">
            <w:pPr>
              <w:pStyle w:val="TableText"/>
              <w:ind w:right="113"/>
              <w:rPr>
                <w:b/>
              </w:rPr>
            </w:pPr>
            <w:r w:rsidRPr="0038658B">
              <w:rPr>
                <w:b/>
              </w:rPr>
              <w:t>Pharmac estimate of eligible population size</w:t>
            </w:r>
          </w:p>
        </w:tc>
        <w:tc>
          <w:tcPr>
            <w:tcW w:w="6060" w:type="dxa"/>
            <w:gridSpan w:val="3"/>
            <w:tcBorders>
              <w:top w:val="single" w:sz="4" w:space="0" w:color="C2D9BA"/>
              <w:bottom w:val="single" w:sz="4" w:space="0" w:color="C2D9BA"/>
            </w:tcBorders>
            <w:shd w:val="clear" w:color="auto" w:fill="auto"/>
          </w:tcPr>
          <w:p w14:paraId="2E67F948" w14:textId="77777777" w:rsidR="006B3143" w:rsidRDefault="006B3143" w:rsidP="00CE5715">
            <w:pPr>
              <w:pStyle w:val="TableText"/>
            </w:pPr>
            <w:r w:rsidRPr="00C74966">
              <w:t>Size of eligible population is difficult to estimate because of data limitations (</w:t>
            </w:r>
            <w:r>
              <w:t>CaTSoP 2020</w:t>
            </w:r>
            <w:r w:rsidRPr="00C74966">
              <w:t xml:space="preserve">). </w:t>
            </w:r>
            <w:r>
              <w:t xml:space="preserve">A Pharmac estimate of the eligible population size was not readily available at time of publication. The population size was not able to be estimated by other means. For reference purposes only, about 4 percent of melanoma patients are diagnosed with melanoma that has spread to regional lymph nodes (an approximation for stage III disease). This would equate to 96 people [0.04*2400=96]. This does not include any estimate of surgical resectability, however. See </w:t>
            </w:r>
            <w:r w:rsidRPr="00CE5715">
              <w:t>‘</w:t>
            </w:r>
            <w:hyperlink w:anchor="Epidemiology" w:history="1">
              <w:r w:rsidR="00CE5715" w:rsidRPr="00CE5715">
                <w:rPr>
                  <w:rStyle w:val="Hyperlink"/>
                </w:rPr>
                <w:t>Epidemiology of melanoma skin cancers</w:t>
              </w:r>
            </w:hyperlink>
            <w:r w:rsidRPr="00CE5715">
              <w:t>’ section</w:t>
            </w:r>
            <w:r>
              <w:t xml:space="preserve"> below.</w:t>
            </w:r>
          </w:p>
        </w:tc>
      </w:tr>
      <w:tr w:rsidR="006B3143" w14:paraId="15D949C3" w14:textId="77777777" w:rsidTr="00290AF3">
        <w:trPr>
          <w:cantSplit/>
        </w:trPr>
        <w:tc>
          <w:tcPr>
            <w:tcW w:w="2020" w:type="dxa"/>
            <w:tcBorders>
              <w:top w:val="single" w:sz="4" w:space="0" w:color="C2D9BA"/>
              <w:bottom w:val="single" w:sz="4" w:space="0" w:color="C2D9BA"/>
            </w:tcBorders>
            <w:shd w:val="clear" w:color="auto" w:fill="auto"/>
          </w:tcPr>
          <w:p w14:paraId="6AAA0BE4" w14:textId="77777777" w:rsidR="006B3143" w:rsidRPr="0038658B" w:rsidRDefault="006B3143" w:rsidP="006B3143">
            <w:pPr>
              <w:pStyle w:val="TableText"/>
              <w:ind w:right="113"/>
              <w:rPr>
                <w:b/>
              </w:rPr>
            </w:pPr>
            <w:r>
              <w:rPr>
                <w:b/>
              </w:rPr>
              <w:t>How thi</w:t>
            </w:r>
            <w:r w:rsidRPr="0038658B">
              <w:rPr>
                <w:b/>
              </w:rPr>
              <w:t>s</w:t>
            </w:r>
            <w:r>
              <w:rPr>
                <w:b/>
              </w:rPr>
              <w:t xml:space="preserve"> medicine </w:t>
            </w:r>
            <w:r w:rsidRPr="0038658B">
              <w:rPr>
                <w:b/>
              </w:rPr>
              <w:t>would be given</w:t>
            </w:r>
          </w:p>
        </w:tc>
        <w:tc>
          <w:tcPr>
            <w:tcW w:w="6060" w:type="dxa"/>
            <w:gridSpan w:val="3"/>
            <w:tcBorders>
              <w:top w:val="single" w:sz="4" w:space="0" w:color="C2D9BA"/>
              <w:bottom w:val="single" w:sz="4" w:space="0" w:color="C2D9BA"/>
            </w:tcBorders>
            <w:shd w:val="clear" w:color="auto" w:fill="auto"/>
          </w:tcPr>
          <w:p w14:paraId="18970AF0" w14:textId="77777777" w:rsidR="006B3143" w:rsidRDefault="006B3143" w:rsidP="001E7335">
            <w:pPr>
              <w:pStyle w:val="TableText"/>
            </w:pPr>
            <w:r>
              <w:t>These medicines are given by infusion.</w:t>
            </w:r>
          </w:p>
          <w:p w14:paraId="758B5C3F" w14:textId="77777777" w:rsidR="006B3143" w:rsidRDefault="006B3143" w:rsidP="001E7335">
            <w:pPr>
              <w:pStyle w:val="TableText"/>
            </w:pPr>
            <w:r>
              <w:t>Nivolumab would be given every two or four weeks for about one year or until disease progression (or unacceptable toxicity).</w:t>
            </w:r>
          </w:p>
          <w:p w14:paraId="7E5ECC87" w14:textId="77777777" w:rsidR="006B3143" w:rsidRDefault="006B3143" w:rsidP="001E7335">
            <w:pPr>
              <w:pStyle w:val="TableText"/>
            </w:pPr>
            <w:r>
              <w:t>Pembrolizumab would be given every three or six weeks for about one year or until disease progression (or unacceptable toxicity).</w:t>
            </w:r>
          </w:p>
        </w:tc>
      </w:tr>
      <w:tr w:rsidR="006B3143" w14:paraId="1E2FCA8A" w14:textId="77777777" w:rsidTr="00290AF3">
        <w:trPr>
          <w:cantSplit/>
        </w:trPr>
        <w:tc>
          <w:tcPr>
            <w:tcW w:w="2020" w:type="dxa"/>
            <w:tcBorders>
              <w:top w:val="single" w:sz="4" w:space="0" w:color="C2D9BA"/>
              <w:bottom w:val="single" w:sz="4" w:space="0" w:color="C2D9BA"/>
            </w:tcBorders>
            <w:shd w:val="clear" w:color="auto" w:fill="auto"/>
          </w:tcPr>
          <w:p w14:paraId="4BEF74E9" w14:textId="77777777" w:rsidR="006B3143" w:rsidRPr="0038658B" w:rsidRDefault="006B3143" w:rsidP="00290AF3">
            <w:pPr>
              <w:pStyle w:val="TableText"/>
              <w:ind w:right="113"/>
              <w:rPr>
                <w:b/>
              </w:rPr>
            </w:pPr>
            <w:r w:rsidRPr="0038658B">
              <w:rPr>
                <w:b/>
              </w:rPr>
              <w:t>Patient and whānau considerations</w:t>
            </w:r>
          </w:p>
        </w:tc>
        <w:tc>
          <w:tcPr>
            <w:tcW w:w="6060" w:type="dxa"/>
            <w:gridSpan w:val="3"/>
            <w:tcBorders>
              <w:top w:val="single" w:sz="4" w:space="0" w:color="C2D9BA"/>
              <w:bottom w:val="single" w:sz="4" w:space="0" w:color="C2D9BA"/>
            </w:tcBorders>
            <w:shd w:val="clear" w:color="auto" w:fill="auto"/>
          </w:tcPr>
          <w:p w14:paraId="3C64FBE4" w14:textId="77777777" w:rsidR="006B3143" w:rsidRDefault="006B3143" w:rsidP="001E7335">
            <w:pPr>
              <w:pStyle w:val="TableText"/>
            </w:pPr>
            <w:r>
              <w:t>This treatment would become an active adjuvant treatment option for these patients, with the potential clinical benefit described above.</w:t>
            </w:r>
          </w:p>
          <w:p w14:paraId="09202D3A" w14:textId="77777777" w:rsidR="006B3143" w:rsidRDefault="006B3143" w:rsidP="001E7335">
            <w:pPr>
              <w:pStyle w:val="TableText"/>
            </w:pPr>
            <w:r>
              <w:t>Compared with the current approach (‘watch and wait’), there would generally be more treatment appointments to attend. These treatments would be administered in the outpatient infusion centre, so patients would need to travel, but there would be no prescription charge. There may be other medicines needed to manage side effects that may have a prescription charge. There would be more side effects expected when compared to the current approach of no active treatment. There are some particular side effects associated with immune checkpoint inhibitors that are quite different to the side effects of chemotherapy. These can develop long after treatment has stopped and may require specialised management.</w:t>
            </w:r>
          </w:p>
          <w:p w14:paraId="3273C3EB" w14:textId="77777777" w:rsidR="006B3143" w:rsidRDefault="006B3143" w:rsidP="006B3143">
            <w:pPr>
              <w:pStyle w:val="TableText"/>
            </w:pPr>
            <w:r>
              <w:t>Treatment would continue for a maximum of one year, or until there is progression of the disease (or intolerable side effects).</w:t>
            </w:r>
          </w:p>
        </w:tc>
      </w:tr>
      <w:tr w:rsidR="006B3143" w14:paraId="14CD1B30" w14:textId="77777777" w:rsidTr="00290AF3">
        <w:trPr>
          <w:cantSplit/>
        </w:trPr>
        <w:tc>
          <w:tcPr>
            <w:tcW w:w="2020" w:type="dxa"/>
            <w:tcBorders>
              <w:top w:val="single" w:sz="4" w:space="0" w:color="C2D9BA"/>
              <w:bottom w:val="single" w:sz="4" w:space="0" w:color="C2D9BA"/>
            </w:tcBorders>
            <w:shd w:val="clear" w:color="auto" w:fill="auto"/>
          </w:tcPr>
          <w:p w14:paraId="2A79E481" w14:textId="77777777" w:rsidR="006B3143" w:rsidRPr="0038658B" w:rsidRDefault="006B3143" w:rsidP="00290AF3">
            <w:pPr>
              <w:pStyle w:val="TableText"/>
              <w:ind w:right="113"/>
              <w:rPr>
                <w:b/>
              </w:rPr>
            </w:pPr>
            <w:r w:rsidRPr="0038658B">
              <w:rPr>
                <w:b/>
              </w:rPr>
              <w:t>Health system resource considerations</w:t>
            </w:r>
          </w:p>
        </w:tc>
        <w:tc>
          <w:tcPr>
            <w:tcW w:w="6060" w:type="dxa"/>
            <w:gridSpan w:val="3"/>
            <w:tcBorders>
              <w:top w:val="single" w:sz="4" w:space="0" w:color="C2D9BA"/>
              <w:bottom w:val="single" w:sz="4" w:space="0" w:color="C2D9BA"/>
            </w:tcBorders>
            <w:shd w:val="clear" w:color="auto" w:fill="auto"/>
          </w:tcPr>
          <w:p w14:paraId="213FF092" w14:textId="77777777" w:rsidR="006B3143" w:rsidRDefault="006B3143" w:rsidP="006B3143">
            <w:pPr>
              <w:pStyle w:val="TableText"/>
            </w:pPr>
            <w:r w:rsidRPr="00614693">
              <w:t xml:space="preserve">Additional </w:t>
            </w:r>
            <w:r>
              <w:t>treatment appointments required.</w:t>
            </w:r>
          </w:p>
          <w:p w14:paraId="2CFCE45C" w14:textId="77777777" w:rsidR="006B3143" w:rsidRDefault="006B3143" w:rsidP="006B3143">
            <w:pPr>
              <w:pStyle w:val="TableText"/>
            </w:pPr>
            <w:r>
              <w:t xml:space="preserve">Additional </w:t>
            </w:r>
            <w:r w:rsidRPr="00614693">
              <w:t>follow-up appointments required</w:t>
            </w:r>
            <w:r>
              <w:t>.</w:t>
            </w:r>
          </w:p>
          <w:p w14:paraId="7CD176A8" w14:textId="77777777" w:rsidR="006B3143" w:rsidRDefault="006B3143" w:rsidP="006B3143">
            <w:pPr>
              <w:pStyle w:val="TableText"/>
            </w:pPr>
            <w:r w:rsidRPr="00614693">
              <w:t xml:space="preserve">Additional chair time </w:t>
            </w:r>
            <w:r>
              <w:t>for administration of treatment required.</w:t>
            </w:r>
          </w:p>
          <w:p w14:paraId="0AC2180D" w14:textId="77777777" w:rsidR="006B3143" w:rsidRDefault="006B3143" w:rsidP="006B3143">
            <w:pPr>
              <w:pStyle w:val="TableText"/>
            </w:pPr>
            <w:r w:rsidRPr="00614693">
              <w:t>Increased demand for laboratory</w:t>
            </w:r>
            <w:r>
              <w:t xml:space="preserve"> and pathology services to monitor for treatment toxicities.</w:t>
            </w:r>
          </w:p>
          <w:p w14:paraId="53215881" w14:textId="77777777" w:rsidR="006B3143" w:rsidRDefault="006B3143" w:rsidP="006B3143">
            <w:pPr>
              <w:pStyle w:val="TableText"/>
            </w:pPr>
            <w:r>
              <w:t xml:space="preserve">Increased demand for </w:t>
            </w:r>
            <w:r w:rsidRPr="00614693">
              <w:t xml:space="preserve">radiology </w:t>
            </w:r>
            <w:r>
              <w:t xml:space="preserve">services </w:t>
            </w:r>
            <w:r w:rsidRPr="00614693">
              <w:t xml:space="preserve">to assess for disease </w:t>
            </w:r>
            <w:r>
              <w:t>recurrence</w:t>
            </w:r>
            <w:r w:rsidRPr="00614693">
              <w:t xml:space="preserve"> (subject to any funding criteria).</w:t>
            </w:r>
          </w:p>
          <w:p w14:paraId="414D2607" w14:textId="77777777" w:rsidR="006B3143" w:rsidRDefault="006B3143" w:rsidP="006B3143">
            <w:pPr>
              <w:pStyle w:val="TableText"/>
            </w:pPr>
            <w:r>
              <w:t>Potential for increased demand for supportive care and toxicity management (including health care professionals’ time and pharmaceuticals).</w:t>
            </w:r>
          </w:p>
          <w:p w14:paraId="47B8BA3A" w14:textId="77777777" w:rsidR="006B3143" w:rsidRDefault="006B3143" w:rsidP="006B3143">
            <w:pPr>
              <w:pStyle w:val="TableText"/>
            </w:pPr>
            <w:r>
              <w:t>Potential for reduced demand for immunotherapy in the stage IV setting (where the duration of treatment would generally be longer) may offset some of the resource requirements described above.</w:t>
            </w:r>
          </w:p>
        </w:tc>
      </w:tr>
    </w:tbl>
    <w:p w14:paraId="1B98CB4B" w14:textId="77777777" w:rsidR="0038658B" w:rsidRPr="0038658B" w:rsidRDefault="0038658B" w:rsidP="0038658B"/>
    <w:p w14:paraId="4FBBC154" w14:textId="77777777" w:rsidR="006D7F10" w:rsidRDefault="006D7F10" w:rsidP="00EC2914">
      <w:pPr>
        <w:pStyle w:val="Table"/>
      </w:pPr>
      <w:bookmarkStart w:id="436" w:name="_Toc101365634"/>
      <w:bookmarkStart w:id="437" w:name="Appendix_7_Table_7point18"/>
      <w:bookmarkEnd w:id="435"/>
      <w:r>
        <w:lastRenderedPageBreak/>
        <w:t>Table</w:t>
      </w:r>
      <w:r w:rsidR="00EC2914">
        <w:t> </w:t>
      </w:r>
      <w:r>
        <w:t>7.18: Dabrafenib with trametinib for melanoma (adjuvant)</w:t>
      </w:r>
      <w:bookmarkEnd w:id="43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1E7335" w14:paraId="0EA8D1DE" w14:textId="77777777" w:rsidTr="00290AF3">
        <w:trPr>
          <w:cantSplit/>
        </w:trPr>
        <w:tc>
          <w:tcPr>
            <w:tcW w:w="2020" w:type="dxa"/>
            <w:tcBorders>
              <w:top w:val="nil"/>
              <w:bottom w:val="nil"/>
            </w:tcBorders>
            <w:shd w:val="clear" w:color="auto" w:fill="C2D9BA"/>
          </w:tcPr>
          <w:p w14:paraId="70F49F7C" w14:textId="77777777" w:rsidR="001E7335" w:rsidRPr="00181CD3" w:rsidRDefault="001E7335" w:rsidP="002F136F">
            <w:pPr>
              <w:pStyle w:val="TableText"/>
              <w:keepNext/>
              <w:ind w:right="113"/>
              <w:rPr>
                <w:b/>
              </w:rPr>
            </w:pPr>
            <w:r w:rsidRPr="00181CD3">
              <w:rPr>
                <w:b/>
              </w:rPr>
              <w:t>Indication description</w:t>
            </w:r>
          </w:p>
        </w:tc>
        <w:tc>
          <w:tcPr>
            <w:tcW w:w="6060" w:type="dxa"/>
            <w:gridSpan w:val="2"/>
            <w:tcBorders>
              <w:top w:val="nil"/>
              <w:bottom w:val="nil"/>
            </w:tcBorders>
            <w:shd w:val="clear" w:color="auto" w:fill="C2D9BA"/>
          </w:tcPr>
          <w:p w14:paraId="73974E6E" w14:textId="77777777" w:rsidR="001E7335" w:rsidRDefault="001E7335" w:rsidP="001E7335">
            <w:pPr>
              <w:pStyle w:val="TableText"/>
            </w:pPr>
            <w:r w:rsidRPr="00C74966">
              <w:t xml:space="preserve">Melanoma, stage III, </w:t>
            </w:r>
            <w:r>
              <w:t xml:space="preserve">BRAF+ve V600, </w:t>
            </w:r>
            <w:r w:rsidRPr="00C74966">
              <w:t>adjuvant</w:t>
            </w:r>
            <w:r>
              <w:t xml:space="preserve"> therapy after surgery (complete resection)</w:t>
            </w:r>
          </w:p>
        </w:tc>
      </w:tr>
      <w:tr w:rsidR="001E7335" w14:paraId="155D4FA7" w14:textId="77777777" w:rsidTr="00290AF3">
        <w:trPr>
          <w:cantSplit/>
        </w:trPr>
        <w:tc>
          <w:tcPr>
            <w:tcW w:w="2020" w:type="dxa"/>
            <w:tcBorders>
              <w:top w:val="single" w:sz="4" w:space="0" w:color="C2D9BA"/>
              <w:bottom w:val="single" w:sz="4" w:space="0" w:color="C2D9BA"/>
            </w:tcBorders>
            <w:shd w:val="clear" w:color="auto" w:fill="E7F0E3"/>
          </w:tcPr>
          <w:p w14:paraId="7D87E785" w14:textId="77777777" w:rsidR="001E7335" w:rsidRPr="00181CD3" w:rsidRDefault="001E7335" w:rsidP="002F136F">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61C9CA28" w14:textId="77777777" w:rsidR="001E7335" w:rsidRDefault="001E7335" w:rsidP="001E7335">
            <w:pPr>
              <w:pStyle w:val="TableText"/>
            </w:pPr>
            <w:r>
              <w:t>Dabrafenib with trametinib</w:t>
            </w:r>
          </w:p>
        </w:tc>
      </w:tr>
      <w:tr w:rsidR="001E7335" w14:paraId="51BC1C0D" w14:textId="77777777" w:rsidTr="00290AF3">
        <w:trPr>
          <w:cantSplit/>
        </w:trPr>
        <w:tc>
          <w:tcPr>
            <w:tcW w:w="2020" w:type="dxa"/>
            <w:tcBorders>
              <w:top w:val="single" w:sz="4" w:space="0" w:color="C2D9BA"/>
              <w:bottom w:val="single" w:sz="4" w:space="0" w:color="C2D9BA"/>
            </w:tcBorders>
            <w:shd w:val="clear" w:color="auto" w:fill="auto"/>
          </w:tcPr>
          <w:p w14:paraId="37C57B75" w14:textId="77777777" w:rsidR="001E7335" w:rsidRPr="00181CD3" w:rsidRDefault="001E7335"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2E1DFD6A" w14:textId="77777777" w:rsidR="001E7335" w:rsidRDefault="001E7335" w:rsidP="001E7335">
            <w:pPr>
              <w:pStyle w:val="TableText"/>
            </w:pPr>
            <w:r>
              <w:t xml:space="preserve">Dabrafenib: targeted treatment </w:t>
            </w:r>
            <w:r w:rsidRPr="00961B27">
              <w:t>(</w:t>
            </w:r>
            <w:r>
              <w:t>small molecule</w:t>
            </w:r>
            <w:r w:rsidRPr="00961B27">
              <w:t xml:space="preserve"> targeting </w:t>
            </w:r>
            <w:r>
              <w:t>BRAF</w:t>
            </w:r>
            <w:r w:rsidRPr="00961B27">
              <w:t xml:space="preserve"> protein)</w:t>
            </w:r>
          </w:p>
          <w:p w14:paraId="4F8F910A" w14:textId="77777777" w:rsidR="001E7335" w:rsidRDefault="001E7335" w:rsidP="001E7335">
            <w:pPr>
              <w:pStyle w:val="TableText"/>
            </w:pPr>
            <w:r>
              <w:t xml:space="preserve">Trametinib: targeted treatment </w:t>
            </w:r>
            <w:r w:rsidRPr="00961B27">
              <w:t>(</w:t>
            </w:r>
            <w:r>
              <w:t>small molecule</w:t>
            </w:r>
            <w:r w:rsidRPr="00961B27">
              <w:t xml:space="preserve"> targeting </w:t>
            </w:r>
            <w:r>
              <w:t>MEK</w:t>
            </w:r>
            <w:r w:rsidRPr="00961B27">
              <w:t xml:space="preserve"> protein)</w:t>
            </w:r>
          </w:p>
        </w:tc>
      </w:tr>
      <w:tr w:rsidR="001E7335" w14:paraId="0B7D1E5D" w14:textId="77777777" w:rsidTr="00290AF3">
        <w:trPr>
          <w:cantSplit/>
        </w:trPr>
        <w:tc>
          <w:tcPr>
            <w:tcW w:w="2020" w:type="dxa"/>
            <w:tcBorders>
              <w:top w:val="single" w:sz="4" w:space="0" w:color="C2D9BA"/>
              <w:bottom w:val="single" w:sz="4" w:space="0" w:color="C2D9BA"/>
            </w:tcBorders>
            <w:shd w:val="clear" w:color="auto" w:fill="auto"/>
          </w:tcPr>
          <w:p w14:paraId="388CFC62" w14:textId="77777777" w:rsidR="001E7335" w:rsidRPr="00181CD3" w:rsidRDefault="001E7335"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13BB1764" w14:textId="77777777" w:rsidR="001E7335" w:rsidRDefault="001E7335" w:rsidP="001E7335">
            <w:pPr>
              <w:pStyle w:val="TableText"/>
            </w:pPr>
            <w:r>
              <w:t>Curative</w:t>
            </w:r>
          </w:p>
        </w:tc>
      </w:tr>
      <w:tr w:rsidR="001E7335" w14:paraId="2CA7268C" w14:textId="77777777" w:rsidTr="001E7335">
        <w:trPr>
          <w:cantSplit/>
        </w:trPr>
        <w:tc>
          <w:tcPr>
            <w:tcW w:w="2020" w:type="dxa"/>
            <w:tcBorders>
              <w:top w:val="single" w:sz="4" w:space="0" w:color="C2D9BA"/>
              <w:bottom w:val="single" w:sz="4" w:space="0" w:color="C2D9BA"/>
            </w:tcBorders>
            <w:shd w:val="clear" w:color="auto" w:fill="auto"/>
          </w:tcPr>
          <w:p w14:paraId="5A0290C1" w14:textId="77777777" w:rsidR="001E7335" w:rsidRPr="00181CD3" w:rsidRDefault="001E7335"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2F781415" w14:textId="77777777" w:rsidR="001E7335" w:rsidRDefault="001E7335" w:rsidP="001E7335">
            <w:pPr>
              <w:pStyle w:val="TableText"/>
            </w:pPr>
            <w:r>
              <w:t>No application received</w:t>
            </w:r>
          </w:p>
        </w:tc>
      </w:tr>
      <w:tr w:rsidR="001E7335" w14:paraId="729736C2" w14:textId="77777777" w:rsidTr="001E7335">
        <w:trPr>
          <w:cantSplit/>
        </w:trPr>
        <w:tc>
          <w:tcPr>
            <w:tcW w:w="2020" w:type="dxa"/>
            <w:tcBorders>
              <w:top w:val="single" w:sz="4" w:space="0" w:color="C2D9BA"/>
              <w:bottom w:val="single" w:sz="4" w:space="0" w:color="C2D9BA"/>
            </w:tcBorders>
            <w:shd w:val="clear" w:color="auto" w:fill="auto"/>
          </w:tcPr>
          <w:p w14:paraId="237E9630" w14:textId="77777777" w:rsidR="001E7335" w:rsidRPr="0038658B" w:rsidRDefault="001E7335"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4A54744C" w14:textId="77777777" w:rsidR="001E7335" w:rsidRDefault="001E7335" w:rsidP="001E7335">
            <w:pPr>
              <w:pStyle w:val="TableText"/>
            </w:pPr>
            <w:r>
              <w:t>A</w:t>
            </w:r>
          </w:p>
        </w:tc>
        <w:tc>
          <w:tcPr>
            <w:tcW w:w="5528" w:type="dxa"/>
            <w:tcBorders>
              <w:top w:val="single" w:sz="4" w:space="0" w:color="C2D9BA"/>
              <w:bottom w:val="single" w:sz="4" w:space="0" w:color="C2D9BA"/>
            </w:tcBorders>
            <w:shd w:val="clear" w:color="auto" w:fill="auto"/>
          </w:tcPr>
          <w:p w14:paraId="24FE5EAE" w14:textId="77777777" w:rsidR="001E7335" w:rsidRDefault="001E7335" w:rsidP="001E7335">
            <w:pPr>
              <w:pStyle w:val="TableText"/>
            </w:pPr>
            <w:r>
              <w:t>Compared with placebo:</w:t>
            </w:r>
          </w:p>
          <w:p w14:paraId="4D82EF3C" w14:textId="77777777" w:rsidR="001E7335" w:rsidRDefault="001E7335" w:rsidP="001E7335">
            <w:pPr>
              <w:pStyle w:val="TableText"/>
            </w:pPr>
            <w:r>
              <w:t>Overall survival did not contribute to the score.</w:t>
            </w:r>
          </w:p>
          <w:p w14:paraId="3320A937" w14:textId="77777777" w:rsidR="001E7335" w:rsidRDefault="001E7335" w:rsidP="001E7335">
            <w:pPr>
              <w:pStyle w:val="TableText"/>
            </w:pPr>
            <w:r>
              <w:t>Gain in median relapse-free survival of 27.9 months with durable response (three-year relapse-free survival gain 19%)</w:t>
            </w:r>
          </w:p>
          <w:p w14:paraId="07086359" w14:textId="77777777" w:rsidR="001E7335" w:rsidRDefault="001E7335" w:rsidP="001E7335">
            <w:pPr>
              <w:pStyle w:val="TableText"/>
            </w:pPr>
            <w:r>
              <w:t>Quality of life was reported as an exploratory outcome and did not contribute to the score.</w:t>
            </w:r>
          </w:p>
          <w:p w14:paraId="67D801EE" w14:textId="77777777" w:rsidR="001E7335" w:rsidRDefault="001E7335" w:rsidP="001E7335">
            <w:pPr>
              <w:pStyle w:val="TableText"/>
            </w:pPr>
            <w:r>
              <w:t>Toxicity results did not contribute to the score.</w:t>
            </w:r>
          </w:p>
          <w:p w14:paraId="64CEF4EE" w14:textId="77777777" w:rsidR="001E7335" w:rsidRDefault="0056499C" w:rsidP="001E7335">
            <w:pPr>
              <w:pStyle w:val="TableText"/>
            </w:pPr>
            <w:hyperlink r:id="rId119" w:history="1">
              <w:r w:rsidR="001E7335" w:rsidRPr="00333377">
                <w:rPr>
                  <w:rStyle w:val="Hyperlink"/>
                  <w:rFonts w:eastAsia="MS Gothic"/>
                </w:rPr>
                <w:t>www.esmo.org/guidelines/esmo-mcbs/esmo-mcbs-scorecards/scorecard-172-1</w:t>
              </w:r>
            </w:hyperlink>
          </w:p>
        </w:tc>
      </w:tr>
      <w:tr w:rsidR="001E7335" w14:paraId="549BF8AB" w14:textId="77777777" w:rsidTr="00290AF3">
        <w:trPr>
          <w:cantSplit/>
        </w:trPr>
        <w:tc>
          <w:tcPr>
            <w:tcW w:w="2020" w:type="dxa"/>
            <w:tcBorders>
              <w:top w:val="single" w:sz="4" w:space="0" w:color="C2D9BA"/>
              <w:bottom w:val="single" w:sz="4" w:space="0" w:color="C2D9BA"/>
            </w:tcBorders>
            <w:shd w:val="clear" w:color="auto" w:fill="auto"/>
          </w:tcPr>
          <w:p w14:paraId="2E1CAAB0" w14:textId="77777777" w:rsidR="001E7335" w:rsidRPr="0038658B" w:rsidRDefault="001E7335"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1CCCDF4E" w14:textId="77777777" w:rsidR="001E7335" w:rsidRDefault="001E7335" w:rsidP="001E7335">
            <w:pPr>
              <w:pStyle w:val="TableText"/>
            </w:pPr>
            <w:r w:rsidRPr="001043A2">
              <w:t>In Aotearoa</w:t>
            </w:r>
            <w:r>
              <w:t>,</w:t>
            </w:r>
            <w:r w:rsidRPr="001043A2">
              <w:t xml:space="preserve"> the current </w:t>
            </w:r>
            <w:r>
              <w:t xml:space="preserve">approach for </w:t>
            </w:r>
            <w:r w:rsidRPr="001043A2">
              <w:t xml:space="preserve">these patients is </w:t>
            </w:r>
            <w:r>
              <w:t>to ‘watch and wait’ after surgery.</w:t>
            </w:r>
            <w:r w:rsidRPr="009D213E">
              <w:t xml:space="preserve"> </w:t>
            </w:r>
            <w:r>
              <w:t>This means that</w:t>
            </w:r>
            <w:r w:rsidRPr="009D213E">
              <w:t xml:space="preserve"> patients do not receive any </w:t>
            </w:r>
            <w:r>
              <w:t>adjuvant</w:t>
            </w:r>
            <w:r w:rsidRPr="009D213E">
              <w:t xml:space="preserve"> treatment and are </w:t>
            </w:r>
            <w:r>
              <w:t>followed closely</w:t>
            </w:r>
            <w:r w:rsidRPr="009D213E">
              <w:t xml:space="preserve"> to detect tumour recurrence</w:t>
            </w:r>
            <w:r>
              <w:t>.</w:t>
            </w:r>
          </w:p>
          <w:p w14:paraId="7A9F841B" w14:textId="77777777" w:rsidR="001E7335" w:rsidRDefault="001E7335" w:rsidP="001E7335">
            <w:pPr>
              <w:pStyle w:val="TableText"/>
            </w:pPr>
            <w:r w:rsidRPr="001043A2">
              <w:t xml:space="preserve">If </w:t>
            </w:r>
            <w:r>
              <w:t>dabrafenib and trametinib</w:t>
            </w:r>
            <w:r w:rsidRPr="001043A2">
              <w:t xml:space="preserve"> were funded for this indication</w:t>
            </w:r>
            <w:r>
              <w:t>,</w:t>
            </w:r>
            <w:r w:rsidRPr="001043A2">
              <w:t xml:space="preserve"> </w:t>
            </w:r>
            <w:r>
              <w:t>they would become an active adjuvant treatment to enhance the efficacy of surgical removal of the cancer.</w:t>
            </w:r>
          </w:p>
        </w:tc>
      </w:tr>
      <w:tr w:rsidR="001E7335" w14:paraId="2EC449AE" w14:textId="77777777" w:rsidTr="00290AF3">
        <w:trPr>
          <w:cantSplit/>
        </w:trPr>
        <w:tc>
          <w:tcPr>
            <w:tcW w:w="2020" w:type="dxa"/>
            <w:tcBorders>
              <w:top w:val="single" w:sz="4" w:space="0" w:color="C2D9BA"/>
              <w:bottom w:val="single" w:sz="4" w:space="0" w:color="C2D9BA"/>
            </w:tcBorders>
            <w:shd w:val="clear" w:color="auto" w:fill="auto"/>
          </w:tcPr>
          <w:p w14:paraId="7E9F9182" w14:textId="77777777" w:rsidR="001E7335" w:rsidRPr="0038658B" w:rsidRDefault="001E7335"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4A9E1CD1" w14:textId="77777777" w:rsidR="001E7335" w:rsidRDefault="001E7335" w:rsidP="00CE5715">
            <w:pPr>
              <w:pStyle w:val="TableText"/>
            </w:pPr>
            <w:r>
              <w:t xml:space="preserve">A Pharmac estimate of the eligible population size was not readily available at time of publication. The population size was not able to be estimated by other means. For reference purposes only, about 4 percent of melanoma patients (96 people per year) are diagnosed with melanoma that has spread to regional lymph nodes (an approximation for stage III disease). Applying a BRAF+ve V600 proportion of 33% to that would equate to about 32 people per year. This does not include any estimate of surgical resectability, however. See </w:t>
            </w:r>
            <w:hyperlink w:anchor="Appendix_7_Table_7point17" w:history="1">
              <w:r w:rsidR="00CE5715" w:rsidRPr="00CE5715">
                <w:rPr>
                  <w:rStyle w:val="Hyperlink"/>
                </w:rPr>
                <w:t>Table 7.17</w:t>
              </w:r>
            </w:hyperlink>
            <w:r>
              <w:t xml:space="preserve"> above and ‘epidemiology of melanoma skin cancers’ section below.</w:t>
            </w:r>
          </w:p>
        </w:tc>
      </w:tr>
      <w:tr w:rsidR="001E7335" w14:paraId="2A51A858" w14:textId="77777777" w:rsidTr="00290AF3">
        <w:trPr>
          <w:cantSplit/>
        </w:trPr>
        <w:tc>
          <w:tcPr>
            <w:tcW w:w="2020" w:type="dxa"/>
            <w:tcBorders>
              <w:top w:val="single" w:sz="4" w:space="0" w:color="C2D9BA"/>
              <w:bottom w:val="single" w:sz="4" w:space="0" w:color="C2D9BA"/>
            </w:tcBorders>
            <w:shd w:val="clear" w:color="auto" w:fill="auto"/>
          </w:tcPr>
          <w:p w14:paraId="3B4B6430" w14:textId="77777777" w:rsidR="001E7335" w:rsidRPr="0038658B" w:rsidRDefault="001E7335" w:rsidP="002F136F">
            <w:pPr>
              <w:pStyle w:val="TableText"/>
              <w:ind w:right="113"/>
              <w:rPr>
                <w:b/>
              </w:rPr>
            </w:pPr>
            <w:r w:rsidRPr="0038658B">
              <w:rPr>
                <w:b/>
              </w:rPr>
              <w:t>How th</w:t>
            </w:r>
            <w:r>
              <w:rPr>
                <w:b/>
              </w:rPr>
              <w:t>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564F6652" w14:textId="77777777" w:rsidR="001E7335" w:rsidRDefault="001E7335" w:rsidP="001E7335">
            <w:pPr>
              <w:pStyle w:val="TableText"/>
            </w:pPr>
            <w:r>
              <w:t>These medicines are taken orally.</w:t>
            </w:r>
          </w:p>
          <w:p w14:paraId="3F152C4F" w14:textId="77777777" w:rsidR="001E7335" w:rsidRDefault="001E7335" w:rsidP="001E7335">
            <w:pPr>
              <w:pStyle w:val="TableText"/>
            </w:pPr>
            <w:r>
              <w:t>Dabrafenib is a capsule that is generally taken twice daily – the standard dosing is two capsules taken for each dose. Trametinib is a tablet that is generally taken once a day – the standard dosing is one tablet for each dose. Treatment is continued for one year</w:t>
            </w:r>
            <w:r w:rsidRPr="009D213E">
              <w:t xml:space="preserve"> </w:t>
            </w:r>
            <w:r>
              <w:t>(</w:t>
            </w:r>
            <w:r w:rsidRPr="009D213E">
              <w:t>or</w:t>
            </w:r>
            <w:r>
              <w:t xml:space="preserve"> until</w:t>
            </w:r>
            <w:r w:rsidRPr="009D213E">
              <w:t xml:space="preserve"> </w:t>
            </w:r>
            <w:r>
              <w:t xml:space="preserve">disease recurrence or unacceptable </w:t>
            </w:r>
            <w:r w:rsidRPr="009D213E">
              <w:t>toxicity</w:t>
            </w:r>
            <w:r>
              <w:t>).</w:t>
            </w:r>
          </w:p>
        </w:tc>
      </w:tr>
      <w:tr w:rsidR="001E7335" w14:paraId="7F1B6613" w14:textId="77777777" w:rsidTr="00290AF3">
        <w:trPr>
          <w:cantSplit/>
        </w:trPr>
        <w:tc>
          <w:tcPr>
            <w:tcW w:w="2020" w:type="dxa"/>
            <w:tcBorders>
              <w:top w:val="single" w:sz="4" w:space="0" w:color="C2D9BA"/>
              <w:bottom w:val="single" w:sz="4" w:space="0" w:color="C2D9BA"/>
            </w:tcBorders>
            <w:shd w:val="clear" w:color="auto" w:fill="auto"/>
          </w:tcPr>
          <w:p w14:paraId="19B4030D" w14:textId="77777777" w:rsidR="001E7335" w:rsidRPr="0038658B" w:rsidRDefault="001E7335" w:rsidP="00290AF3">
            <w:pPr>
              <w:pStyle w:val="TableText"/>
              <w:ind w:right="113"/>
              <w:rPr>
                <w:b/>
              </w:rPr>
            </w:pPr>
            <w:r w:rsidRPr="0038658B">
              <w:rPr>
                <w:b/>
              </w:rPr>
              <w:t>Patient and whānau considerations</w:t>
            </w:r>
          </w:p>
        </w:tc>
        <w:tc>
          <w:tcPr>
            <w:tcW w:w="6060" w:type="dxa"/>
            <w:gridSpan w:val="2"/>
            <w:tcBorders>
              <w:top w:val="single" w:sz="4" w:space="0" w:color="C2D9BA"/>
              <w:bottom w:val="single" w:sz="4" w:space="0" w:color="C2D9BA"/>
            </w:tcBorders>
            <w:shd w:val="clear" w:color="auto" w:fill="auto"/>
          </w:tcPr>
          <w:p w14:paraId="29E5BD5A" w14:textId="77777777" w:rsidR="001E7335" w:rsidRDefault="001E7335" w:rsidP="001E7335">
            <w:pPr>
              <w:pStyle w:val="TableText"/>
            </w:pPr>
            <w:r>
              <w:t>This treatment would become an active adjuvant treatment option for these patients, with the potential clinical benefit described above.</w:t>
            </w:r>
          </w:p>
          <w:p w14:paraId="6D9DDEF0" w14:textId="77777777" w:rsidR="001E7335" w:rsidRPr="00CE5715" w:rsidRDefault="001E7335" w:rsidP="001E7335">
            <w:pPr>
              <w:pStyle w:val="TableText"/>
              <w:rPr>
                <w:spacing w:val="-2"/>
              </w:rPr>
            </w:pPr>
            <w:r w:rsidRPr="00CE5715">
              <w:rPr>
                <w:spacing w:val="-2"/>
              </w:rPr>
              <w:t>Compared with the current approach (‘watch and wait’), there would be tablets to take. These could be taken at home, but a prescription charge would be payable. There would be more follow-up appointments needed. There may be other medicines needed to manage side effects that may also have a prescription charge. There would be more side effects expected when compared to the current approach of no active treatment.</w:t>
            </w:r>
          </w:p>
          <w:p w14:paraId="5C7E94B2" w14:textId="77777777" w:rsidR="001E7335" w:rsidRDefault="001E7335" w:rsidP="001E7335">
            <w:pPr>
              <w:pStyle w:val="TableText"/>
            </w:pPr>
            <w:r>
              <w:t xml:space="preserve">Treatment would continue for one </w:t>
            </w:r>
            <w:proofErr w:type="gramStart"/>
            <w:r>
              <w:t>year, unless</w:t>
            </w:r>
            <w:proofErr w:type="gramEnd"/>
            <w:r>
              <w:t xml:space="preserve"> there was progression of the disease (or intolerable side effects).</w:t>
            </w:r>
          </w:p>
        </w:tc>
      </w:tr>
      <w:tr w:rsidR="001E7335" w14:paraId="3E21066C" w14:textId="77777777" w:rsidTr="00290AF3">
        <w:trPr>
          <w:cantSplit/>
        </w:trPr>
        <w:tc>
          <w:tcPr>
            <w:tcW w:w="2020" w:type="dxa"/>
            <w:tcBorders>
              <w:top w:val="single" w:sz="4" w:space="0" w:color="C2D9BA"/>
              <w:bottom w:val="single" w:sz="4" w:space="0" w:color="C2D9BA"/>
            </w:tcBorders>
            <w:shd w:val="clear" w:color="auto" w:fill="auto"/>
          </w:tcPr>
          <w:p w14:paraId="5927D8F1" w14:textId="77777777" w:rsidR="001E7335" w:rsidRPr="0038658B" w:rsidRDefault="001E7335" w:rsidP="00290AF3">
            <w:pPr>
              <w:pStyle w:val="TableText"/>
              <w:ind w:right="113"/>
              <w:rPr>
                <w:b/>
              </w:rPr>
            </w:pPr>
            <w:r w:rsidRPr="0038658B">
              <w:rPr>
                <w:b/>
              </w:rPr>
              <w:lastRenderedPageBreak/>
              <w:t>Health system resource considerations</w:t>
            </w:r>
          </w:p>
        </w:tc>
        <w:tc>
          <w:tcPr>
            <w:tcW w:w="6060" w:type="dxa"/>
            <w:gridSpan w:val="2"/>
            <w:tcBorders>
              <w:top w:val="single" w:sz="4" w:space="0" w:color="C2D9BA"/>
              <w:bottom w:val="single" w:sz="4" w:space="0" w:color="C2D9BA"/>
            </w:tcBorders>
            <w:shd w:val="clear" w:color="auto" w:fill="auto"/>
          </w:tcPr>
          <w:p w14:paraId="68BA8112" w14:textId="77777777" w:rsidR="001E7335" w:rsidRDefault="001E7335" w:rsidP="001E7335">
            <w:pPr>
              <w:pStyle w:val="TableText"/>
            </w:pPr>
            <w:r>
              <w:t xml:space="preserve">Additional </w:t>
            </w:r>
            <w:r w:rsidRPr="00614693">
              <w:t>follow-up appointments required</w:t>
            </w:r>
            <w:r>
              <w:t>.</w:t>
            </w:r>
          </w:p>
          <w:p w14:paraId="55F6827A" w14:textId="77777777" w:rsidR="001E7335" w:rsidRDefault="001E7335" w:rsidP="001E7335">
            <w:pPr>
              <w:pStyle w:val="TableText"/>
            </w:pPr>
            <w:r w:rsidRPr="00614693">
              <w:t>Increased demand for laboratory</w:t>
            </w:r>
            <w:r>
              <w:t xml:space="preserve"> and pathology services to assess eligibility and monitor for treatment toxicities.</w:t>
            </w:r>
          </w:p>
          <w:p w14:paraId="6CF87495" w14:textId="77777777" w:rsidR="001E7335" w:rsidRDefault="001E7335"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129D7869" w14:textId="77777777" w:rsidR="001E7335" w:rsidRDefault="001E7335" w:rsidP="001E7335">
            <w:pPr>
              <w:pStyle w:val="TableText"/>
            </w:pPr>
            <w:r>
              <w:t>Potential for increased demand for supportive care and toxicity management (including health care professionals’ time and pharmaceuticals).</w:t>
            </w:r>
          </w:p>
        </w:tc>
      </w:tr>
    </w:tbl>
    <w:p w14:paraId="14003281" w14:textId="77777777" w:rsidR="0038658B" w:rsidRPr="0038658B" w:rsidRDefault="0038658B" w:rsidP="0038658B"/>
    <w:p w14:paraId="669E4D76" w14:textId="77777777" w:rsidR="006D7F10" w:rsidRDefault="006D7F10" w:rsidP="001E7335">
      <w:pPr>
        <w:pStyle w:val="Table"/>
        <w:keepNext w:val="0"/>
        <w:pageBreakBefore/>
        <w:spacing w:before="0"/>
      </w:pPr>
      <w:bookmarkStart w:id="438" w:name="_Toc101365635"/>
      <w:bookmarkStart w:id="439" w:name="Appendix_7_Table_7point19"/>
      <w:bookmarkEnd w:id="437"/>
      <w:r>
        <w:lastRenderedPageBreak/>
        <w:t>Table</w:t>
      </w:r>
      <w:r w:rsidR="00EC2914">
        <w:t> </w:t>
      </w:r>
      <w:r>
        <w:t>7.19: Nivolumab with ipilimumab for melanoma (unresectable)</w:t>
      </w:r>
      <w:bookmarkEnd w:id="43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532"/>
        <w:gridCol w:w="5528"/>
      </w:tblGrid>
      <w:tr w:rsidR="001E7335" w14:paraId="2A3698B4" w14:textId="77777777" w:rsidTr="00290AF3">
        <w:trPr>
          <w:cantSplit/>
        </w:trPr>
        <w:tc>
          <w:tcPr>
            <w:tcW w:w="2020" w:type="dxa"/>
            <w:tcBorders>
              <w:top w:val="nil"/>
              <w:bottom w:val="nil"/>
            </w:tcBorders>
            <w:shd w:val="clear" w:color="auto" w:fill="C2D9BA"/>
          </w:tcPr>
          <w:p w14:paraId="620E9676" w14:textId="77777777" w:rsidR="001E7335" w:rsidRPr="00181CD3" w:rsidRDefault="001E7335" w:rsidP="00290AF3">
            <w:pPr>
              <w:pStyle w:val="TableText"/>
              <w:ind w:right="113"/>
              <w:rPr>
                <w:b/>
              </w:rPr>
            </w:pPr>
            <w:r w:rsidRPr="00181CD3">
              <w:rPr>
                <w:b/>
              </w:rPr>
              <w:t>Indication description</w:t>
            </w:r>
          </w:p>
        </w:tc>
        <w:tc>
          <w:tcPr>
            <w:tcW w:w="6060" w:type="dxa"/>
            <w:gridSpan w:val="2"/>
            <w:tcBorders>
              <w:top w:val="nil"/>
              <w:bottom w:val="nil"/>
            </w:tcBorders>
            <w:shd w:val="clear" w:color="auto" w:fill="C2D9BA"/>
          </w:tcPr>
          <w:p w14:paraId="64AF0A9A" w14:textId="77777777" w:rsidR="001E7335" w:rsidRDefault="001E7335" w:rsidP="001E7335">
            <w:pPr>
              <w:pStyle w:val="TableText"/>
            </w:pPr>
            <w:r w:rsidRPr="001B7848">
              <w:t xml:space="preserve">Melanoma, stage III or IV, unresectable, </w:t>
            </w:r>
            <w:r>
              <w:t xml:space="preserve">first </w:t>
            </w:r>
            <w:r w:rsidRPr="001B7848">
              <w:t>line</w:t>
            </w:r>
          </w:p>
        </w:tc>
      </w:tr>
      <w:tr w:rsidR="001E7335" w14:paraId="40B75AA8" w14:textId="77777777" w:rsidTr="00290AF3">
        <w:trPr>
          <w:cantSplit/>
        </w:trPr>
        <w:tc>
          <w:tcPr>
            <w:tcW w:w="2020" w:type="dxa"/>
            <w:tcBorders>
              <w:top w:val="single" w:sz="4" w:space="0" w:color="C2D9BA"/>
              <w:bottom w:val="single" w:sz="4" w:space="0" w:color="C2D9BA"/>
            </w:tcBorders>
            <w:shd w:val="clear" w:color="auto" w:fill="E7F0E3"/>
          </w:tcPr>
          <w:p w14:paraId="0B8CF44E" w14:textId="77777777" w:rsidR="001E7335" w:rsidRPr="00181CD3" w:rsidRDefault="001E7335" w:rsidP="001E7335">
            <w:pPr>
              <w:pStyle w:val="TableText"/>
              <w:ind w:right="113"/>
              <w:rPr>
                <w:b/>
              </w:rPr>
            </w:pPr>
            <w:r w:rsidRPr="00181CD3">
              <w:rPr>
                <w:b/>
              </w:rPr>
              <w:t>Medicine option to fill the gap</w:t>
            </w:r>
          </w:p>
        </w:tc>
        <w:tc>
          <w:tcPr>
            <w:tcW w:w="6060" w:type="dxa"/>
            <w:gridSpan w:val="2"/>
            <w:tcBorders>
              <w:top w:val="single" w:sz="4" w:space="0" w:color="C2D9BA"/>
              <w:bottom w:val="single" w:sz="4" w:space="0" w:color="C2D9BA"/>
            </w:tcBorders>
            <w:shd w:val="clear" w:color="auto" w:fill="E7F0E3"/>
          </w:tcPr>
          <w:p w14:paraId="39850FAE" w14:textId="77777777" w:rsidR="001E7335" w:rsidRDefault="001E7335" w:rsidP="001E7335">
            <w:pPr>
              <w:pStyle w:val="TableText"/>
            </w:pPr>
            <w:r w:rsidRPr="00114AAF">
              <w:t>Nivolumab</w:t>
            </w:r>
            <w:r>
              <w:t xml:space="preserve"> with ipilimumab</w:t>
            </w:r>
          </w:p>
        </w:tc>
      </w:tr>
      <w:tr w:rsidR="001E7335" w14:paraId="209261BF" w14:textId="77777777" w:rsidTr="00290AF3">
        <w:trPr>
          <w:cantSplit/>
        </w:trPr>
        <w:tc>
          <w:tcPr>
            <w:tcW w:w="2020" w:type="dxa"/>
            <w:tcBorders>
              <w:top w:val="single" w:sz="4" w:space="0" w:color="C2D9BA"/>
              <w:bottom w:val="single" w:sz="4" w:space="0" w:color="C2D9BA"/>
            </w:tcBorders>
            <w:shd w:val="clear" w:color="auto" w:fill="auto"/>
          </w:tcPr>
          <w:p w14:paraId="551DADB4" w14:textId="77777777" w:rsidR="001E7335" w:rsidRPr="00181CD3" w:rsidRDefault="001E7335" w:rsidP="00290AF3">
            <w:pPr>
              <w:pStyle w:val="TableText"/>
              <w:ind w:right="113"/>
              <w:rPr>
                <w:b/>
              </w:rPr>
            </w:pPr>
            <w:r w:rsidRPr="00181CD3">
              <w:rPr>
                <w:b/>
              </w:rPr>
              <w:t>Descripti</w:t>
            </w:r>
            <w:r>
              <w:rPr>
                <w:b/>
              </w:rPr>
              <w:t>on of medicine class</w:t>
            </w:r>
          </w:p>
        </w:tc>
        <w:tc>
          <w:tcPr>
            <w:tcW w:w="6060" w:type="dxa"/>
            <w:gridSpan w:val="2"/>
            <w:tcBorders>
              <w:top w:val="single" w:sz="4" w:space="0" w:color="C2D9BA"/>
              <w:bottom w:val="single" w:sz="4" w:space="0" w:color="C2D9BA"/>
            </w:tcBorders>
            <w:shd w:val="clear" w:color="auto" w:fill="auto"/>
          </w:tcPr>
          <w:p w14:paraId="6E9DC7F3" w14:textId="77777777" w:rsidR="001E7335" w:rsidRDefault="001E7335" w:rsidP="001E7335">
            <w:pPr>
              <w:pStyle w:val="TableText"/>
            </w:pPr>
            <w:r>
              <w:t>Nivolumab: i</w:t>
            </w:r>
            <w:r w:rsidRPr="00961B27">
              <w:t>mmune checkpoint inhibitor (monoclonal antibod</w:t>
            </w:r>
            <w:r>
              <w:t>y</w:t>
            </w:r>
            <w:r w:rsidRPr="00961B27">
              <w:t xml:space="preserve"> targeting PD-1 protein)</w:t>
            </w:r>
          </w:p>
          <w:p w14:paraId="360CB541" w14:textId="77777777" w:rsidR="001E7335" w:rsidRDefault="001E7335" w:rsidP="001E7335">
            <w:pPr>
              <w:pStyle w:val="TableText"/>
            </w:pPr>
            <w:r>
              <w:t>Ipilimumab: immune checkpoint inhibitor (monoclonal antibody targeting CTLA-4 protein)</w:t>
            </w:r>
          </w:p>
        </w:tc>
      </w:tr>
      <w:tr w:rsidR="001E7335" w14:paraId="3EB66F02" w14:textId="77777777" w:rsidTr="00290AF3">
        <w:trPr>
          <w:cantSplit/>
        </w:trPr>
        <w:tc>
          <w:tcPr>
            <w:tcW w:w="2020" w:type="dxa"/>
            <w:tcBorders>
              <w:top w:val="single" w:sz="4" w:space="0" w:color="C2D9BA"/>
              <w:bottom w:val="single" w:sz="4" w:space="0" w:color="C2D9BA"/>
            </w:tcBorders>
            <w:shd w:val="clear" w:color="auto" w:fill="auto"/>
          </w:tcPr>
          <w:p w14:paraId="2ABC9BC7" w14:textId="77777777" w:rsidR="001E7335" w:rsidRPr="00181CD3" w:rsidRDefault="001E7335" w:rsidP="00290AF3">
            <w:pPr>
              <w:pStyle w:val="TableText"/>
              <w:ind w:right="113"/>
              <w:rPr>
                <w:b/>
              </w:rPr>
            </w:pPr>
            <w:r w:rsidRPr="00181CD3">
              <w:rPr>
                <w:b/>
              </w:rPr>
              <w:t>Intent of treatment</w:t>
            </w:r>
          </w:p>
        </w:tc>
        <w:tc>
          <w:tcPr>
            <w:tcW w:w="6060" w:type="dxa"/>
            <w:gridSpan w:val="2"/>
            <w:tcBorders>
              <w:top w:val="single" w:sz="4" w:space="0" w:color="C2D9BA"/>
              <w:bottom w:val="single" w:sz="4" w:space="0" w:color="C2D9BA"/>
            </w:tcBorders>
            <w:shd w:val="clear" w:color="auto" w:fill="auto"/>
          </w:tcPr>
          <w:p w14:paraId="20B0EE65" w14:textId="77777777" w:rsidR="001E7335" w:rsidRDefault="001E7335" w:rsidP="001E7335">
            <w:pPr>
              <w:pStyle w:val="TableText"/>
            </w:pPr>
            <w:r>
              <w:t>Non-curative</w:t>
            </w:r>
          </w:p>
        </w:tc>
      </w:tr>
      <w:tr w:rsidR="001E7335" w14:paraId="5A966817" w14:textId="77777777" w:rsidTr="001E7335">
        <w:trPr>
          <w:cantSplit/>
        </w:trPr>
        <w:tc>
          <w:tcPr>
            <w:tcW w:w="2020" w:type="dxa"/>
            <w:tcBorders>
              <w:top w:val="single" w:sz="4" w:space="0" w:color="C2D9BA"/>
              <w:bottom w:val="single" w:sz="4" w:space="0" w:color="C2D9BA"/>
            </w:tcBorders>
            <w:shd w:val="clear" w:color="auto" w:fill="auto"/>
          </w:tcPr>
          <w:p w14:paraId="77CD8327" w14:textId="77777777" w:rsidR="001E7335" w:rsidRPr="00181CD3" w:rsidRDefault="001E7335" w:rsidP="00290AF3">
            <w:pPr>
              <w:pStyle w:val="TableText"/>
              <w:ind w:right="113"/>
              <w:rPr>
                <w:b/>
              </w:rPr>
            </w:pPr>
            <w:r w:rsidRPr="00181CD3">
              <w:rPr>
                <w:b/>
              </w:rPr>
              <w:t>Pharmac status at time of analysis</w:t>
            </w:r>
          </w:p>
        </w:tc>
        <w:tc>
          <w:tcPr>
            <w:tcW w:w="6060" w:type="dxa"/>
            <w:gridSpan w:val="2"/>
            <w:tcBorders>
              <w:top w:val="single" w:sz="4" w:space="0" w:color="C2D9BA"/>
              <w:bottom w:val="single" w:sz="4" w:space="0" w:color="C2D9BA"/>
            </w:tcBorders>
            <w:shd w:val="clear" w:color="auto" w:fill="auto"/>
          </w:tcPr>
          <w:p w14:paraId="222D70CC" w14:textId="77777777" w:rsidR="001E7335" w:rsidRDefault="001E7335" w:rsidP="001E7335">
            <w:pPr>
              <w:pStyle w:val="TableText"/>
            </w:pPr>
            <w:r>
              <w:t>Application received February 2016</w:t>
            </w:r>
          </w:p>
          <w:p w14:paraId="444CFEE0" w14:textId="77777777" w:rsidR="001E7335" w:rsidRPr="001E7335" w:rsidRDefault="001E7335" w:rsidP="001E7335">
            <w:pPr>
              <w:pStyle w:val="TableText"/>
            </w:pPr>
            <w:r>
              <w:t xml:space="preserve">Ranked as an option for </w:t>
            </w:r>
            <w:r w:rsidRPr="001E7335">
              <w:t>decline – this means this option would not be funded, even if budget allowed, unless new information came to light.</w:t>
            </w:r>
          </w:p>
          <w:p w14:paraId="58DABD20" w14:textId="77777777" w:rsidR="001E7335" w:rsidRDefault="0056499C" w:rsidP="001E7335">
            <w:pPr>
              <w:pStyle w:val="TableText"/>
            </w:pPr>
            <w:hyperlink r:id="rId120" w:history="1">
              <w:r w:rsidR="001E7335" w:rsidRPr="001E7335">
                <w:rPr>
                  <w:rStyle w:val="Hyperlink"/>
                </w:rPr>
                <w:t>https://connect.pharmac.govt.nz/apptracker/s/application-public/a102P000008puXS/p001176</w:t>
              </w:r>
            </w:hyperlink>
          </w:p>
        </w:tc>
      </w:tr>
      <w:tr w:rsidR="001E7335" w14:paraId="4719775F" w14:textId="77777777" w:rsidTr="001E7335">
        <w:trPr>
          <w:cantSplit/>
        </w:trPr>
        <w:tc>
          <w:tcPr>
            <w:tcW w:w="2020" w:type="dxa"/>
            <w:tcBorders>
              <w:top w:val="single" w:sz="4" w:space="0" w:color="C2D9BA"/>
              <w:bottom w:val="single" w:sz="4" w:space="0" w:color="C2D9BA"/>
            </w:tcBorders>
            <w:shd w:val="clear" w:color="auto" w:fill="auto"/>
          </w:tcPr>
          <w:p w14:paraId="572410AC" w14:textId="77777777" w:rsidR="001E7335" w:rsidRPr="0038658B" w:rsidRDefault="001E7335" w:rsidP="00290AF3">
            <w:pPr>
              <w:pStyle w:val="TableText"/>
              <w:ind w:right="113"/>
              <w:rPr>
                <w:b/>
              </w:rPr>
            </w:pPr>
            <w:r w:rsidRPr="0038658B">
              <w:rPr>
                <w:b/>
              </w:rPr>
              <w:t>ESMO-MCBS clinical benefit score and summary of data informing the score</w:t>
            </w:r>
          </w:p>
        </w:tc>
        <w:tc>
          <w:tcPr>
            <w:tcW w:w="532" w:type="dxa"/>
            <w:tcBorders>
              <w:top w:val="single" w:sz="4" w:space="0" w:color="C2D9BA"/>
              <w:bottom w:val="single" w:sz="4" w:space="0" w:color="C2D9BA"/>
            </w:tcBorders>
            <w:shd w:val="clear" w:color="auto" w:fill="auto"/>
          </w:tcPr>
          <w:p w14:paraId="1DA079EB" w14:textId="77777777" w:rsidR="001E7335" w:rsidRDefault="001E7335" w:rsidP="001E7335">
            <w:pPr>
              <w:pStyle w:val="TableText"/>
            </w:pPr>
            <w:r>
              <w:t>4</w:t>
            </w:r>
          </w:p>
        </w:tc>
        <w:tc>
          <w:tcPr>
            <w:tcW w:w="5528" w:type="dxa"/>
            <w:tcBorders>
              <w:top w:val="single" w:sz="4" w:space="0" w:color="C2D9BA"/>
              <w:bottom w:val="single" w:sz="4" w:space="0" w:color="C2D9BA"/>
            </w:tcBorders>
            <w:shd w:val="clear" w:color="auto" w:fill="auto"/>
          </w:tcPr>
          <w:p w14:paraId="3071E146" w14:textId="77777777" w:rsidR="001E7335" w:rsidRDefault="001E7335" w:rsidP="001E7335">
            <w:pPr>
              <w:pStyle w:val="TableText"/>
            </w:pPr>
            <w:r>
              <w:t>Compared with ipilimumab:</w:t>
            </w:r>
          </w:p>
          <w:p w14:paraId="1BDBF70D" w14:textId="77777777" w:rsidR="001E7335" w:rsidRDefault="001E7335" w:rsidP="001E7335">
            <w:pPr>
              <w:pStyle w:val="TableText"/>
            </w:pPr>
            <w:r>
              <w:t>Gain in median overall survival of 18.4 months, with durable response (five-year overall survival gain 26%)</w:t>
            </w:r>
          </w:p>
          <w:p w14:paraId="60A15F2C" w14:textId="77777777" w:rsidR="001E7335" w:rsidRDefault="001E7335" w:rsidP="001E7335">
            <w:pPr>
              <w:pStyle w:val="TableText"/>
            </w:pPr>
            <w:r>
              <w:t>Gain in median progression-free survival of 8.6 months.</w:t>
            </w:r>
          </w:p>
          <w:p w14:paraId="29CD16B1" w14:textId="77777777" w:rsidR="001E7335" w:rsidRDefault="001E7335" w:rsidP="001E7335">
            <w:pPr>
              <w:pStyle w:val="TableText"/>
            </w:pPr>
            <w:r>
              <w:t>No quality-of-life benefit.</w:t>
            </w:r>
          </w:p>
          <w:p w14:paraId="3BEC59DF" w14:textId="77777777" w:rsidR="001E7335" w:rsidRDefault="001E7335" w:rsidP="001E7335">
            <w:pPr>
              <w:pStyle w:val="TableText"/>
            </w:pPr>
            <w:r>
              <w:t>Higher toxicity and discontinuation rate.</w:t>
            </w:r>
          </w:p>
          <w:p w14:paraId="7540841E" w14:textId="77777777" w:rsidR="001E7335" w:rsidRDefault="001E7335" w:rsidP="001E7335">
            <w:pPr>
              <w:pStyle w:val="TableText"/>
            </w:pPr>
            <w:r>
              <w:t>Note: These were the results in a comparison against ipilimumab, which is not funded in Aotearoa. The relevant comparator for Aotearoa would be nivolumab (or pembrolizumab) used in monotherapy. Clinical advice indicated that, against this comparator, the ESMO-MCBS score would likely be at least 4.</w:t>
            </w:r>
          </w:p>
        </w:tc>
      </w:tr>
      <w:tr w:rsidR="001E7335" w14:paraId="437AB0F5" w14:textId="77777777" w:rsidTr="00290AF3">
        <w:trPr>
          <w:cantSplit/>
        </w:trPr>
        <w:tc>
          <w:tcPr>
            <w:tcW w:w="2020" w:type="dxa"/>
            <w:tcBorders>
              <w:top w:val="single" w:sz="4" w:space="0" w:color="C2D9BA"/>
              <w:bottom w:val="single" w:sz="4" w:space="0" w:color="C2D9BA"/>
            </w:tcBorders>
            <w:shd w:val="clear" w:color="auto" w:fill="auto"/>
          </w:tcPr>
          <w:p w14:paraId="370556BF" w14:textId="77777777" w:rsidR="001E7335" w:rsidRPr="0038658B" w:rsidRDefault="001E7335" w:rsidP="00290AF3">
            <w:pPr>
              <w:pStyle w:val="TableText"/>
              <w:ind w:right="113"/>
              <w:rPr>
                <w:b/>
              </w:rPr>
            </w:pPr>
            <w:r w:rsidRPr="0038658B">
              <w:rPr>
                <w:b/>
              </w:rPr>
              <w:t>Current clinical practice in Aotearoa and how this would change if the gap were filled</w:t>
            </w:r>
          </w:p>
        </w:tc>
        <w:tc>
          <w:tcPr>
            <w:tcW w:w="6060" w:type="dxa"/>
            <w:gridSpan w:val="2"/>
            <w:tcBorders>
              <w:top w:val="single" w:sz="4" w:space="0" w:color="C2D9BA"/>
              <w:bottom w:val="single" w:sz="4" w:space="0" w:color="C2D9BA"/>
            </w:tcBorders>
            <w:shd w:val="clear" w:color="auto" w:fill="auto"/>
          </w:tcPr>
          <w:p w14:paraId="62DDB20E" w14:textId="77777777" w:rsidR="001E7335" w:rsidRDefault="001E7335" w:rsidP="001E7335">
            <w:pPr>
              <w:pStyle w:val="TableText"/>
            </w:pPr>
            <w:r w:rsidRPr="001043A2">
              <w:t>In Aotearoa</w:t>
            </w:r>
            <w:r>
              <w:t>,</w:t>
            </w:r>
            <w:r w:rsidRPr="001043A2">
              <w:t xml:space="preserve"> the current treatment for these patients is </w:t>
            </w:r>
            <w:r>
              <w:t>nivolumab or pembrolizumab monotherapy.</w:t>
            </w:r>
          </w:p>
          <w:p w14:paraId="6E04A6AA" w14:textId="77777777" w:rsidR="001E7335" w:rsidRDefault="001E7335" w:rsidP="001E7335">
            <w:pPr>
              <w:pStyle w:val="TableText"/>
            </w:pPr>
            <w:r w:rsidRPr="001043A2">
              <w:t xml:space="preserve">If </w:t>
            </w:r>
            <w:r>
              <w:t>nivolumab with ipilimumab</w:t>
            </w:r>
            <w:r w:rsidRPr="001043A2">
              <w:t xml:space="preserve"> were funded for this indication</w:t>
            </w:r>
            <w:r>
              <w:t>, ipilimumab would be added to nivolumab monotherapy for the first four treatment cycles, then nivolumab would continue as per current practice. Clinical advice indicated that ipilimumab would only be added in for particularly aggressive tumours.</w:t>
            </w:r>
          </w:p>
        </w:tc>
      </w:tr>
      <w:tr w:rsidR="001E7335" w14:paraId="77092527" w14:textId="77777777" w:rsidTr="00290AF3">
        <w:trPr>
          <w:cantSplit/>
        </w:trPr>
        <w:tc>
          <w:tcPr>
            <w:tcW w:w="2020" w:type="dxa"/>
            <w:tcBorders>
              <w:top w:val="single" w:sz="4" w:space="0" w:color="C2D9BA"/>
              <w:bottom w:val="single" w:sz="4" w:space="0" w:color="C2D9BA"/>
            </w:tcBorders>
            <w:shd w:val="clear" w:color="auto" w:fill="auto"/>
          </w:tcPr>
          <w:p w14:paraId="54E381BE" w14:textId="77777777" w:rsidR="001E7335" w:rsidRPr="0038658B" w:rsidRDefault="001E7335" w:rsidP="00290AF3">
            <w:pPr>
              <w:pStyle w:val="TableText"/>
              <w:ind w:right="113"/>
              <w:rPr>
                <w:b/>
              </w:rPr>
            </w:pPr>
            <w:r w:rsidRPr="0038658B">
              <w:rPr>
                <w:b/>
              </w:rPr>
              <w:t>Pharmac estimate of eligible population size</w:t>
            </w:r>
          </w:p>
        </w:tc>
        <w:tc>
          <w:tcPr>
            <w:tcW w:w="6060" w:type="dxa"/>
            <w:gridSpan w:val="2"/>
            <w:tcBorders>
              <w:top w:val="single" w:sz="4" w:space="0" w:color="C2D9BA"/>
              <w:bottom w:val="single" w:sz="4" w:space="0" w:color="C2D9BA"/>
            </w:tcBorders>
            <w:shd w:val="clear" w:color="auto" w:fill="auto"/>
          </w:tcPr>
          <w:p w14:paraId="36F52E97" w14:textId="77777777" w:rsidR="001E7335" w:rsidRDefault="001E7335" w:rsidP="00CE5715">
            <w:pPr>
              <w:pStyle w:val="TableText"/>
            </w:pPr>
            <w:r>
              <w:t xml:space="preserve">A Pharmac estimate of the eligible population size was not readily available at time of publication. The population size was not able to be estimated by other means. For reference purposes only, if we used the proportion of people diagnosed with melanoma that has spread to regional lymph nodes (4%) or at an advanced stage (5%) as to approximate stage III and IV melanoma, this would equate to 216 people [9%*2400=216]. This does not include any estimate of surgical resectability. See </w:t>
            </w:r>
            <w:r w:rsidRPr="00CE5715">
              <w:t>‘</w:t>
            </w:r>
            <w:hyperlink w:anchor="Epidemiology" w:history="1">
              <w:r w:rsidR="00CE5715" w:rsidRPr="00CE5715">
                <w:rPr>
                  <w:rStyle w:val="Hyperlink"/>
                </w:rPr>
                <w:t>Epidemiology of melanoma skin cancers</w:t>
              </w:r>
            </w:hyperlink>
            <w:r w:rsidRPr="00CE5715">
              <w:t>’ section</w:t>
            </w:r>
            <w:r>
              <w:t xml:space="preserve"> below.</w:t>
            </w:r>
          </w:p>
        </w:tc>
      </w:tr>
      <w:tr w:rsidR="001E7335" w14:paraId="23EB1F32" w14:textId="77777777" w:rsidTr="00290AF3">
        <w:trPr>
          <w:cantSplit/>
        </w:trPr>
        <w:tc>
          <w:tcPr>
            <w:tcW w:w="2020" w:type="dxa"/>
            <w:tcBorders>
              <w:top w:val="single" w:sz="4" w:space="0" w:color="C2D9BA"/>
              <w:bottom w:val="single" w:sz="4" w:space="0" w:color="C2D9BA"/>
            </w:tcBorders>
            <w:shd w:val="clear" w:color="auto" w:fill="auto"/>
          </w:tcPr>
          <w:p w14:paraId="34E34241" w14:textId="77777777" w:rsidR="001E7335" w:rsidRPr="0038658B" w:rsidRDefault="001E7335" w:rsidP="001E7335">
            <w:pPr>
              <w:pStyle w:val="TableText"/>
              <w:ind w:right="113"/>
              <w:rPr>
                <w:b/>
              </w:rPr>
            </w:pPr>
            <w:r>
              <w:rPr>
                <w:b/>
              </w:rPr>
              <w:t>How thi</w:t>
            </w:r>
            <w:r w:rsidRPr="0038658B">
              <w:rPr>
                <w:b/>
              </w:rPr>
              <w:t>s medicine would be given</w:t>
            </w:r>
          </w:p>
        </w:tc>
        <w:tc>
          <w:tcPr>
            <w:tcW w:w="6060" w:type="dxa"/>
            <w:gridSpan w:val="2"/>
            <w:tcBorders>
              <w:top w:val="single" w:sz="4" w:space="0" w:color="C2D9BA"/>
              <w:bottom w:val="single" w:sz="4" w:space="0" w:color="C2D9BA"/>
            </w:tcBorders>
            <w:shd w:val="clear" w:color="auto" w:fill="auto"/>
          </w:tcPr>
          <w:p w14:paraId="0D717F79" w14:textId="77777777" w:rsidR="001E7335" w:rsidRDefault="001E7335" w:rsidP="001E7335">
            <w:pPr>
              <w:pStyle w:val="TableText"/>
            </w:pPr>
            <w:r>
              <w:t>These medicines are given by infusion.</w:t>
            </w:r>
          </w:p>
          <w:p w14:paraId="5633FFDA" w14:textId="77777777" w:rsidR="001E7335" w:rsidRDefault="001E7335" w:rsidP="001E7335">
            <w:pPr>
              <w:pStyle w:val="TableText"/>
            </w:pPr>
            <w:r>
              <w:t>Ipilimumab and nivolumab would be given every three weeks for the first four cycles, and then nivolumab would continue to be given once every two or four weeks until disease progression (or unacceptable toxicity).</w:t>
            </w:r>
          </w:p>
        </w:tc>
      </w:tr>
      <w:tr w:rsidR="001E7335" w14:paraId="6F71CA60" w14:textId="77777777" w:rsidTr="00290AF3">
        <w:trPr>
          <w:cantSplit/>
        </w:trPr>
        <w:tc>
          <w:tcPr>
            <w:tcW w:w="2020" w:type="dxa"/>
            <w:tcBorders>
              <w:top w:val="single" w:sz="4" w:space="0" w:color="C2D9BA"/>
              <w:bottom w:val="single" w:sz="4" w:space="0" w:color="C2D9BA"/>
            </w:tcBorders>
            <w:shd w:val="clear" w:color="auto" w:fill="auto"/>
          </w:tcPr>
          <w:p w14:paraId="0E188235" w14:textId="77777777" w:rsidR="001E7335" w:rsidRPr="0038658B" w:rsidRDefault="001E7335" w:rsidP="00290AF3">
            <w:pPr>
              <w:pStyle w:val="TableText"/>
              <w:ind w:right="113"/>
              <w:rPr>
                <w:b/>
              </w:rPr>
            </w:pPr>
            <w:r w:rsidRPr="0038658B">
              <w:rPr>
                <w:b/>
              </w:rPr>
              <w:lastRenderedPageBreak/>
              <w:t>Patient and whānau considerations</w:t>
            </w:r>
          </w:p>
        </w:tc>
        <w:tc>
          <w:tcPr>
            <w:tcW w:w="6060" w:type="dxa"/>
            <w:gridSpan w:val="2"/>
            <w:tcBorders>
              <w:top w:val="single" w:sz="4" w:space="0" w:color="C2D9BA"/>
              <w:bottom w:val="single" w:sz="4" w:space="0" w:color="C2D9BA"/>
            </w:tcBorders>
            <w:shd w:val="clear" w:color="auto" w:fill="auto"/>
          </w:tcPr>
          <w:p w14:paraId="5D47D1D7" w14:textId="77777777" w:rsidR="001E7335" w:rsidRDefault="001E7335" w:rsidP="001E7335">
            <w:pPr>
              <w:pStyle w:val="TableText"/>
            </w:pPr>
            <w:r>
              <w:t>This treatment would be added in at the start of treatment for high-risk patients, with the potential clinical benefit described above.</w:t>
            </w:r>
          </w:p>
          <w:p w14:paraId="274A13DA" w14:textId="77777777" w:rsidR="001E7335" w:rsidRDefault="001E7335" w:rsidP="001E7335">
            <w:pPr>
              <w:pStyle w:val="TableText"/>
            </w:pPr>
            <w:r>
              <w:t>The current approach is nivolumab or pembrolizumab in monotherapy. This would mean that, compared with the current approach, there would generally be a similar number of treatment appointments to attend, although the first four appointments would be longer. These treatments would be administered in the outpatient infusion centre, so there would be no prescription charge. There may be other medicines needed to manage side effects that may have a prescription charge. There are some particular side effects associated with immune checkpoint inhibitors that are quite different to the side effects of chemotherapy. These can develop long after treatment has stopped and may require specialised management.</w:t>
            </w:r>
          </w:p>
          <w:p w14:paraId="5FE85781" w14:textId="77777777" w:rsidR="001E7335" w:rsidRDefault="001E7335" w:rsidP="001E7335">
            <w:pPr>
              <w:pStyle w:val="TableText"/>
            </w:pPr>
            <w:r>
              <w:t>Treatment would continue until there is progression of the disease (or intolerable side effects).</w:t>
            </w:r>
          </w:p>
        </w:tc>
      </w:tr>
      <w:tr w:rsidR="001E7335" w14:paraId="19FDE3DD" w14:textId="77777777" w:rsidTr="00290AF3">
        <w:trPr>
          <w:cantSplit/>
        </w:trPr>
        <w:tc>
          <w:tcPr>
            <w:tcW w:w="2020" w:type="dxa"/>
            <w:tcBorders>
              <w:top w:val="single" w:sz="4" w:space="0" w:color="C2D9BA"/>
              <w:bottom w:val="single" w:sz="4" w:space="0" w:color="C2D9BA"/>
            </w:tcBorders>
            <w:shd w:val="clear" w:color="auto" w:fill="auto"/>
          </w:tcPr>
          <w:p w14:paraId="7B6DAEE5" w14:textId="77777777" w:rsidR="001E7335" w:rsidRPr="0038658B" w:rsidRDefault="001E7335" w:rsidP="00290AF3">
            <w:pPr>
              <w:pStyle w:val="TableText"/>
              <w:ind w:right="113"/>
              <w:rPr>
                <w:b/>
              </w:rPr>
            </w:pPr>
            <w:r w:rsidRPr="0038658B">
              <w:rPr>
                <w:b/>
              </w:rPr>
              <w:t>Health system resource considerations</w:t>
            </w:r>
          </w:p>
        </w:tc>
        <w:tc>
          <w:tcPr>
            <w:tcW w:w="6060" w:type="dxa"/>
            <w:gridSpan w:val="2"/>
            <w:tcBorders>
              <w:top w:val="single" w:sz="4" w:space="0" w:color="C2D9BA"/>
              <w:bottom w:val="single" w:sz="4" w:space="0" w:color="C2D9BA"/>
            </w:tcBorders>
            <w:shd w:val="clear" w:color="auto" w:fill="auto"/>
          </w:tcPr>
          <w:p w14:paraId="39DB884B" w14:textId="77777777" w:rsidR="001E7335" w:rsidRDefault="001E7335" w:rsidP="001E7335">
            <w:pPr>
              <w:pStyle w:val="TableText"/>
            </w:pPr>
            <w:r w:rsidRPr="00614693">
              <w:t xml:space="preserve">Additional chair time </w:t>
            </w:r>
            <w:r>
              <w:t>for administration of treatment required.</w:t>
            </w:r>
          </w:p>
          <w:p w14:paraId="36087DE3" w14:textId="77777777" w:rsidR="001E7335" w:rsidRDefault="001E7335" w:rsidP="001E7335">
            <w:pPr>
              <w:pStyle w:val="TableText"/>
            </w:pPr>
            <w:r w:rsidRPr="00614693">
              <w:t>Increased demand for laboratory</w:t>
            </w:r>
            <w:r>
              <w:t xml:space="preserve"> and pathology services to monitor for treatment toxicities.</w:t>
            </w:r>
          </w:p>
          <w:p w14:paraId="7ED242BB" w14:textId="77777777" w:rsidR="001E7335" w:rsidRDefault="001E7335"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p w14:paraId="6356F4E5" w14:textId="77777777" w:rsidR="001E7335" w:rsidRDefault="001E7335" w:rsidP="001E7335">
            <w:pPr>
              <w:pStyle w:val="TableText"/>
            </w:pPr>
            <w:r>
              <w:t>Potential for increased demand for supportive care and toxicity management (including health care professionals’ time and pharmaceuticals).</w:t>
            </w:r>
          </w:p>
        </w:tc>
      </w:tr>
    </w:tbl>
    <w:p w14:paraId="3C1B53A0" w14:textId="77777777" w:rsidR="0038658B" w:rsidRPr="0038658B" w:rsidRDefault="0038658B" w:rsidP="0038658B"/>
    <w:p w14:paraId="7F63FFC2" w14:textId="77777777" w:rsidR="006D7F10" w:rsidRDefault="006D7F10" w:rsidP="001E7335">
      <w:pPr>
        <w:pStyle w:val="Table"/>
        <w:keepNext w:val="0"/>
        <w:pageBreakBefore/>
        <w:spacing w:before="0"/>
      </w:pPr>
      <w:bookmarkStart w:id="440" w:name="_Toc101365636"/>
      <w:bookmarkStart w:id="441" w:name="Appendix_7_Table_7point20"/>
      <w:bookmarkEnd w:id="439"/>
      <w:r>
        <w:lastRenderedPageBreak/>
        <w:t>Table</w:t>
      </w:r>
      <w:r w:rsidR="00EC2914">
        <w:t> </w:t>
      </w:r>
      <w:r>
        <w:t>7.20: BRAF/MEK inhibitors for melanoma (unresectable)</w:t>
      </w:r>
      <w:bookmarkEnd w:id="44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20"/>
        <w:gridCol w:w="1666"/>
        <w:gridCol w:w="425"/>
        <w:gridCol w:w="3969"/>
      </w:tblGrid>
      <w:tr w:rsidR="001E7335" w14:paraId="2FE0E725" w14:textId="77777777" w:rsidTr="00290AF3">
        <w:trPr>
          <w:cantSplit/>
        </w:trPr>
        <w:tc>
          <w:tcPr>
            <w:tcW w:w="2020" w:type="dxa"/>
            <w:tcBorders>
              <w:top w:val="nil"/>
              <w:bottom w:val="nil"/>
            </w:tcBorders>
            <w:shd w:val="clear" w:color="auto" w:fill="C2D9BA"/>
          </w:tcPr>
          <w:p w14:paraId="3A579F20" w14:textId="77777777" w:rsidR="001E7335" w:rsidRPr="00181CD3" w:rsidRDefault="001E7335" w:rsidP="00290AF3">
            <w:pPr>
              <w:pStyle w:val="TableText"/>
              <w:ind w:right="113"/>
              <w:rPr>
                <w:b/>
              </w:rPr>
            </w:pPr>
            <w:r w:rsidRPr="00181CD3">
              <w:rPr>
                <w:b/>
              </w:rPr>
              <w:t>Indication description</w:t>
            </w:r>
          </w:p>
        </w:tc>
        <w:tc>
          <w:tcPr>
            <w:tcW w:w="6060" w:type="dxa"/>
            <w:gridSpan w:val="3"/>
            <w:tcBorders>
              <w:top w:val="nil"/>
              <w:bottom w:val="nil"/>
            </w:tcBorders>
            <w:shd w:val="clear" w:color="auto" w:fill="C2D9BA"/>
          </w:tcPr>
          <w:p w14:paraId="4E806CF6" w14:textId="77777777" w:rsidR="001E7335" w:rsidRDefault="001E7335" w:rsidP="001E7335">
            <w:pPr>
              <w:pStyle w:val="TableText"/>
            </w:pPr>
            <w:r w:rsidRPr="001043A2">
              <w:t>Melanoma, stage III or IV, BRAF +ve</w:t>
            </w:r>
            <w:r>
              <w:t xml:space="preserve"> V600</w:t>
            </w:r>
            <w:r w:rsidRPr="001043A2">
              <w:t xml:space="preserve">, unresectable, </w:t>
            </w:r>
            <w:r>
              <w:t>first-</w:t>
            </w:r>
            <w:r w:rsidRPr="001043A2">
              <w:t>line</w:t>
            </w:r>
            <w:r>
              <w:t xml:space="preserve"> therapy</w:t>
            </w:r>
          </w:p>
        </w:tc>
      </w:tr>
      <w:tr w:rsidR="001E7335" w14:paraId="1515BB23" w14:textId="77777777" w:rsidTr="00290AF3">
        <w:trPr>
          <w:cantSplit/>
        </w:trPr>
        <w:tc>
          <w:tcPr>
            <w:tcW w:w="2020" w:type="dxa"/>
            <w:tcBorders>
              <w:top w:val="single" w:sz="4" w:space="0" w:color="C2D9BA"/>
              <w:bottom w:val="single" w:sz="4" w:space="0" w:color="C2D9BA"/>
            </w:tcBorders>
            <w:shd w:val="clear" w:color="auto" w:fill="E7F0E3"/>
          </w:tcPr>
          <w:p w14:paraId="62103EBF" w14:textId="77777777" w:rsidR="001E7335" w:rsidRPr="00181CD3" w:rsidRDefault="001E7335" w:rsidP="001E7335">
            <w:pPr>
              <w:pStyle w:val="TableText"/>
              <w:ind w:right="113"/>
              <w:rPr>
                <w:b/>
              </w:rPr>
            </w:pPr>
            <w:r w:rsidRPr="00181CD3">
              <w:rPr>
                <w:b/>
              </w:rPr>
              <w:t>Medicine option to fill the gap</w:t>
            </w:r>
          </w:p>
        </w:tc>
        <w:tc>
          <w:tcPr>
            <w:tcW w:w="6060" w:type="dxa"/>
            <w:gridSpan w:val="3"/>
            <w:tcBorders>
              <w:top w:val="single" w:sz="4" w:space="0" w:color="C2D9BA"/>
              <w:bottom w:val="single" w:sz="4" w:space="0" w:color="C2D9BA"/>
            </w:tcBorders>
            <w:shd w:val="clear" w:color="auto" w:fill="E7F0E3"/>
          </w:tcPr>
          <w:p w14:paraId="24440A18" w14:textId="77777777" w:rsidR="001E7335" w:rsidRDefault="001E7335" w:rsidP="001E7335">
            <w:pPr>
              <w:pStyle w:val="TableText"/>
            </w:pPr>
            <w:r>
              <w:t>Dabrafenib with trametinib</w:t>
            </w:r>
          </w:p>
          <w:p w14:paraId="6143F2FD" w14:textId="77777777" w:rsidR="001E7335" w:rsidRDefault="001E7335" w:rsidP="001E7335">
            <w:pPr>
              <w:pStyle w:val="TableText"/>
            </w:pPr>
            <w:r>
              <w:t>OR</w:t>
            </w:r>
          </w:p>
          <w:p w14:paraId="06CDBD90" w14:textId="77777777" w:rsidR="001E7335" w:rsidRDefault="001E7335" w:rsidP="001E7335">
            <w:pPr>
              <w:pStyle w:val="TableText"/>
            </w:pPr>
            <w:r>
              <w:t>Encorafenib with binimetinib</w:t>
            </w:r>
          </w:p>
          <w:p w14:paraId="1DEDF523" w14:textId="77777777" w:rsidR="001E7335" w:rsidRDefault="001E7335" w:rsidP="001E7335">
            <w:pPr>
              <w:pStyle w:val="TableText"/>
            </w:pPr>
            <w:r>
              <w:t>OR</w:t>
            </w:r>
          </w:p>
          <w:p w14:paraId="4CE1FF8E" w14:textId="77777777" w:rsidR="001E7335" w:rsidRDefault="001E7335" w:rsidP="001E7335">
            <w:pPr>
              <w:pStyle w:val="TableText"/>
            </w:pPr>
            <w:r>
              <w:t>Vemurafenib with cobimetinib</w:t>
            </w:r>
          </w:p>
        </w:tc>
      </w:tr>
      <w:tr w:rsidR="001E7335" w14:paraId="5F5C14CD" w14:textId="77777777" w:rsidTr="00290AF3">
        <w:trPr>
          <w:cantSplit/>
        </w:trPr>
        <w:tc>
          <w:tcPr>
            <w:tcW w:w="2020" w:type="dxa"/>
            <w:tcBorders>
              <w:top w:val="single" w:sz="4" w:space="0" w:color="C2D9BA"/>
              <w:bottom w:val="single" w:sz="4" w:space="0" w:color="C2D9BA"/>
            </w:tcBorders>
            <w:shd w:val="clear" w:color="auto" w:fill="auto"/>
          </w:tcPr>
          <w:p w14:paraId="7DB8EB4D" w14:textId="77777777" w:rsidR="001E7335" w:rsidRPr="00181CD3" w:rsidRDefault="001E7335" w:rsidP="00290AF3">
            <w:pPr>
              <w:pStyle w:val="TableText"/>
              <w:ind w:right="113"/>
              <w:rPr>
                <w:b/>
              </w:rPr>
            </w:pPr>
            <w:r w:rsidRPr="00181CD3">
              <w:rPr>
                <w:b/>
              </w:rPr>
              <w:t>Descripti</w:t>
            </w:r>
            <w:r>
              <w:rPr>
                <w:b/>
              </w:rPr>
              <w:t>on of medicine class</w:t>
            </w:r>
          </w:p>
        </w:tc>
        <w:tc>
          <w:tcPr>
            <w:tcW w:w="6060" w:type="dxa"/>
            <w:gridSpan w:val="3"/>
            <w:tcBorders>
              <w:top w:val="single" w:sz="4" w:space="0" w:color="C2D9BA"/>
              <w:bottom w:val="single" w:sz="4" w:space="0" w:color="C2D9BA"/>
            </w:tcBorders>
            <w:shd w:val="clear" w:color="auto" w:fill="auto"/>
          </w:tcPr>
          <w:p w14:paraId="3A27F504" w14:textId="77777777" w:rsidR="001E7335" w:rsidRDefault="001E7335" w:rsidP="001E7335">
            <w:pPr>
              <w:pStyle w:val="TableText"/>
            </w:pPr>
            <w:r>
              <w:t xml:space="preserve">Dabrafenib, encorafenib, vemurafenib: targeted treatment </w:t>
            </w:r>
            <w:r w:rsidRPr="00961B27">
              <w:t>(</w:t>
            </w:r>
            <w:r>
              <w:t>small molecules</w:t>
            </w:r>
            <w:r w:rsidRPr="00961B27">
              <w:t xml:space="preserve"> targeting </w:t>
            </w:r>
            <w:r>
              <w:t>BRAF</w:t>
            </w:r>
            <w:r w:rsidRPr="00961B27">
              <w:t xml:space="preserve"> protein)</w:t>
            </w:r>
          </w:p>
          <w:p w14:paraId="29EF60AA" w14:textId="77777777" w:rsidR="001E7335" w:rsidRDefault="001E7335" w:rsidP="001E7335">
            <w:pPr>
              <w:pStyle w:val="TableText"/>
            </w:pPr>
            <w:r>
              <w:t xml:space="preserve">Trametinib, binimetinib, cobimetinib: targeted treatment </w:t>
            </w:r>
            <w:r w:rsidRPr="00961B27">
              <w:t>(</w:t>
            </w:r>
            <w:r>
              <w:t>small molecules</w:t>
            </w:r>
            <w:r w:rsidRPr="00961B27">
              <w:t xml:space="preserve"> targeting </w:t>
            </w:r>
            <w:r>
              <w:t>MEK</w:t>
            </w:r>
            <w:r w:rsidRPr="00961B27">
              <w:t xml:space="preserve"> protein)</w:t>
            </w:r>
          </w:p>
        </w:tc>
      </w:tr>
      <w:tr w:rsidR="001E7335" w14:paraId="22E00241" w14:textId="77777777" w:rsidTr="00290AF3">
        <w:trPr>
          <w:cantSplit/>
        </w:trPr>
        <w:tc>
          <w:tcPr>
            <w:tcW w:w="2020" w:type="dxa"/>
            <w:tcBorders>
              <w:top w:val="single" w:sz="4" w:space="0" w:color="C2D9BA"/>
              <w:bottom w:val="single" w:sz="4" w:space="0" w:color="C2D9BA"/>
            </w:tcBorders>
            <w:shd w:val="clear" w:color="auto" w:fill="auto"/>
          </w:tcPr>
          <w:p w14:paraId="6A96DB68" w14:textId="77777777" w:rsidR="001E7335" w:rsidRPr="00181CD3" w:rsidRDefault="001E7335" w:rsidP="00290AF3">
            <w:pPr>
              <w:pStyle w:val="TableText"/>
              <w:ind w:right="113"/>
              <w:rPr>
                <w:b/>
              </w:rPr>
            </w:pPr>
            <w:r w:rsidRPr="00181CD3">
              <w:rPr>
                <w:b/>
              </w:rPr>
              <w:t>Intent of treatment</w:t>
            </w:r>
          </w:p>
        </w:tc>
        <w:tc>
          <w:tcPr>
            <w:tcW w:w="6060" w:type="dxa"/>
            <w:gridSpan w:val="3"/>
            <w:tcBorders>
              <w:top w:val="single" w:sz="4" w:space="0" w:color="C2D9BA"/>
              <w:bottom w:val="single" w:sz="4" w:space="0" w:color="C2D9BA"/>
            </w:tcBorders>
            <w:shd w:val="clear" w:color="auto" w:fill="auto"/>
          </w:tcPr>
          <w:p w14:paraId="386C03F1" w14:textId="77777777" w:rsidR="001E7335" w:rsidRDefault="001E7335" w:rsidP="001E7335">
            <w:pPr>
              <w:pStyle w:val="TableText"/>
            </w:pPr>
            <w:r>
              <w:t>Non-curative</w:t>
            </w:r>
          </w:p>
        </w:tc>
      </w:tr>
      <w:tr w:rsidR="001E7335" w14:paraId="05ECE2B5" w14:textId="77777777" w:rsidTr="001E7335">
        <w:trPr>
          <w:cantSplit/>
        </w:trPr>
        <w:tc>
          <w:tcPr>
            <w:tcW w:w="2020" w:type="dxa"/>
            <w:tcBorders>
              <w:top w:val="single" w:sz="4" w:space="0" w:color="C2D9BA"/>
              <w:bottom w:val="single" w:sz="4" w:space="0" w:color="C2D9BA"/>
            </w:tcBorders>
            <w:shd w:val="clear" w:color="auto" w:fill="auto"/>
          </w:tcPr>
          <w:p w14:paraId="06C338F4" w14:textId="77777777" w:rsidR="001E7335" w:rsidRPr="00181CD3" w:rsidRDefault="001E7335" w:rsidP="00290AF3">
            <w:pPr>
              <w:pStyle w:val="TableText"/>
              <w:ind w:right="113"/>
              <w:rPr>
                <w:b/>
              </w:rPr>
            </w:pPr>
            <w:r w:rsidRPr="00181CD3">
              <w:rPr>
                <w:b/>
              </w:rPr>
              <w:t>Pharmac status at time of analysis</w:t>
            </w:r>
          </w:p>
        </w:tc>
        <w:tc>
          <w:tcPr>
            <w:tcW w:w="6060" w:type="dxa"/>
            <w:gridSpan w:val="3"/>
            <w:tcBorders>
              <w:top w:val="single" w:sz="4" w:space="0" w:color="C2D9BA"/>
              <w:bottom w:val="single" w:sz="4" w:space="0" w:color="C2D9BA"/>
            </w:tcBorders>
            <w:shd w:val="clear" w:color="auto" w:fill="auto"/>
          </w:tcPr>
          <w:p w14:paraId="0A6CAB1B" w14:textId="77777777" w:rsidR="001E7335" w:rsidRDefault="001E7335" w:rsidP="001E7335">
            <w:pPr>
              <w:pStyle w:val="TableText"/>
            </w:pPr>
            <w:r>
              <w:t>No application received</w:t>
            </w:r>
          </w:p>
        </w:tc>
      </w:tr>
      <w:tr w:rsidR="001E7335" w14:paraId="2D244C9F" w14:textId="77777777" w:rsidTr="00AF1A99">
        <w:trPr>
          <w:cantSplit/>
        </w:trPr>
        <w:tc>
          <w:tcPr>
            <w:tcW w:w="2020" w:type="dxa"/>
            <w:tcBorders>
              <w:top w:val="single" w:sz="4" w:space="0" w:color="C2D9BA"/>
              <w:bottom w:val="single" w:sz="4" w:space="0" w:color="C2D9BA"/>
            </w:tcBorders>
            <w:shd w:val="clear" w:color="auto" w:fill="auto"/>
          </w:tcPr>
          <w:p w14:paraId="6BC2008F" w14:textId="77777777" w:rsidR="001E7335" w:rsidRPr="0038658B" w:rsidRDefault="001E7335" w:rsidP="00290AF3">
            <w:pPr>
              <w:pStyle w:val="TableText"/>
              <w:ind w:right="113"/>
              <w:rPr>
                <w:b/>
              </w:rPr>
            </w:pPr>
            <w:r w:rsidRPr="0038658B">
              <w:rPr>
                <w:b/>
              </w:rPr>
              <w:t>ESMO-MCBS clinical benefit score and summary of data informing the score</w:t>
            </w:r>
          </w:p>
        </w:tc>
        <w:tc>
          <w:tcPr>
            <w:tcW w:w="1666" w:type="dxa"/>
            <w:tcBorders>
              <w:top w:val="single" w:sz="4" w:space="0" w:color="C2D9BA"/>
              <w:bottom w:val="single" w:sz="4" w:space="0" w:color="C2D9BA"/>
            </w:tcBorders>
            <w:shd w:val="clear" w:color="auto" w:fill="auto"/>
          </w:tcPr>
          <w:p w14:paraId="0C9C60BE" w14:textId="77777777" w:rsidR="001E7335" w:rsidRDefault="001E7335" w:rsidP="001E7335">
            <w:pPr>
              <w:pStyle w:val="TableText"/>
            </w:pPr>
            <w:r>
              <w:t>Dabrafenib with trametinib</w:t>
            </w:r>
          </w:p>
        </w:tc>
        <w:tc>
          <w:tcPr>
            <w:tcW w:w="425" w:type="dxa"/>
            <w:tcBorders>
              <w:top w:val="single" w:sz="4" w:space="0" w:color="C2D9BA"/>
              <w:bottom w:val="single" w:sz="4" w:space="0" w:color="C2D9BA"/>
            </w:tcBorders>
            <w:shd w:val="clear" w:color="auto" w:fill="auto"/>
          </w:tcPr>
          <w:p w14:paraId="663816FD" w14:textId="77777777" w:rsidR="001E7335" w:rsidRDefault="001E7335" w:rsidP="001E7335">
            <w:pPr>
              <w:pStyle w:val="TableText"/>
            </w:pPr>
            <w:r>
              <w:t>5</w:t>
            </w:r>
          </w:p>
        </w:tc>
        <w:tc>
          <w:tcPr>
            <w:tcW w:w="3969" w:type="dxa"/>
            <w:tcBorders>
              <w:top w:val="single" w:sz="4" w:space="0" w:color="C2D9BA"/>
              <w:bottom w:val="single" w:sz="4" w:space="0" w:color="C2D9BA"/>
            </w:tcBorders>
            <w:shd w:val="clear" w:color="auto" w:fill="auto"/>
          </w:tcPr>
          <w:p w14:paraId="10D6CA12" w14:textId="77777777" w:rsidR="001E7335" w:rsidRDefault="001E7335" w:rsidP="001E7335">
            <w:pPr>
              <w:pStyle w:val="TableText"/>
            </w:pPr>
            <w:r>
              <w:t>Compared with vemurafenib:</w:t>
            </w:r>
          </w:p>
          <w:p w14:paraId="1B12C612" w14:textId="77777777" w:rsidR="001E7335" w:rsidRDefault="001E7335" w:rsidP="001E7335">
            <w:pPr>
              <w:pStyle w:val="TableText"/>
            </w:pPr>
            <w:r>
              <w:t>Gain in median overall survival of 8.0 months, with durable response (three-year overall survival gain 13%)</w:t>
            </w:r>
          </w:p>
          <w:p w14:paraId="3A45567D" w14:textId="77777777" w:rsidR="001E7335" w:rsidRDefault="001E7335" w:rsidP="001E7335">
            <w:pPr>
              <w:pStyle w:val="TableText"/>
            </w:pPr>
            <w:r>
              <w:t>Gain in median progression-free survival of 4.1 months.</w:t>
            </w:r>
          </w:p>
          <w:p w14:paraId="1113CADC" w14:textId="77777777" w:rsidR="001E7335" w:rsidRDefault="001E7335" w:rsidP="001E7335">
            <w:pPr>
              <w:pStyle w:val="TableText"/>
            </w:pPr>
            <w:r>
              <w:t>Quality of life was reported as an exploratory outcome and did not contribute to the score.</w:t>
            </w:r>
          </w:p>
          <w:p w14:paraId="3F5A1E68" w14:textId="77777777" w:rsidR="001E7335" w:rsidRDefault="001E7335" w:rsidP="001E7335">
            <w:pPr>
              <w:pStyle w:val="TableText"/>
            </w:pPr>
            <w:r>
              <w:t>A reduction in frequency of skin cancer side effects contributed to the score.</w:t>
            </w:r>
          </w:p>
          <w:p w14:paraId="7F4D565E" w14:textId="77777777" w:rsidR="001E7335" w:rsidRDefault="001E7335" w:rsidP="001E7335">
            <w:pPr>
              <w:pStyle w:val="TableText"/>
            </w:pPr>
            <w:r>
              <w:t>Note: These were the results in a comparison against vemurafenib, which is not funded in Aotearoa. The relevant comparator for Aotearoa would be nivolumab or pembrolizumab. Clinical advice indicated that, against this comparator, the ESMO-MCBS score would likely be at least 4 for melanoma with a BRAF V600 mutation.</w:t>
            </w:r>
          </w:p>
          <w:p w14:paraId="54F74524" w14:textId="77777777" w:rsidR="001E7335" w:rsidRDefault="0056499C" w:rsidP="001E7335">
            <w:pPr>
              <w:pStyle w:val="TableText"/>
            </w:pPr>
            <w:hyperlink r:id="rId121" w:history="1">
              <w:r w:rsidR="001E7335" w:rsidRPr="00E71E96">
                <w:rPr>
                  <w:rStyle w:val="Hyperlink"/>
                  <w:rFonts w:eastAsia="MS Gothic"/>
                </w:rPr>
                <w:t>www.esmo.org/guidelines/esmo-mcbs/esmo-mcbs-scorecards/scorecard-87-1</w:t>
              </w:r>
            </w:hyperlink>
          </w:p>
        </w:tc>
      </w:tr>
      <w:tr w:rsidR="00AF1A99" w14:paraId="195D6590" w14:textId="77777777" w:rsidTr="0065478D">
        <w:trPr>
          <w:cantSplit/>
        </w:trPr>
        <w:tc>
          <w:tcPr>
            <w:tcW w:w="2020" w:type="dxa"/>
            <w:vMerge w:val="restart"/>
            <w:tcBorders>
              <w:top w:val="single" w:sz="4" w:space="0" w:color="C2D9BA"/>
            </w:tcBorders>
            <w:shd w:val="clear" w:color="auto" w:fill="auto"/>
          </w:tcPr>
          <w:p w14:paraId="649C41BB" w14:textId="77777777" w:rsidR="00AF1A99" w:rsidRPr="00AF1A99" w:rsidRDefault="00AF1A99" w:rsidP="00AF1A99">
            <w:pPr>
              <w:pStyle w:val="TableText"/>
              <w:keepNext/>
              <w:keepLines/>
            </w:pPr>
            <w:r w:rsidRPr="0038658B">
              <w:rPr>
                <w:b/>
              </w:rPr>
              <w:lastRenderedPageBreak/>
              <w:t>ESMO-MCBS clinical benefit score and summary of data informing the score</w:t>
            </w:r>
            <w:r>
              <w:rPr>
                <w:b/>
              </w:rPr>
              <w:t xml:space="preserve"> </w:t>
            </w:r>
            <w:r>
              <w:t>(continued)</w:t>
            </w:r>
          </w:p>
        </w:tc>
        <w:tc>
          <w:tcPr>
            <w:tcW w:w="1666" w:type="dxa"/>
            <w:tcBorders>
              <w:top w:val="single" w:sz="4" w:space="0" w:color="C2D9BA"/>
              <w:bottom w:val="single" w:sz="4" w:space="0" w:color="C2D9BA"/>
            </w:tcBorders>
            <w:shd w:val="clear" w:color="auto" w:fill="auto"/>
          </w:tcPr>
          <w:p w14:paraId="59929832" w14:textId="77777777" w:rsidR="00AF1A99" w:rsidRDefault="00AF1A99" w:rsidP="00AF1A99">
            <w:pPr>
              <w:pStyle w:val="TableText"/>
              <w:keepNext/>
              <w:keepLines/>
            </w:pPr>
            <w:r>
              <w:t>Encorafenib with binimetinib</w:t>
            </w:r>
          </w:p>
        </w:tc>
        <w:tc>
          <w:tcPr>
            <w:tcW w:w="425" w:type="dxa"/>
            <w:tcBorders>
              <w:top w:val="single" w:sz="4" w:space="0" w:color="C2D9BA"/>
              <w:bottom w:val="single" w:sz="4" w:space="0" w:color="C2D9BA"/>
            </w:tcBorders>
            <w:shd w:val="clear" w:color="auto" w:fill="auto"/>
          </w:tcPr>
          <w:p w14:paraId="67E59A44" w14:textId="77777777" w:rsidR="00AF1A99" w:rsidRDefault="00AF1A99" w:rsidP="00AF1A99">
            <w:pPr>
              <w:pStyle w:val="TableText"/>
              <w:keepNext/>
              <w:keepLines/>
            </w:pPr>
            <w:r>
              <w:t>4</w:t>
            </w:r>
          </w:p>
        </w:tc>
        <w:tc>
          <w:tcPr>
            <w:tcW w:w="3969" w:type="dxa"/>
            <w:tcBorders>
              <w:top w:val="single" w:sz="4" w:space="0" w:color="C2D9BA"/>
              <w:bottom w:val="single" w:sz="4" w:space="0" w:color="C2D9BA"/>
            </w:tcBorders>
            <w:shd w:val="clear" w:color="auto" w:fill="auto"/>
          </w:tcPr>
          <w:p w14:paraId="6E5C1651" w14:textId="77777777" w:rsidR="00AF1A99" w:rsidRDefault="00AF1A99" w:rsidP="00AF1A99">
            <w:pPr>
              <w:pStyle w:val="TableText"/>
              <w:keepNext/>
              <w:keepLines/>
            </w:pPr>
            <w:r>
              <w:t>Compared with vemurafenib:</w:t>
            </w:r>
          </w:p>
          <w:p w14:paraId="5DD105AE" w14:textId="77777777" w:rsidR="00AF1A99" w:rsidRDefault="00AF1A99" w:rsidP="00AF1A99">
            <w:pPr>
              <w:pStyle w:val="TableText"/>
              <w:keepNext/>
              <w:keepLines/>
            </w:pPr>
            <w:r>
              <w:t>Gain in median overall survival of 16.7 months</w:t>
            </w:r>
          </w:p>
          <w:p w14:paraId="36D3BF8D" w14:textId="77777777" w:rsidR="00AF1A99" w:rsidRDefault="00AF1A99" w:rsidP="00AF1A99">
            <w:pPr>
              <w:pStyle w:val="TableText"/>
              <w:keepNext/>
              <w:keepLines/>
            </w:pPr>
            <w:r>
              <w:t>Gain in median progression-free survival of 7.6 months</w:t>
            </w:r>
          </w:p>
          <w:p w14:paraId="746847CE" w14:textId="77777777" w:rsidR="00AF1A99" w:rsidRDefault="00AF1A99" w:rsidP="00AF1A99">
            <w:pPr>
              <w:pStyle w:val="TableText"/>
              <w:keepNext/>
              <w:keepLines/>
            </w:pPr>
            <w:r>
              <w:t>Quality-of-life and toxicity results did not contribute to this score.</w:t>
            </w:r>
          </w:p>
          <w:p w14:paraId="5F97A3E4" w14:textId="77777777" w:rsidR="00AF1A99" w:rsidRDefault="00AF1A99" w:rsidP="00AF1A99">
            <w:pPr>
              <w:pStyle w:val="TableText"/>
              <w:keepNext/>
              <w:keepLines/>
            </w:pPr>
            <w:r>
              <w:t>Note: These were the results in a comparison against vemurafenib, which is not funded in Aotearoa. The relevant comparator for Aotearoa would be nivolumab or pembrolizumab. Clinical advice indicated that, against this comparator, the ESMO-MCBS score would likely be at least 4 for melanoma with a BRAF V600 mutation.</w:t>
            </w:r>
          </w:p>
          <w:p w14:paraId="57775DFC" w14:textId="77777777" w:rsidR="00AF1A99" w:rsidRDefault="0056499C" w:rsidP="00AF1A99">
            <w:pPr>
              <w:pStyle w:val="TableText"/>
              <w:keepNext/>
              <w:keepLines/>
            </w:pPr>
            <w:hyperlink r:id="rId122" w:history="1">
              <w:r w:rsidR="00AF1A99" w:rsidRPr="00E71E96">
                <w:rPr>
                  <w:rStyle w:val="Hyperlink"/>
                  <w:rFonts w:eastAsia="MS Gothic"/>
                </w:rPr>
                <w:t>www.esmo.org/guidelines/esmo-mcbs/esmo-mcbs-scorecards/scorecard-238-1</w:t>
              </w:r>
            </w:hyperlink>
          </w:p>
        </w:tc>
      </w:tr>
      <w:tr w:rsidR="00AF1A99" w:rsidRPr="00181CD3" w14:paraId="677E8A2B" w14:textId="77777777" w:rsidTr="0065478D">
        <w:trPr>
          <w:cantSplit/>
        </w:trPr>
        <w:tc>
          <w:tcPr>
            <w:tcW w:w="2020" w:type="dxa"/>
            <w:vMerge/>
            <w:tcBorders>
              <w:bottom w:val="single" w:sz="4" w:space="0" w:color="C2D9BA"/>
            </w:tcBorders>
            <w:shd w:val="clear" w:color="auto" w:fill="auto"/>
          </w:tcPr>
          <w:p w14:paraId="2F0E1710" w14:textId="77777777" w:rsidR="00AF1A99" w:rsidRPr="0074040F" w:rsidRDefault="00AF1A99" w:rsidP="00290AF3">
            <w:pPr>
              <w:pStyle w:val="TableText"/>
            </w:pPr>
          </w:p>
        </w:tc>
        <w:tc>
          <w:tcPr>
            <w:tcW w:w="1666" w:type="dxa"/>
            <w:tcBorders>
              <w:top w:val="single" w:sz="4" w:space="0" w:color="C2D9BA"/>
              <w:bottom w:val="single" w:sz="4" w:space="0" w:color="C2D9BA"/>
            </w:tcBorders>
            <w:shd w:val="clear" w:color="auto" w:fill="auto"/>
          </w:tcPr>
          <w:p w14:paraId="4A977ACF" w14:textId="77777777" w:rsidR="00AF1A99" w:rsidRDefault="00AF1A99" w:rsidP="001E7335">
            <w:pPr>
              <w:pStyle w:val="TableText"/>
            </w:pPr>
            <w:r>
              <w:t>Vemurafenib with cobimetinib</w:t>
            </w:r>
          </w:p>
        </w:tc>
        <w:tc>
          <w:tcPr>
            <w:tcW w:w="425" w:type="dxa"/>
            <w:tcBorders>
              <w:top w:val="single" w:sz="4" w:space="0" w:color="C2D9BA"/>
              <w:bottom w:val="single" w:sz="4" w:space="0" w:color="C2D9BA"/>
            </w:tcBorders>
            <w:shd w:val="clear" w:color="auto" w:fill="auto"/>
          </w:tcPr>
          <w:p w14:paraId="304F214E" w14:textId="77777777" w:rsidR="00AF1A99" w:rsidRDefault="00AF1A99" w:rsidP="001E7335">
            <w:pPr>
              <w:pStyle w:val="TableText"/>
            </w:pPr>
            <w:r>
              <w:t>4</w:t>
            </w:r>
          </w:p>
        </w:tc>
        <w:tc>
          <w:tcPr>
            <w:tcW w:w="3969" w:type="dxa"/>
            <w:tcBorders>
              <w:top w:val="single" w:sz="4" w:space="0" w:color="C2D9BA"/>
              <w:bottom w:val="single" w:sz="4" w:space="0" w:color="C2D9BA"/>
            </w:tcBorders>
            <w:shd w:val="clear" w:color="auto" w:fill="auto"/>
          </w:tcPr>
          <w:p w14:paraId="66BD7976" w14:textId="77777777" w:rsidR="00AF1A99" w:rsidRDefault="00AF1A99" w:rsidP="001E7335">
            <w:pPr>
              <w:pStyle w:val="TableText"/>
            </w:pPr>
            <w:r>
              <w:t>Compared with vemurafenib:</w:t>
            </w:r>
          </w:p>
          <w:p w14:paraId="0DE992B1" w14:textId="77777777" w:rsidR="00AF1A99" w:rsidRDefault="00AF1A99" w:rsidP="001E7335">
            <w:pPr>
              <w:pStyle w:val="TableText"/>
            </w:pPr>
            <w:r>
              <w:t>Gain in median overall survival of 4.9 months</w:t>
            </w:r>
          </w:p>
          <w:p w14:paraId="54AD3637" w14:textId="77777777" w:rsidR="00AF1A99" w:rsidRDefault="00AF1A99" w:rsidP="001E7335">
            <w:pPr>
              <w:pStyle w:val="TableText"/>
            </w:pPr>
            <w:r>
              <w:t>Gain in median progression-free survival of 5.1 months.</w:t>
            </w:r>
          </w:p>
          <w:p w14:paraId="1405B260" w14:textId="77777777" w:rsidR="00AF1A99" w:rsidRDefault="00AF1A99" w:rsidP="001E7335">
            <w:pPr>
              <w:pStyle w:val="TableText"/>
            </w:pPr>
            <w:r>
              <w:t>Quality-of-life results did not contribute to the score.</w:t>
            </w:r>
          </w:p>
          <w:p w14:paraId="3998D0E9" w14:textId="77777777" w:rsidR="00AF1A99" w:rsidRDefault="00AF1A99" w:rsidP="001E7335">
            <w:pPr>
              <w:pStyle w:val="TableText"/>
            </w:pPr>
            <w:r>
              <w:t>A reduction in frequency of skin cancer side effects contributed to the score.</w:t>
            </w:r>
          </w:p>
          <w:p w14:paraId="369351C9" w14:textId="77777777" w:rsidR="00AF1A99" w:rsidRDefault="00AF1A99" w:rsidP="001E7335">
            <w:pPr>
              <w:pStyle w:val="TableText"/>
            </w:pPr>
            <w:r>
              <w:t>Note: These were the results in a comparison against vemurafenib, which is not funded in Aotearoa. The relevant comparator for Aotearoa would be nivolumab or pembrolizumab. Clinical advice indicated that, against this comparator, the ESMO-MCBS score would likely be at least 4 for melanoma with a BRAF V600 mutation.</w:t>
            </w:r>
          </w:p>
          <w:p w14:paraId="4CB56F60" w14:textId="77777777" w:rsidR="00AF1A99" w:rsidRDefault="0056499C" w:rsidP="001E7335">
            <w:pPr>
              <w:pStyle w:val="TableText"/>
            </w:pPr>
            <w:hyperlink r:id="rId123" w:history="1">
              <w:r w:rsidR="00AF1A99" w:rsidRPr="00E71E96">
                <w:rPr>
                  <w:rStyle w:val="Hyperlink"/>
                  <w:rFonts w:eastAsia="MS Gothic"/>
                </w:rPr>
                <w:t>www.esmo.org/guidelines/esmo-mcbs/esmo-mcbs-scorecards/scorecard-88-1</w:t>
              </w:r>
            </w:hyperlink>
          </w:p>
        </w:tc>
      </w:tr>
      <w:tr w:rsidR="001E7335" w14:paraId="1A5EE2BE" w14:textId="77777777" w:rsidTr="00290AF3">
        <w:trPr>
          <w:cantSplit/>
        </w:trPr>
        <w:tc>
          <w:tcPr>
            <w:tcW w:w="2020" w:type="dxa"/>
            <w:tcBorders>
              <w:top w:val="single" w:sz="4" w:space="0" w:color="C2D9BA"/>
              <w:bottom w:val="single" w:sz="4" w:space="0" w:color="C2D9BA"/>
            </w:tcBorders>
            <w:shd w:val="clear" w:color="auto" w:fill="auto"/>
          </w:tcPr>
          <w:p w14:paraId="7C877AB8" w14:textId="77777777" w:rsidR="001E7335" w:rsidRPr="0038658B" w:rsidRDefault="001E7335" w:rsidP="00290AF3">
            <w:pPr>
              <w:pStyle w:val="TableText"/>
              <w:ind w:right="113"/>
              <w:rPr>
                <w:b/>
              </w:rPr>
            </w:pPr>
            <w:r w:rsidRPr="0038658B">
              <w:rPr>
                <w:b/>
              </w:rPr>
              <w:t>Current clinical practice in Aotearoa and how this would change if the gap were filled</w:t>
            </w:r>
          </w:p>
        </w:tc>
        <w:tc>
          <w:tcPr>
            <w:tcW w:w="6060" w:type="dxa"/>
            <w:gridSpan w:val="3"/>
            <w:tcBorders>
              <w:top w:val="single" w:sz="4" w:space="0" w:color="C2D9BA"/>
              <w:bottom w:val="single" w:sz="4" w:space="0" w:color="C2D9BA"/>
            </w:tcBorders>
            <w:shd w:val="clear" w:color="auto" w:fill="auto"/>
          </w:tcPr>
          <w:p w14:paraId="747BE2A5" w14:textId="77777777" w:rsidR="001E7335" w:rsidRDefault="001E7335" w:rsidP="001E7335">
            <w:pPr>
              <w:pStyle w:val="TableText"/>
            </w:pPr>
            <w:r w:rsidRPr="001043A2">
              <w:t>In Aotearoa</w:t>
            </w:r>
            <w:r>
              <w:t>,</w:t>
            </w:r>
            <w:r w:rsidRPr="001043A2">
              <w:t xml:space="preserve"> the current treatment for unresectable stage III or IV melanoma (including those that are BRAF +) is pembrolizumab or nivolumab</w:t>
            </w:r>
            <w:r>
              <w:t>.</w:t>
            </w:r>
          </w:p>
          <w:p w14:paraId="4FB2D33E" w14:textId="77777777" w:rsidR="001E7335" w:rsidRDefault="001E7335" w:rsidP="001E7335">
            <w:pPr>
              <w:pStyle w:val="TableText"/>
            </w:pPr>
            <w:r w:rsidRPr="001043A2">
              <w:t xml:space="preserve">If </w:t>
            </w:r>
            <w:r>
              <w:t>one of these BRAF-MEK combination treatments</w:t>
            </w:r>
            <w:r w:rsidRPr="001043A2">
              <w:t xml:space="preserve"> were funded for this indication</w:t>
            </w:r>
            <w:r>
              <w:t>,</w:t>
            </w:r>
            <w:r w:rsidRPr="001043A2">
              <w:t xml:space="preserve"> </w:t>
            </w:r>
            <w:r>
              <w:t>this would become an alternative first-line treatment option for people with BRAF V600 +ve melanoma.</w:t>
            </w:r>
          </w:p>
        </w:tc>
      </w:tr>
      <w:tr w:rsidR="001E7335" w14:paraId="67909BAD" w14:textId="77777777" w:rsidTr="00290AF3">
        <w:trPr>
          <w:cantSplit/>
        </w:trPr>
        <w:tc>
          <w:tcPr>
            <w:tcW w:w="2020" w:type="dxa"/>
            <w:tcBorders>
              <w:top w:val="single" w:sz="4" w:space="0" w:color="C2D9BA"/>
              <w:bottom w:val="single" w:sz="4" w:space="0" w:color="C2D9BA"/>
            </w:tcBorders>
            <w:shd w:val="clear" w:color="auto" w:fill="auto"/>
          </w:tcPr>
          <w:p w14:paraId="452D581B" w14:textId="77777777" w:rsidR="001E7335" w:rsidRPr="0038658B" w:rsidRDefault="001E7335" w:rsidP="00290AF3">
            <w:pPr>
              <w:pStyle w:val="TableText"/>
              <w:ind w:right="113"/>
              <w:rPr>
                <w:b/>
              </w:rPr>
            </w:pPr>
            <w:r w:rsidRPr="0038658B">
              <w:rPr>
                <w:b/>
              </w:rPr>
              <w:t>Pharmac estimate of eligible population size</w:t>
            </w:r>
          </w:p>
        </w:tc>
        <w:tc>
          <w:tcPr>
            <w:tcW w:w="6060" w:type="dxa"/>
            <w:gridSpan w:val="3"/>
            <w:tcBorders>
              <w:top w:val="single" w:sz="4" w:space="0" w:color="C2D9BA"/>
              <w:bottom w:val="single" w:sz="4" w:space="0" w:color="C2D9BA"/>
            </w:tcBorders>
            <w:shd w:val="clear" w:color="auto" w:fill="auto"/>
          </w:tcPr>
          <w:p w14:paraId="7799EFC7" w14:textId="77777777" w:rsidR="001E7335" w:rsidRDefault="001E7335" w:rsidP="00CE5715">
            <w:pPr>
              <w:pStyle w:val="TableText"/>
            </w:pPr>
            <w:r>
              <w:t xml:space="preserve">A Pharmac estimate of the eligible population size was not readily available at time of publication. The population size was not able to be estimated by other means. For reference purposes only, if we assumed 33% of the number of people estimated to be diagnosed with stage III and IV melanoma were BRAF V600+, that would equate to about 71 people per year [33%*216=71]. This does not include any estimate of surgical resectability, however. See </w:t>
            </w:r>
            <w:hyperlink w:anchor="Appendix_7_Table_7point19" w:history="1">
              <w:r w:rsidR="00CE5715" w:rsidRPr="00CE5715">
                <w:rPr>
                  <w:rStyle w:val="Hyperlink"/>
                </w:rPr>
                <w:t>Table 7.19</w:t>
              </w:r>
            </w:hyperlink>
            <w:r>
              <w:t xml:space="preserve"> above and ‘epidemiology of melanoma skin cancers’ section below.</w:t>
            </w:r>
          </w:p>
        </w:tc>
      </w:tr>
      <w:tr w:rsidR="001E7335" w14:paraId="26CF12B5" w14:textId="77777777" w:rsidTr="00290AF3">
        <w:trPr>
          <w:cantSplit/>
        </w:trPr>
        <w:tc>
          <w:tcPr>
            <w:tcW w:w="2020" w:type="dxa"/>
            <w:tcBorders>
              <w:top w:val="single" w:sz="4" w:space="0" w:color="C2D9BA"/>
              <w:bottom w:val="single" w:sz="4" w:space="0" w:color="C2D9BA"/>
            </w:tcBorders>
            <w:shd w:val="clear" w:color="auto" w:fill="auto"/>
          </w:tcPr>
          <w:p w14:paraId="31B13BC0" w14:textId="77777777" w:rsidR="001E7335" w:rsidRPr="0038658B" w:rsidRDefault="001E7335" w:rsidP="001E7335">
            <w:pPr>
              <w:pStyle w:val="TableText"/>
              <w:ind w:right="113"/>
              <w:rPr>
                <w:b/>
              </w:rPr>
            </w:pPr>
            <w:r>
              <w:rPr>
                <w:b/>
              </w:rPr>
              <w:lastRenderedPageBreak/>
              <w:t>How thi</w:t>
            </w:r>
            <w:r w:rsidRPr="0038658B">
              <w:rPr>
                <w:b/>
              </w:rPr>
              <w:t>s medicine would be given</w:t>
            </w:r>
          </w:p>
        </w:tc>
        <w:tc>
          <w:tcPr>
            <w:tcW w:w="6060" w:type="dxa"/>
            <w:gridSpan w:val="3"/>
            <w:tcBorders>
              <w:top w:val="single" w:sz="4" w:space="0" w:color="C2D9BA"/>
              <w:bottom w:val="single" w:sz="4" w:space="0" w:color="C2D9BA"/>
            </w:tcBorders>
            <w:shd w:val="clear" w:color="auto" w:fill="auto"/>
          </w:tcPr>
          <w:p w14:paraId="774E10E9" w14:textId="77777777" w:rsidR="001E7335" w:rsidRDefault="001E7335" w:rsidP="001E7335">
            <w:pPr>
              <w:pStyle w:val="TableText"/>
            </w:pPr>
            <w:r>
              <w:t>These medicines are taken orally.</w:t>
            </w:r>
          </w:p>
          <w:p w14:paraId="08EBA486" w14:textId="77777777" w:rsidR="001E7335" w:rsidRDefault="001E7335" w:rsidP="001E7335">
            <w:pPr>
              <w:pStyle w:val="TableText"/>
            </w:pPr>
            <w:r>
              <w:t>Treatment would require at least two separate tablets and/or capsules, generally taken up to twice daily. Treatment would continue until disease progression or unacceptable toxicity.</w:t>
            </w:r>
          </w:p>
          <w:p w14:paraId="53134F1E" w14:textId="77777777" w:rsidR="001E7335" w:rsidRDefault="001E7335" w:rsidP="001E7335">
            <w:pPr>
              <w:pStyle w:val="TableText"/>
            </w:pPr>
            <w:r w:rsidRPr="001043A2">
              <w:t>In order to determine eligibility for this medicine, a particular test would need to be done using a sample of the tumour.</w:t>
            </w:r>
          </w:p>
        </w:tc>
      </w:tr>
      <w:tr w:rsidR="001E7335" w14:paraId="21E82C7A" w14:textId="77777777" w:rsidTr="00290AF3">
        <w:trPr>
          <w:cantSplit/>
        </w:trPr>
        <w:tc>
          <w:tcPr>
            <w:tcW w:w="2020" w:type="dxa"/>
            <w:tcBorders>
              <w:top w:val="single" w:sz="4" w:space="0" w:color="C2D9BA"/>
              <w:bottom w:val="single" w:sz="4" w:space="0" w:color="C2D9BA"/>
            </w:tcBorders>
            <w:shd w:val="clear" w:color="auto" w:fill="auto"/>
          </w:tcPr>
          <w:p w14:paraId="710D774D" w14:textId="77777777" w:rsidR="001E7335" w:rsidRPr="0038658B" w:rsidRDefault="001E7335" w:rsidP="00290AF3">
            <w:pPr>
              <w:pStyle w:val="TableText"/>
              <w:ind w:right="113"/>
              <w:rPr>
                <w:b/>
              </w:rPr>
            </w:pPr>
            <w:r w:rsidRPr="0038658B">
              <w:rPr>
                <w:b/>
              </w:rPr>
              <w:t>Patient and whānau considerations</w:t>
            </w:r>
          </w:p>
        </w:tc>
        <w:tc>
          <w:tcPr>
            <w:tcW w:w="6060" w:type="dxa"/>
            <w:gridSpan w:val="3"/>
            <w:tcBorders>
              <w:top w:val="single" w:sz="4" w:space="0" w:color="C2D9BA"/>
              <w:bottom w:val="single" w:sz="4" w:space="0" w:color="C2D9BA"/>
            </w:tcBorders>
            <w:shd w:val="clear" w:color="auto" w:fill="auto"/>
          </w:tcPr>
          <w:p w14:paraId="2CA6C51A" w14:textId="77777777" w:rsidR="001E7335" w:rsidRDefault="001E7335" w:rsidP="001E7335">
            <w:pPr>
              <w:pStyle w:val="TableText"/>
            </w:pPr>
            <w:r>
              <w:t>This treatment would become an alternative treatment option for these patients, with the potential clinical benefit described above.</w:t>
            </w:r>
          </w:p>
          <w:p w14:paraId="14E4414D" w14:textId="77777777" w:rsidR="001E7335" w:rsidRDefault="001E7335" w:rsidP="001E7335">
            <w:pPr>
              <w:pStyle w:val="TableText"/>
            </w:pPr>
            <w:r w:rsidRPr="001043A2">
              <w:t>In order to determine eligibility for this medicine, a particular</w:t>
            </w:r>
            <w:r>
              <w:t xml:space="preserve"> laboratory</w:t>
            </w:r>
            <w:r w:rsidRPr="001043A2">
              <w:t xml:space="preserve"> test would need to be done using a sample of the tumour</w:t>
            </w:r>
            <w:r>
              <w:t xml:space="preserve"> – this might mean an extra surgical procedure</w:t>
            </w:r>
            <w:r w:rsidRPr="001043A2">
              <w:t>.</w:t>
            </w:r>
          </w:p>
          <w:p w14:paraId="13A9EC0F" w14:textId="77777777" w:rsidR="001E7335" w:rsidRDefault="001E7335" w:rsidP="001E7335">
            <w:pPr>
              <w:pStyle w:val="TableText"/>
            </w:pPr>
            <w:r>
              <w:t>The current approach is to treat with nivolumab or pembrolizumab. This would mean that, compared with the current approach, there would be tablets to take, but these could be taken at home rather than needing to travel to an infusion centre. A prescription charge would be payable. The side effects of these oral treatments are likely to be very different to the current treatment approach.</w:t>
            </w:r>
          </w:p>
          <w:p w14:paraId="78D1C10E" w14:textId="77777777" w:rsidR="001E7335" w:rsidRDefault="001E7335" w:rsidP="001E7335">
            <w:pPr>
              <w:pStyle w:val="TableText"/>
            </w:pPr>
            <w:r>
              <w:t>Treatment would continue until there was progression of the disease (or intolerable side effects).</w:t>
            </w:r>
          </w:p>
        </w:tc>
      </w:tr>
      <w:tr w:rsidR="001E7335" w14:paraId="5870213D" w14:textId="77777777" w:rsidTr="00290AF3">
        <w:trPr>
          <w:cantSplit/>
        </w:trPr>
        <w:tc>
          <w:tcPr>
            <w:tcW w:w="2020" w:type="dxa"/>
            <w:tcBorders>
              <w:top w:val="single" w:sz="4" w:space="0" w:color="C2D9BA"/>
              <w:bottom w:val="single" w:sz="4" w:space="0" w:color="C2D9BA"/>
            </w:tcBorders>
            <w:shd w:val="clear" w:color="auto" w:fill="auto"/>
          </w:tcPr>
          <w:p w14:paraId="62FEF77F" w14:textId="77777777" w:rsidR="001E7335" w:rsidRPr="0038658B" w:rsidRDefault="001E7335" w:rsidP="00290AF3">
            <w:pPr>
              <w:pStyle w:val="TableText"/>
              <w:ind w:right="113"/>
              <w:rPr>
                <w:b/>
              </w:rPr>
            </w:pPr>
            <w:r w:rsidRPr="0038658B">
              <w:rPr>
                <w:b/>
              </w:rPr>
              <w:t>Health system resource considerations</w:t>
            </w:r>
          </w:p>
        </w:tc>
        <w:tc>
          <w:tcPr>
            <w:tcW w:w="6060" w:type="dxa"/>
            <w:gridSpan w:val="3"/>
            <w:tcBorders>
              <w:top w:val="single" w:sz="4" w:space="0" w:color="C2D9BA"/>
              <w:bottom w:val="single" w:sz="4" w:space="0" w:color="C2D9BA"/>
            </w:tcBorders>
            <w:shd w:val="clear" w:color="auto" w:fill="auto"/>
          </w:tcPr>
          <w:p w14:paraId="6A699F4C" w14:textId="77777777" w:rsidR="001E7335" w:rsidRDefault="001E7335" w:rsidP="001E7335">
            <w:pPr>
              <w:pStyle w:val="TableText"/>
            </w:pPr>
            <w:r>
              <w:t>Fewer treatment appointments required.</w:t>
            </w:r>
          </w:p>
          <w:p w14:paraId="7111107B" w14:textId="77777777" w:rsidR="001E7335" w:rsidRDefault="001E7335" w:rsidP="001E7335">
            <w:pPr>
              <w:pStyle w:val="TableText"/>
            </w:pPr>
            <w:r>
              <w:t>Reduced chair time for administration of treatment.</w:t>
            </w:r>
          </w:p>
          <w:p w14:paraId="36B231C6" w14:textId="77777777" w:rsidR="001E7335" w:rsidRDefault="001E7335" w:rsidP="001E7335">
            <w:pPr>
              <w:pStyle w:val="TableText"/>
            </w:pPr>
            <w:r w:rsidRPr="00614693">
              <w:t>Increased demand for laboratory</w:t>
            </w:r>
            <w:r>
              <w:t xml:space="preserve"> and pathology services to determine treatment eligibility and monitor for treatment toxicities.</w:t>
            </w:r>
          </w:p>
          <w:p w14:paraId="6D2C52C4" w14:textId="77777777" w:rsidR="001E7335" w:rsidRDefault="001E7335" w:rsidP="001E7335">
            <w:pPr>
              <w:pStyle w:val="TableText"/>
            </w:pPr>
            <w:r>
              <w:t xml:space="preserve">Increased demand for </w:t>
            </w:r>
            <w:r w:rsidRPr="00614693">
              <w:t xml:space="preserve">radiology </w:t>
            </w:r>
            <w:r>
              <w:t xml:space="preserve">services </w:t>
            </w:r>
            <w:r w:rsidRPr="00614693">
              <w:t>to assess for disease progression (subject to any funding criteria).</w:t>
            </w:r>
          </w:p>
        </w:tc>
      </w:tr>
    </w:tbl>
    <w:p w14:paraId="60B7FAB3" w14:textId="77777777" w:rsidR="0038658B" w:rsidRPr="0038658B" w:rsidRDefault="0038658B" w:rsidP="0038658B"/>
    <w:p w14:paraId="0D198131" w14:textId="77777777" w:rsidR="00C338E8" w:rsidRDefault="007228FF" w:rsidP="00EC2914">
      <w:pPr>
        <w:pStyle w:val="Heading4"/>
      </w:pPr>
      <w:bookmarkStart w:id="442" w:name="Epidemiology"/>
      <w:bookmarkStart w:id="443" w:name="_Toc100739078"/>
      <w:bookmarkEnd w:id="441"/>
      <w:bookmarkEnd w:id="442"/>
      <w:r>
        <w:t>Epidemiology of melanoma skin cancers</w:t>
      </w:r>
      <w:bookmarkEnd w:id="443"/>
    </w:p>
    <w:p w14:paraId="267DF850" w14:textId="77777777" w:rsidR="00C338E8" w:rsidRDefault="007228FF" w:rsidP="00EC2914">
      <w:pPr>
        <w:pStyle w:val="Heading5"/>
      </w:pPr>
      <w:r>
        <w:t>Incidence</w:t>
      </w:r>
    </w:p>
    <w:p w14:paraId="49ABE1CA" w14:textId="77777777" w:rsidR="00C338E8" w:rsidRDefault="007228FF" w:rsidP="00EC2914">
      <w:r>
        <w:t xml:space="preserve">Melanoma skin cancers are the fourth most common cancers diagnosed in Aotearoa – with an average of 2,400 people diagnosed each year, including 46 Māori </w:t>
      </w:r>
      <w:r>
        <w:rPr>
          <w:noProof/>
        </w:rPr>
        <w:t>(</w:t>
      </w:r>
      <w:r w:rsidR="00F64599">
        <w:rPr>
          <w:noProof/>
        </w:rPr>
        <w:t>Te Aho</w:t>
      </w:r>
      <w:r>
        <w:rPr>
          <w:noProof/>
        </w:rPr>
        <w:t xml:space="preserve"> o </w:t>
      </w:r>
      <w:r w:rsidR="00B537E2">
        <w:rPr>
          <w:noProof/>
        </w:rPr>
        <w:t>Te Kahu</w:t>
      </w:r>
      <w:r>
        <w:rPr>
          <w:noProof/>
        </w:rPr>
        <w:t xml:space="preserve"> 2021a)</w:t>
      </w:r>
      <w:r>
        <w:t xml:space="preserve">. The rate of melanoma is substantially higher for non-Māori (primarily New Zealand Europeans) compared with Māori (5 per 100,000 for Māori, 29 per 100,000 for non-Māori) </w:t>
      </w:r>
      <w:r>
        <w:rPr>
          <w:noProof/>
        </w:rPr>
        <w:t>(</w:t>
      </w:r>
      <w:r w:rsidR="00F64599">
        <w:rPr>
          <w:noProof/>
        </w:rPr>
        <w:t>Te Aho</w:t>
      </w:r>
      <w:r>
        <w:rPr>
          <w:noProof/>
        </w:rPr>
        <w:t xml:space="preserve"> o </w:t>
      </w:r>
      <w:r w:rsidR="00B537E2">
        <w:rPr>
          <w:noProof/>
        </w:rPr>
        <w:t>Te Kahu</w:t>
      </w:r>
      <w:r>
        <w:rPr>
          <w:noProof/>
        </w:rPr>
        <w:t xml:space="preserve"> 2021a)</w:t>
      </w:r>
      <w:r>
        <w:t xml:space="preserve">. Similarly, the rate of melanoma among Pacific peoples is considerably lower than that of the non-Māori, non-Pacific, non-Asian population </w:t>
      </w:r>
      <w:r>
        <w:rPr>
          <w:noProof/>
        </w:rPr>
        <w:t xml:space="preserve">(Meredith </w:t>
      </w:r>
      <w:r w:rsidR="00C338E8">
        <w:rPr>
          <w:noProof/>
        </w:rPr>
        <w:t>et al</w:t>
      </w:r>
      <w:r w:rsidR="003B51F4">
        <w:rPr>
          <w:noProof/>
        </w:rPr>
        <w:t xml:space="preserve"> 2</w:t>
      </w:r>
      <w:r>
        <w:rPr>
          <w:noProof/>
        </w:rPr>
        <w:t>012)</w:t>
      </w:r>
      <w:r>
        <w:t>. Melanomas harbour BRAF mutations in 40–50</w:t>
      </w:r>
      <w:r w:rsidR="00F64599">
        <w:t> percent</w:t>
      </w:r>
      <w:r>
        <w:t xml:space="preserve"> of cases </w:t>
      </w:r>
      <w:r>
        <w:rPr>
          <w:noProof/>
        </w:rPr>
        <w:t xml:space="preserve">(Greaves </w:t>
      </w:r>
      <w:r w:rsidR="00C338E8">
        <w:rPr>
          <w:noProof/>
        </w:rPr>
        <w:t>et al</w:t>
      </w:r>
      <w:r w:rsidR="003B51F4">
        <w:rPr>
          <w:noProof/>
        </w:rPr>
        <w:t xml:space="preserve"> 2</w:t>
      </w:r>
      <w:r>
        <w:rPr>
          <w:noProof/>
        </w:rPr>
        <w:t xml:space="preserve">013; Wolfe </w:t>
      </w:r>
      <w:r w:rsidR="00C338E8">
        <w:rPr>
          <w:noProof/>
        </w:rPr>
        <w:t>et al</w:t>
      </w:r>
      <w:r w:rsidR="003B51F4">
        <w:rPr>
          <w:noProof/>
        </w:rPr>
        <w:t xml:space="preserve"> 2</w:t>
      </w:r>
      <w:r>
        <w:rPr>
          <w:noProof/>
        </w:rPr>
        <w:t>021)</w:t>
      </w:r>
      <w:r>
        <w:t>, although a small study in Aotearoa found a lower prevalence of 33</w:t>
      </w:r>
      <w:r w:rsidR="00F64599">
        <w:t> percent</w:t>
      </w:r>
      <w:r>
        <w:t xml:space="preserve"> </w:t>
      </w:r>
      <w:r>
        <w:rPr>
          <w:noProof/>
        </w:rPr>
        <w:t xml:space="preserve">(Jones </w:t>
      </w:r>
      <w:r w:rsidR="00C338E8">
        <w:rPr>
          <w:noProof/>
        </w:rPr>
        <w:t>et al</w:t>
      </w:r>
      <w:r w:rsidR="003B51F4">
        <w:rPr>
          <w:noProof/>
        </w:rPr>
        <w:t xml:space="preserve"> 2</w:t>
      </w:r>
      <w:r>
        <w:rPr>
          <w:noProof/>
        </w:rPr>
        <w:t>016)</w:t>
      </w:r>
      <w:r>
        <w:t>.</w:t>
      </w:r>
    </w:p>
    <w:p w14:paraId="6201DC38" w14:textId="77777777" w:rsidR="00C338E8" w:rsidRDefault="00C338E8" w:rsidP="00EC2914"/>
    <w:p w14:paraId="7C6A4860" w14:textId="77777777" w:rsidR="00C338E8" w:rsidRDefault="007228FF" w:rsidP="00EC2914">
      <w:pPr>
        <w:pStyle w:val="Heading5"/>
      </w:pPr>
      <w:r>
        <w:t>Stage at diagnosis</w:t>
      </w:r>
    </w:p>
    <w:p w14:paraId="14678AA1" w14:textId="77777777" w:rsidR="00C338E8" w:rsidRDefault="007228FF" w:rsidP="00EC2914">
      <w:r>
        <w:t>Based on New Zealand Cancer Registry data, the vast majority of melanomas are diagnosed at a local stage (83</w:t>
      </w:r>
      <w:r w:rsidR="00F64599">
        <w:t> percent</w:t>
      </w:r>
      <w:r>
        <w:t xml:space="preserve"> of total cases, 70</w:t>
      </w:r>
      <w:r w:rsidR="00F64599">
        <w:t> percent</w:t>
      </w:r>
      <w:r>
        <w:t xml:space="preserve"> Māori, 82</w:t>
      </w:r>
      <w:r w:rsidR="00F64599">
        <w:t> percent</w:t>
      </w:r>
      <w:r>
        <w:t xml:space="preserve"> New Zealand European). Around 8</w:t>
      </w:r>
      <w:r w:rsidR="00F64599">
        <w:t> percent</w:t>
      </w:r>
      <w:r>
        <w:t xml:space="preserve"> are diagnosed at a regional stage (4</w:t>
      </w:r>
      <w:r w:rsidR="00F64599">
        <w:t> percent</w:t>
      </w:r>
      <w:r>
        <w:t xml:space="preserve"> direct extension through the dermis, 4</w:t>
      </w:r>
      <w:r w:rsidR="00F64599">
        <w:t> percent</w:t>
      </w:r>
      <w:r>
        <w:t xml:space="preserve"> spread to regional lymph nodes), and 5</w:t>
      </w:r>
      <w:r w:rsidR="00F64599">
        <w:t> percent</w:t>
      </w:r>
      <w:r>
        <w:t xml:space="preserve"> when the cancer is at an advanced stage. Only 5</w:t>
      </w:r>
      <w:r w:rsidR="00F64599">
        <w:t> percent</w:t>
      </w:r>
      <w:r>
        <w:t xml:space="preserve"> remain un-staged on the registry </w:t>
      </w:r>
      <w:r>
        <w:rPr>
          <w:noProof/>
        </w:rPr>
        <w:t xml:space="preserve">(Gurney, Stanley, Jackson, </w:t>
      </w:r>
      <w:r w:rsidR="00C338E8">
        <w:rPr>
          <w:noProof/>
        </w:rPr>
        <w:t>et al</w:t>
      </w:r>
      <w:r w:rsidR="003B51F4">
        <w:rPr>
          <w:noProof/>
        </w:rPr>
        <w:t xml:space="preserve"> 2</w:t>
      </w:r>
      <w:r>
        <w:rPr>
          <w:noProof/>
        </w:rPr>
        <w:t>020)</w:t>
      </w:r>
      <w:r>
        <w:t>.</w:t>
      </w:r>
    </w:p>
    <w:p w14:paraId="633E10C9" w14:textId="77777777" w:rsidR="00C338E8" w:rsidRDefault="00C338E8" w:rsidP="00EC2914"/>
    <w:p w14:paraId="5F16E81A" w14:textId="77777777" w:rsidR="00C338E8" w:rsidRDefault="007228FF" w:rsidP="00EC2914">
      <w:pPr>
        <w:pStyle w:val="Heading5"/>
      </w:pPr>
      <w:r>
        <w:lastRenderedPageBreak/>
        <w:t>Survival</w:t>
      </w:r>
    </w:p>
    <w:p w14:paraId="0CD31BAB" w14:textId="77777777" w:rsidR="00C338E8" w:rsidRDefault="007228FF" w:rsidP="00EC2914">
      <w:r>
        <w:rPr>
          <w:bCs/>
        </w:rPr>
        <w:t>More than 80</w:t>
      </w:r>
      <w:r w:rsidR="00F64599">
        <w:rPr>
          <w:bCs/>
        </w:rPr>
        <w:t> percent</w:t>
      </w:r>
      <w:r>
        <w:rPr>
          <w:bCs/>
        </w:rPr>
        <w:t xml:space="preserve"> of those diagnosed with melanoma </w:t>
      </w:r>
      <w:r>
        <w:t>will survive to five years (80</w:t>
      </w:r>
      <w:r w:rsidR="00F64599">
        <w:t> percent</w:t>
      </w:r>
      <w:r>
        <w:t xml:space="preserve"> Māori, 89</w:t>
      </w:r>
      <w:r w:rsidR="00F64599">
        <w:t> percent</w:t>
      </w:r>
      <w:r>
        <w:t xml:space="preserve"> non-Māori) </w:t>
      </w:r>
      <w:r>
        <w:rPr>
          <w:noProof/>
        </w:rPr>
        <w:t xml:space="preserve">(Gurney, Stanley, McLeod, </w:t>
      </w:r>
      <w:r w:rsidR="00C338E8">
        <w:rPr>
          <w:noProof/>
        </w:rPr>
        <w:t>et al</w:t>
      </w:r>
      <w:r w:rsidR="003B51F4">
        <w:rPr>
          <w:noProof/>
        </w:rPr>
        <w:t xml:space="preserve"> 2</w:t>
      </w:r>
      <w:r>
        <w:rPr>
          <w:noProof/>
        </w:rPr>
        <w:t>020)</w:t>
      </w:r>
      <w:r>
        <w:t xml:space="preserve">. There is currently a lack of robust stage-specific survival data for melanoma in Aotearoa. From 2007–2016 data, Māori patients with melanoma are 2.5 times more likely to die from that cancer than non-Māori patients – however, this disparity must be considered alongside the relative rarity of Māori death from melanoma (see </w:t>
      </w:r>
      <w:r w:rsidRPr="00CC4448">
        <w:rPr>
          <w:iCs/>
        </w:rPr>
        <w:t>Mortality</w:t>
      </w:r>
      <w:r>
        <w:t xml:space="preserve"> below) </w:t>
      </w:r>
      <w:r>
        <w:rPr>
          <w:noProof/>
        </w:rPr>
        <w:t xml:space="preserve">(Gurney, Stanley, McLeod, </w:t>
      </w:r>
      <w:r w:rsidR="00C338E8">
        <w:rPr>
          <w:noProof/>
        </w:rPr>
        <w:t>et al</w:t>
      </w:r>
      <w:r w:rsidR="003B51F4">
        <w:rPr>
          <w:noProof/>
        </w:rPr>
        <w:t xml:space="preserve"> 2</w:t>
      </w:r>
      <w:r>
        <w:rPr>
          <w:noProof/>
        </w:rPr>
        <w:t>020)</w:t>
      </w:r>
      <w:r>
        <w:t>.</w:t>
      </w:r>
    </w:p>
    <w:p w14:paraId="19D92A04" w14:textId="77777777" w:rsidR="00C338E8" w:rsidRDefault="00C338E8" w:rsidP="00EC2914"/>
    <w:p w14:paraId="3B2DAC74" w14:textId="77777777" w:rsidR="00C338E8" w:rsidRDefault="007228FF" w:rsidP="00EC2914">
      <w:pPr>
        <w:pStyle w:val="Heading5"/>
      </w:pPr>
      <w:r>
        <w:t>Mortality</w:t>
      </w:r>
    </w:p>
    <w:p w14:paraId="623D9F2D" w14:textId="77777777" w:rsidR="00C338E8" w:rsidRDefault="007228FF" w:rsidP="00EC2914">
      <w:pPr>
        <w:rPr>
          <w:rFonts w:ascii="Times New Roman" w:hAnsi="Times New Roman"/>
          <w:sz w:val="24"/>
          <w:szCs w:val="24"/>
          <w:lang w:eastAsia="en-NZ"/>
        </w:rPr>
      </w:pPr>
      <w:r>
        <w:rPr>
          <w:bCs/>
        </w:rPr>
        <w:t xml:space="preserve">On average over the last decade, there have been </w:t>
      </w:r>
      <w:r>
        <w:t xml:space="preserve">350 deaths each year from melanoma, including six Māori </w:t>
      </w:r>
      <w:r>
        <w:rPr>
          <w:noProof/>
        </w:rPr>
        <w:t xml:space="preserve">(Gurney, Robson, </w:t>
      </w:r>
      <w:r w:rsidR="00C338E8">
        <w:rPr>
          <w:noProof/>
        </w:rPr>
        <w:t>et al</w:t>
      </w:r>
      <w:r w:rsidR="003B51F4">
        <w:rPr>
          <w:noProof/>
        </w:rPr>
        <w:t xml:space="preserve"> 2</w:t>
      </w:r>
      <w:r>
        <w:rPr>
          <w:noProof/>
        </w:rPr>
        <w:t xml:space="preserve">020; </w:t>
      </w:r>
      <w:r w:rsidR="00F64599">
        <w:rPr>
          <w:noProof/>
        </w:rPr>
        <w:t>Te Aho</w:t>
      </w:r>
      <w:r>
        <w:rPr>
          <w:noProof/>
        </w:rPr>
        <w:t xml:space="preserve"> o </w:t>
      </w:r>
      <w:r w:rsidR="00B537E2">
        <w:rPr>
          <w:noProof/>
        </w:rPr>
        <w:t>Te Kahu</w:t>
      </w:r>
      <w:r>
        <w:rPr>
          <w:noProof/>
        </w:rPr>
        <w:t xml:space="preserve"> 2021a)</w:t>
      </w:r>
      <w:r>
        <w:t xml:space="preserve">. Mortality rates for melanoma are higher for non-Māori (primarily New Zealand Europeans) than for Māori (less than 1 per 100,000 for Māori, 3 per 100,000 for non-Maori). Similarly, mortality is lower for Pacific peoples (1 per 100,000) than for the non-Māori, non-Pacific, non-Asian population (4 per 100,000) </w:t>
      </w:r>
      <w:r>
        <w:rPr>
          <w:noProof/>
        </w:rPr>
        <w:t>(</w:t>
      </w:r>
      <w:r w:rsidR="00F64599">
        <w:rPr>
          <w:noProof/>
        </w:rPr>
        <w:t>Te Aho</w:t>
      </w:r>
      <w:r>
        <w:rPr>
          <w:noProof/>
        </w:rPr>
        <w:t xml:space="preserve"> o </w:t>
      </w:r>
      <w:r w:rsidR="00B537E2">
        <w:rPr>
          <w:noProof/>
        </w:rPr>
        <w:t>Te Kahu</w:t>
      </w:r>
      <w:r>
        <w:rPr>
          <w:noProof/>
        </w:rPr>
        <w:t xml:space="preserve"> 2021a)</w:t>
      </w:r>
      <w:r>
        <w:t>.</w:t>
      </w:r>
    </w:p>
    <w:p w14:paraId="711074A9" w14:textId="77777777" w:rsidR="00C338E8" w:rsidRDefault="00C338E8" w:rsidP="00EC2914"/>
    <w:p w14:paraId="1F586624" w14:textId="0380E417" w:rsidR="00C338E8" w:rsidRPr="00220FDE" w:rsidRDefault="00AF1A99" w:rsidP="00EC2914">
      <w:pPr>
        <w:pStyle w:val="Heading1"/>
        <w:rPr>
          <w:rFonts w:ascii="Montserrat" w:hAnsi="Montserrat"/>
        </w:rPr>
      </w:pPr>
      <w:bookmarkStart w:id="444" w:name="_Toc100739079"/>
      <w:bookmarkStart w:id="445" w:name="_Toc101618177"/>
      <w:r w:rsidRPr="00220FDE">
        <w:rPr>
          <w:rFonts w:ascii="Montserrat" w:hAnsi="Montserrat"/>
          <w:caps w:val="0"/>
        </w:rPr>
        <w:lastRenderedPageBreak/>
        <w:t>NGĀ TOHUTORO</w:t>
      </w:r>
      <w:r w:rsidR="00843F3C">
        <w:rPr>
          <w:rFonts w:ascii="Montserrat" w:hAnsi="Montserrat"/>
          <w:caps w:val="0"/>
        </w:rPr>
        <w:br/>
      </w:r>
      <w:r w:rsidRPr="00220FDE">
        <w:rPr>
          <w:rFonts w:ascii="Montserrat" w:hAnsi="Montserrat"/>
          <w:caps w:val="0"/>
          <w:color w:val="0AB58F"/>
        </w:rPr>
        <w:t>REFERENCES</w:t>
      </w:r>
      <w:bookmarkEnd w:id="444"/>
      <w:bookmarkEnd w:id="445"/>
    </w:p>
    <w:p w14:paraId="1D53388A" w14:textId="77777777" w:rsidR="00C338E8" w:rsidRDefault="007228FF" w:rsidP="00A6678E">
      <w:pPr>
        <w:pStyle w:val="References"/>
      </w:pPr>
      <w:bookmarkStart w:id="446" w:name="_Hlk100695640"/>
      <w:r w:rsidRPr="00D34911">
        <w:t xml:space="preserve">Alsop K, Fereday S, Meldrum C, </w:t>
      </w:r>
      <w:r w:rsidR="00C338E8">
        <w:t>et al</w:t>
      </w:r>
      <w:r w:rsidR="00B40A65">
        <w:t>.</w:t>
      </w:r>
      <w:r w:rsidR="003B51F4">
        <w:t xml:space="preserve"> 2</w:t>
      </w:r>
      <w:r w:rsidRPr="00D34911">
        <w:t xml:space="preserve">012. BRCA mutation frequency and patterns of treatment response in BRCA mutation-positive women with ovarian cancer: a report from the Australian Ovarian Cancer Study Group. </w:t>
      </w:r>
      <w:r w:rsidRPr="00D34911">
        <w:rPr>
          <w:i/>
        </w:rPr>
        <w:t>Journal of Clinical Oncology</w:t>
      </w:r>
      <w:r w:rsidRPr="00B40A65">
        <w:t xml:space="preserve"> 30</w:t>
      </w:r>
      <w:r w:rsidRPr="00B40A65">
        <w:rPr>
          <w:iCs/>
        </w:rPr>
        <w:t>(21)</w:t>
      </w:r>
      <w:r w:rsidR="00B40A65">
        <w:rPr>
          <w:iCs/>
        </w:rPr>
        <w:t>: </w:t>
      </w:r>
      <w:r w:rsidRPr="00D34911">
        <w:t>2654</w:t>
      </w:r>
      <w:r w:rsidR="00B40A65">
        <w:t>–</w:t>
      </w:r>
      <w:r w:rsidRPr="00D34911">
        <w:t>63. DOI: 10.1200/jco.2011.39.8545 (accessed 4 April 2022).</w:t>
      </w:r>
    </w:p>
    <w:p w14:paraId="1CACC839" w14:textId="77777777" w:rsidR="00C338E8" w:rsidRDefault="007228FF" w:rsidP="00A6678E">
      <w:pPr>
        <w:pStyle w:val="References"/>
      </w:pPr>
      <w:r w:rsidRPr="00D34911">
        <w:t xml:space="preserve">Araghi M, Arnold M, Rutherford MJ, </w:t>
      </w:r>
      <w:r w:rsidR="00C338E8">
        <w:t>et al</w:t>
      </w:r>
      <w:r w:rsidR="00B40A65">
        <w:t>.</w:t>
      </w:r>
      <w:r w:rsidR="003B51F4">
        <w:t xml:space="preserve"> 2</w:t>
      </w:r>
      <w:r w:rsidRPr="00D34911">
        <w:t xml:space="preserve">021. Colon and rectal cancer survival in seven high-income countries 2010–2014: Variation by age and stage at diagnosis (the ICBP SURVMARK-2 project) [Article]. </w:t>
      </w:r>
      <w:r w:rsidRPr="00D34911">
        <w:rPr>
          <w:i/>
        </w:rPr>
        <w:t>Gut</w:t>
      </w:r>
      <w:r w:rsidRPr="00B40A65">
        <w:t xml:space="preserve"> 70(</w:t>
      </w:r>
      <w:r w:rsidRPr="00D34911">
        <w:t>1)</w:t>
      </w:r>
      <w:r w:rsidR="00B40A65">
        <w:t>:</w:t>
      </w:r>
      <w:r w:rsidRPr="00D34911">
        <w:t xml:space="preserve"> 114–26. DOI: 10.1136/gutjnl-2020-320625 (accessed 4 April 2022).</w:t>
      </w:r>
    </w:p>
    <w:p w14:paraId="2B89EE20" w14:textId="77777777" w:rsidR="00C338E8" w:rsidRDefault="007228FF" w:rsidP="00A6678E">
      <w:pPr>
        <w:pStyle w:val="References"/>
      </w:pPr>
      <w:r w:rsidRPr="00D34911">
        <w:t xml:space="preserve">Arnold M, Rutherford MJ, Bardot A, </w:t>
      </w:r>
      <w:r w:rsidR="00C338E8">
        <w:t>et al</w:t>
      </w:r>
      <w:r w:rsidR="00B40A65">
        <w:t>.</w:t>
      </w:r>
      <w:r w:rsidR="003B51F4">
        <w:t xml:space="preserve"> 2</w:t>
      </w:r>
      <w:r w:rsidRPr="00D34911">
        <w:t xml:space="preserve">019. Progress in cancer survival, mortality, and incidence in seven high-income countries 1995–2014 (ICBP SURVMARK-2): a population-based study. </w:t>
      </w:r>
      <w:r w:rsidRPr="00D34911">
        <w:rPr>
          <w:i/>
        </w:rPr>
        <w:t>Lancet Oncology</w:t>
      </w:r>
      <w:r w:rsidRPr="00B40A65">
        <w:t xml:space="preserve"> 20(</w:t>
      </w:r>
      <w:r w:rsidRPr="00D34911">
        <w:t>11)</w:t>
      </w:r>
      <w:r w:rsidR="00B40A65">
        <w:t>:</w:t>
      </w:r>
      <w:r w:rsidRPr="00D34911">
        <w:t xml:space="preserve"> 1,493–505. DOI: 10.1016/s1470-2045(19)30456-5</w:t>
      </w:r>
      <w:r w:rsidRPr="00D34911">
        <w:rPr>
          <w:rStyle w:val="Hyperlink"/>
          <w:rFonts w:eastAsia="MS Gothic"/>
          <w:color w:val="auto"/>
        </w:rPr>
        <w:t xml:space="preserve"> </w:t>
      </w:r>
      <w:r w:rsidRPr="00D34911">
        <w:t>(accessed 4 April 2022).</w:t>
      </w:r>
    </w:p>
    <w:p w14:paraId="65811D09" w14:textId="77777777" w:rsidR="00C338E8" w:rsidRPr="00B40A65" w:rsidRDefault="007228FF" w:rsidP="00A6678E">
      <w:pPr>
        <w:pStyle w:val="References"/>
      </w:pPr>
      <w:r w:rsidRPr="00D34911">
        <w:t xml:space="preserve">Australian Government Department of Health. 2022. </w:t>
      </w:r>
      <w:r w:rsidRPr="00D34911">
        <w:rPr>
          <w:i/>
        </w:rPr>
        <w:t>Pharmaceutical Benefits Scheme (PBS)</w:t>
      </w:r>
      <w:r w:rsidRPr="00D34911">
        <w:t xml:space="preserve">. URL: </w:t>
      </w:r>
      <w:hyperlink r:id="rId124" w:history="1">
        <w:r w:rsidR="00B40A65" w:rsidRPr="00B40A65">
          <w:rPr>
            <w:rStyle w:val="Hyperlink"/>
          </w:rPr>
          <w:t>www.pbs.gov.au/pbs/home</w:t>
        </w:r>
      </w:hyperlink>
      <w:r w:rsidRPr="00B40A65">
        <w:rPr>
          <w:rFonts w:eastAsia="MS Gothic"/>
        </w:rPr>
        <w:t xml:space="preserve"> (accessed 3 March 2022).</w:t>
      </w:r>
    </w:p>
    <w:p w14:paraId="2543D330" w14:textId="77777777" w:rsidR="00C338E8" w:rsidRDefault="007228FF" w:rsidP="00A6678E">
      <w:pPr>
        <w:pStyle w:val="References"/>
      </w:pPr>
      <w:r w:rsidRPr="00D34911">
        <w:t xml:space="preserve">Australian Government Department of Health. nd. </w:t>
      </w:r>
      <w:r w:rsidRPr="00D34911">
        <w:rPr>
          <w:i/>
          <w:iCs/>
        </w:rPr>
        <w:t>The Pharmaceutical Benefits Scheme (</w:t>
      </w:r>
      <w:r w:rsidRPr="00D34911">
        <w:rPr>
          <w:i/>
        </w:rPr>
        <w:t>PBS): Browse by Body System</w:t>
      </w:r>
      <w:r w:rsidRPr="00D34911">
        <w:t xml:space="preserve">. URL: </w:t>
      </w:r>
      <w:hyperlink r:id="rId125" w:history="1">
        <w:r w:rsidR="00B40A65" w:rsidRPr="00B40A65">
          <w:rPr>
            <w:rStyle w:val="Hyperlink"/>
          </w:rPr>
          <w:t>www.pbs.gov.au/browse/body-system</w:t>
        </w:r>
      </w:hyperlink>
      <w:r w:rsidRPr="00D34911">
        <w:t xml:space="preserve"> (accessed 3</w:t>
      </w:r>
      <w:r w:rsidR="00B40A65">
        <w:t> </w:t>
      </w:r>
      <w:r w:rsidRPr="00D34911">
        <w:t>March 2022).</w:t>
      </w:r>
    </w:p>
    <w:p w14:paraId="3609A803" w14:textId="77777777" w:rsidR="00C338E8" w:rsidRDefault="007228FF" w:rsidP="00A6678E">
      <w:pPr>
        <w:pStyle w:val="References"/>
      </w:pPr>
      <w:r w:rsidRPr="00D34911">
        <w:t xml:space="preserve">Aye PS, McKeage MJ, Tin Tin S, </w:t>
      </w:r>
      <w:r w:rsidR="00C338E8">
        <w:t>et al</w:t>
      </w:r>
      <w:r w:rsidR="00B40A65">
        <w:t>.</w:t>
      </w:r>
      <w:r w:rsidR="003B51F4">
        <w:t xml:space="preserve"> 2</w:t>
      </w:r>
      <w:r w:rsidRPr="00D34911">
        <w:t xml:space="preserve">021. Population-based incidence rates and increased risk of EGFR mutated non-small cell lung cancer in Māori and Pacifica in New Zealand. </w:t>
      </w:r>
      <w:r w:rsidRPr="00D34911">
        <w:rPr>
          <w:i/>
        </w:rPr>
        <w:t>PloS one</w:t>
      </w:r>
      <w:r w:rsidRPr="00B40A65">
        <w:t xml:space="preserve"> 16(5</w:t>
      </w:r>
      <w:r w:rsidRPr="00D34911">
        <w:t>)</w:t>
      </w:r>
      <w:r w:rsidR="00B40A65">
        <w:t>:</w:t>
      </w:r>
      <w:r w:rsidRPr="00D34911">
        <w:t xml:space="preserve"> e0251357. DOI: 10.1371/journal.pone.0251357</w:t>
      </w:r>
      <w:r w:rsidR="00B40A65">
        <w:t>.</w:t>
      </w:r>
    </w:p>
    <w:p w14:paraId="2B7F512F" w14:textId="77777777" w:rsidR="00C338E8" w:rsidRDefault="007228FF" w:rsidP="00A6678E">
      <w:pPr>
        <w:pStyle w:val="References"/>
      </w:pPr>
      <w:r w:rsidRPr="00D34911">
        <w:t xml:space="preserve">Babar Z-U-D, Gammie T, Seyfoddin A, </w:t>
      </w:r>
      <w:r w:rsidR="00C338E8">
        <w:t>et al</w:t>
      </w:r>
      <w:r w:rsidR="00B40A65">
        <w:t>.</w:t>
      </w:r>
      <w:r w:rsidR="003B51F4">
        <w:t xml:space="preserve"> 2</w:t>
      </w:r>
      <w:r w:rsidRPr="00D34911">
        <w:t xml:space="preserve">019. Patient access to medicines in two countries with similar health systems and differing medicines policies: Implications from a comprehensive literature review. </w:t>
      </w:r>
      <w:r w:rsidRPr="00D34911">
        <w:rPr>
          <w:i/>
        </w:rPr>
        <w:t>Research in Social and Administrative Pharmacy</w:t>
      </w:r>
      <w:r w:rsidRPr="00B40A65">
        <w:t xml:space="preserve"> 15(</w:t>
      </w:r>
      <w:r w:rsidRPr="00D34911">
        <w:t>3)</w:t>
      </w:r>
      <w:r w:rsidR="00B40A65">
        <w:t>:</w:t>
      </w:r>
      <w:r w:rsidRPr="00D34911">
        <w:t xml:space="preserve"> 231–43. DOI: 10.1016/j.sapharm.2018.04.006 (accessed 4 April 2022).</w:t>
      </w:r>
    </w:p>
    <w:p w14:paraId="4E5A4699" w14:textId="77777777" w:rsidR="00C338E8" w:rsidRDefault="007228FF" w:rsidP="00A6678E">
      <w:pPr>
        <w:pStyle w:val="References"/>
      </w:pPr>
      <w:r w:rsidRPr="00D34911">
        <w:t xml:space="preserve">Babar Z-U-D, Vitry A. 2014. Differences in Australian and New Zealand medicines funding policies. </w:t>
      </w:r>
      <w:r w:rsidRPr="00D34911">
        <w:rPr>
          <w:i/>
        </w:rPr>
        <w:t>Australian Prescriber</w:t>
      </w:r>
      <w:r w:rsidRPr="00B40A65">
        <w:t xml:space="preserve"> 37</w:t>
      </w:r>
      <w:r w:rsidRPr="00D34911">
        <w:t>(5)</w:t>
      </w:r>
      <w:r w:rsidR="00B40A65">
        <w:t>: 150–</w:t>
      </w:r>
      <w:r w:rsidRPr="00D34911">
        <w:t>1.</w:t>
      </w:r>
    </w:p>
    <w:p w14:paraId="78534334" w14:textId="77777777" w:rsidR="00C338E8" w:rsidRDefault="007228FF" w:rsidP="00A6678E">
      <w:pPr>
        <w:pStyle w:val="References"/>
      </w:pPr>
      <w:r w:rsidRPr="00D34911">
        <w:t>Bach PB. 2009. Limits on Medicare</w:t>
      </w:r>
      <w:r w:rsidR="00D34911" w:rsidRPr="00D34911">
        <w:t>’</w:t>
      </w:r>
      <w:r w:rsidRPr="00D34911">
        <w:t xml:space="preserve">s ability to control rising spending on cancer drugs. </w:t>
      </w:r>
      <w:r w:rsidRPr="00D34911">
        <w:rPr>
          <w:i/>
        </w:rPr>
        <w:t>New England Journal of Medicine</w:t>
      </w:r>
      <w:r w:rsidRPr="00B40A65">
        <w:t xml:space="preserve"> 360(</w:t>
      </w:r>
      <w:r w:rsidRPr="00D34911">
        <w:t>6)</w:t>
      </w:r>
      <w:r w:rsidR="00B40A65">
        <w:t>:</w:t>
      </w:r>
      <w:r w:rsidRPr="00D34911">
        <w:t xml:space="preserve"> 626–33. DOI: 10.1056/NEJMhpr0807774 (accessed 4</w:t>
      </w:r>
      <w:r w:rsidR="00B40A65">
        <w:t> </w:t>
      </w:r>
      <w:r w:rsidRPr="00D34911">
        <w:t>April 2022).</w:t>
      </w:r>
    </w:p>
    <w:p w14:paraId="2D462A1D" w14:textId="77777777" w:rsidR="00C338E8" w:rsidRDefault="007228FF" w:rsidP="00A6678E">
      <w:pPr>
        <w:pStyle w:val="References"/>
      </w:pPr>
      <w:r w:rsidRPr="00D34911">
        <w:t xml:space="preserve">Booth CM, Eisenhauer EA. 2012. Progression-free survival: Meaningful or simply measurable? </w:t>
      </w:r>
      <w:r w:rsidRPr="00D34911">
        <w:rPr>
          <w:i/>
        </w:rPr>
        <w:t>Journal of Clinical Oncology</w:t>
      </w:r>
      <w:r w:rsidRPr="00B40A65">
        <w:t xml:space="preserve"> 30(</w:t>
      </w:r>
      <w:r w:rsidRPr="00D34911">
        <w:t>10)</w:t>
      </w:r>
      <w:r w:rsidR="00B40A65">
        <w:t>:</w:t>
      </w:r>
      <w:r w:rsidRPr="00D34911">
        <w:t xml:space="preserve"> 1,030–33. DOI: 10.1200/JCO.2011.38.7571 (accessed 4 April 2022).</w:t>
      </w:r>
    </w:p>
    <w:p w14:paraId="77CA56B3" w14:textId="77777777" w:rsidR="00C338E8" w:rsidRDefault="007228FF" w:rsidP="00A6678E">
      <w:pPr>
        <w:pStyle w:val="References"/>
      </w:pPr>
      <w:r w:rsidRPr="00D34911">
        <w:t xml:space="preserve">Breast Cancer Foundation New Zealand. 2022. </w:t>
      </w:r>
      <w:r w:rsidRPr="00D34911">
        <w:rPr>
          <w:i/>
        </w:rPr>
        <w:t>30,000 Voices: Informing a better future for breast cancer in Aotearoa New Zealand</w:t>
      </w:r>
      <w:r w:rsidRPr="00D34911">
        <w:t>. Auckland: Breast Cancer Foundation New Zealand.</w:t>
      </w:r>
    </w:p>
    <w:p w14:paraId="286D0BC3" w14:textId="77777777" w:rsidR="00C338E8" w:rsidRPr="00B40A65" w:rsidRDefault="007228FF" w:rsidP="00A6678E">
      <w:pPr>
        <w:pStyle w:val="References"/>
      </w:pPr>
      <w:r w:rsidRPr="00D34911">
        <w:t xml:space="preserve">Cancer Care Ontario. nd. </w:t>
      </w:r>
      <w:r w:rsidRPr="00D34911">
        <w:rPr>
          <w:i/>
        </w:rPr>
        <w:t>Drug Formulary</w:t>
      </w:r>
      <w:r w:rsidRPr="00D34911">
        <w:t xml:space="preserve">. URL: </w:t>
      </w:r>
      <w:hyperlink r:id="rId126" w:history="1">
        <w:r w:rsidR="00B40A65" w:rsidRPr="00B40A65">
          <w:rPr>
            <w:rStyle w:val="Hyperlink"/>
          </w:rPr>
          <w:t>www.cancercareontario.ca/en/drugformulary/drugs</w:t>
        </w:r>
      </w:hyperlink>
      <w:r w:rsidRPr="00B40A65">
        <w:rPr>
          <w:rFonts w:eastAsia="MS Gothic"/>
        </w:rPr>
        <w:t xml:space="preserve"> (accessed 3 March 2022).</w:t>
      </w:r>
    </w:p>
    <w:p w14:paraId="7A68FFB1" w14:textId="77777777" w:rsidR="00C338E8" w:rsidRPr="00B40A65" w:rsidRDefault="007228FF" w:rsidP="00EC5466">
      <w:pPr>
        <w:pStyle w:val="References"/>
        <w:keepNext/>
      </w:pPr>
      <w:bookmarkStart w:id="447" w:name="_Hlk100691713"/>
      <w:r w:rsidRPr="00D34911">
        <w:lastRenderedPageBreak/>
        <w:t xml:space="preserve">Cancer Institute NSW. nd, a. </w:t>
      </w:r>
      <w:r w:rsidRPr="00D34911">
        <w:rPr>
          <w:i/>
        </w:rPr>
        <w:t>eviQ: About us</w:t>
      </w:r>
      <w:r w:rsidRPr="00D34911">
        <w:t xml:space="preserve">. NSW Government. URL: </w:t>
      </w:r>
      <w:hyperlink r:id="rId127" w:history="1">
        <w:r w:rsidR="00B40A65" w:rsidRPr="00B40A65">
          <w:rPr>
            <w:rStyle w:val="Hyperlink"/>
          </w:rPr>
          <w:t>www.eviq.org.au/pages/about-us</w:t>
        </w:r>
      </w:hyperlink>
      <w:r w:rsidRPr="00B40A65">
        <w:rPr>
          <w:rFonts w:eastAsia="MS Gothic"/>
        </w:rPr>
        <w:t xml:space="preserve"> (accessed 3 March 2022).</w:t>
      </w:r>
    </w:p>
    <w:p w14:paraId="292630EC" w14:textId="77777777" w:rsidR="00C338E8" w:rsidRPr="00B40A65" w:rsidRDefault="007228FF" w:rsidP="00A6678E">
      <w:pPr>
        <w:pStyle w:val="References"/>
      </w:pPr>
      <w:r w:rsidRPr="00D34911">
        <w:t xml:space="preserve">Cancer Institute NSW. nd, b. </w:t>
      </w:r>
      <w:r w:rsidRPr="00D34911">
        <w:rPr>
          <w:i/>
        </w:rPr>
        <w:t>eviQ: Search</w:t>
      </w:r>
      <w:r w:rsidRPr="00D34911">
        <w:t xml:space="preserve">. NSW Government. URL: </w:t>
      </w:r>
      <w:hyperlink r:id="rId128" w:history="1">
        <w:r w:rsidR="00B40A65" w:rsidRPr="00B40A65">
          <w:rPr>
            <w:rStyle w:val="Hyperlink"/>
          </w:rPr>
          <w:t>www.eviq.org.au/search?searchtext=cyclophosphamide</w:t>
        </w:r>
      </w:hyperlink>
      <w:r w:rsidRPr="00B40A65">
        <w:rPr>
          <w:rFonts w:eastAsia="MS Gothic"/>
        </w:rPr>
        <w:t xml:space="preserve"> (accessed 3 March 2022).</w:t>
      </w:r>
    </w:p>
    <w:p w14:paraId="392F9EE2" w14:textId="77777777" w:rsidR="00C338E8" w:rsidRPr="00B40A65" w:rsidRDefault="007228FF" w:rsidP="00A6678E">
      <w:pPr>
        <w:pStyle w:val="References"/>
      </w:pPr>
      <w:r w:rsidRPr="00D34911">
        <w:t xml:space="preserve">Cancer Institute NSW. 2021a. </w:t>
      </w:r>
      <w:r w:rsidRPr="00D34911">
        <w:rPr>
          <w:i/>
        </w:rPr>
        <w:t xml:space="preserve">Basal </w:t>
      </w:r>
      <w:r w:rsidR="00B40A65">
        <w:rPr>
          <w:i/>
        </w:rPr>
        <w:t>C</w:t>
      </w:r>
      <w:r w:rsidRPr="00D34911">
        <w:rPr>
          <w:i/>
        </w:rPr>
        <w:t xml:space="preserve">ell </w:t>
      </w:r>
      <w:r w:rsidR="00B40A65">
        <w:rPr>
          <w:i/>
        </w:rPr>
        <w:t>C</w:t>
      </w:r>
      <w:r w:rsidRPr="00D34911">
        <w:rPr>
          <w:i/>
        </w:rPr>
        <w:t xml:space="preserve">arcinoma </w:t>
      </w:r>
      <w:r w:rsidR="00B40A65">
        <w:rPr>
          <w:i/>
        </w:rPr>
        <w:t>L</w:t>
      </w:r>
      <w:r w:rsidRPr="00D34911">
        <w:rPr>
          <w:i/>
        </w:rPr>
        <w:t xml:space="preserve">ocally </w:t>
      </w:r>
      <w:r w:rsidR="00B40A65">
        <w:rPr>
          <w:i/>
        </w:rPr>
        <w:t>A</w:t>
      </w:r>
      <w:r w:rsidRPr="00D34911">
        <w:rPr>
          <w:i/>
        </w:rPr>
        <w:t xml:space="preserve">dvanced or </w:t>
      </w:r>
      <w:r w:rsidR="00B40A65">
        <w:rPr>
          <w:i/>
        </w:rPr>
        <w:t>M</w:t>
      </w:r>
      <w:r w:rsidRPr="00D34911">
        <w:rPr>
          <w:i/>
        </w:rPr>
        <w:t>etastatic soNIDEGib</w:t>
      </w:r>
      <w:r w:rsidRPr="00D34911">
        <w:t>. URL:</w:t>
      </w:r>
      <w:r w:rsidR="00B40A65">
        <w:t xml:space="preserve"> </w:t>
      </w:r>
      <w:hyperlink r:id="rId129" w:anchor="evidence" w:history="1">
        <w:r w:rsidR="00B40A65" w:rsidRPr="00B40A65">
          <w:rPr>
            <w:rStyle w:val="Hyperlink"/>
          </w:rPr>
          <w:t>www.eviq.org.au/medical-oncology/melanoma/non-melanoma/3410-basal-cell-carcinoma-locally-advanced-or-meta#evidence</w:t>
        </w:r>
      </w:hyperlink>
      <w:r w:rsidRPr="00B40A65">
        <w:t xml:space="preserve"> </w:t>
      </w:r>
      <w:r w:rsidRPr="00B40A65">
        <w:rPr>
          <w:rFonts w:eastAsia="MS Gothic"/>
        </w:rPr>
        <w:t>(accessed 22 March 2022).</w:t>
      </w:r>
    </w:p>
    <w:p w14:paraId="72EF1313" w14:textId="77777777" w:rsidR="00C338E8" w:rsidRPr="00B40A65" w:rsidRDefault="007228FF" w:rsidP="00A6678E">
      <w:pPr>
        <w:pStyle w:val="References"/>
      </w:pPr>
      <w:r w:rsidRPr="00D34911">
        <w:t xml:space="preserve">Cancer Institute NSW. 2021b. </w:t>
      </w:r>
      <w:r w:rsidRPr="00D34911">
        <w:rPr>
          <w:i/>
        </w:rPr>
        <w:t xml:space="preserve">Basal </w:t>
      </w:r>
      <w:r w:rsidR="00B40A65">
        <w:rPr>
          <w:i/>
        </w:rPr>
        <w:t>C</w:t>
      </w:r>
      <w:r w:rsidRPr="00D34911">
        <w:rPr>
          <w:i/>
        </w:rPr>
        <w:t xml:space="preserve">ell </w:t>
      </w:r>
      <w:r w:rsidR="00B40A65">
        <w:rPr>
          <w:i/>
        </w:rPr>
        <w:t>C</w:t>
      </w:r>
      <w:r w:rsidRPr="00D34911">
        <w:rPr>
          <w:i/>
        </w:rPr>
        <w:t xml:space="preserve">arcinoma </w:t>
      </w:r>
      <w:r w:rsidR="00B40A65">
        <w:rPr>
          <w:i/>
        </w:rPr>
        <w:t>L</w:t>
      </w:r>
      <w:r w:rsidRPr="00D34911">
        <w:rPr>
          <w:i/>
        </w:rPr>
        <w:t xml:space="preserve">ocally </w:t>
      </w:r>
      <w:r w:rsidR="00B40A65">
        <w:rPr>
          <w:i/>
        </w:rPr>
        <w:t>A</w:t>
      </w:r>
      <w:r w:rsidRPr="00D34911">
        <w:rPr>
          <w:i/>
        </w:rPr>
        <w:t xml:space="preserve">dvanced or </w:t>
      </w:r>
      <w:r w:rsidR="00B40A65">
        <w:rPr>
          <w:i/>
        </w:rPr>
        <w:t>M</w:t>
      </w:r>
      <w:r w:rsidRPr="00D34911">
        <w:rPr>
          <w:i/>
        </w:rPr>
        <w:t>etastatic vismodegib</w:t>
      </w:r>
      <w:r w:rsidRPr="00D34911">
        <w:t xml:space="preserve">. URL: </w:t>
      </w:r>
      <w:hyperlink r:id="rId130" w:anchor="evidence" w:history="1">
        <w:r w:rsidR="00B40A65" w:rsidRPr="00B40A65">
          <w:rPr>
            <w:rStyle w:val="Hyperlink"/>
          </w:rPr>
          <w:t>www.eviq.org.au/medical-oncology/melanoma/non-melanoma/1918-basal-cell-carcinoma-locally-advanced-or-meta#evidence</w:t>
        </w:r>
      </w:hyperlink>
      <w:r w:rsidRPr="00B40A65">
        <w:rPr>
          <w:rFonts w:eastAsia="MS Gothic"/>
        </w:rPr>
        <w:t xml:space="preserve"> (accessed 22 March 2022).</w:t>
      </w:r>
    </w:p>
    <w:bookmarkEnd w:id="447"/>
    <w:p w14:paraId="58BBAAF9" w14:textId="77777777" w:rsidR="00C338E8" w:rsidRDefault="007228FF" w:rsidP="00A6678E">
      <w:pPr>
        <w:pStyle w:val="References"/>
      </w:pPr>
      <w:r w:rsidRPr="00D34911">
        <w:t xml:space="preserve">CaTSoP. 2019. </w:t>
      </w:r>
      <w:r w:rsidRPr="00D34911">
        <w:rPr>
          <w:i/>
          <w:iCs/>
        </w:rPr>
        <w:t xml:space="preserve">Record of the Cancer Treatment Subcommittee of PTAC meeting held at PHARMAC on 5 April 2019. </w:t>
      </w:r>
      <w:r w:rsidRPr="00D34911">
        <w:t xml:space="preserve">Cancer Treatment Subcommittee of PTAC (CaTSoP). URL: </w:t>
      </w:r>
      <w:hyperlink r:id="rId131" w:history="1">
        <w:r w:rsidR="00B40A65" w:rsidRPr="00B40A65">
          <w:rPr>
            <w:rStyle w:val="Hyperlink"/>
          </w:rPr>
          <w:t>https://pharmac.govt.nz/assets/ptac-cancer-treatment-subcommittee-record-2019-04.pdf</w:t>
        </w:r>
      </w:hyperlink>
      <w:r w:rsidRPr="00D34911">
        <w:t xml:space="preserve"> (accessed 11 April 2022).</w:t>
      </w:r>
    </w:p>
    <w:p w14:paraId="329B0207" w14:textId="77777777" w:rsidR="00C338E8" w:rsidRDefault="007228FF" w:rsidP="00A6678E">
      <w:pPr>
        <w:pStyle w:val="References"/>
      </w:pPr>
      <w:r w:rsidRPr="00D34911">
        <w:t xml:space="preserve">CaTSoP. 2020. </w:t>
      </w:r>
      <w:r w:rsidRPr="00D34911">
        <w:rPr>
          <w:i/>
          <w:iCs/>
        </w:rPr>
        <w:t>Record of the Cancer Treatment Subcommittee of PTAC meeting held on 15</w:t>
      </w:r>
      <w:r w:rsidR="00B40A65">
        <w:rPr>
          <w:i/>
          <w:iCs/>
        </w:rPr>
        <w:t> and</w:t>
      </w:r>
      <w:r w:rsidRPr="00D34911">
        <w:rPr>
          <w:i/>
          <w:iCs/>
        </w:rPr>
        <w:t xml:space="preserve"> 16 October 2020. </w:t>
      </w:r>
      <w:bookmarkStart w:id="448" w:name="_Hlk100665853"/>
      <w:r w:rsidRPr="00D34911">
        <w:t xml:space="preserve">Cancer Treatment Subcommittee of PTAC (CaTSoP). </w:t>
      </w:r>
      <w:bookmarkEnd w:id="448"/>
      <w:r w:rsidRPr="00D34911">
        <w:t xml:space="preserve">URL: </w:t>
      </w:r>
      <w:hyperlink r:id="rId132" w:history="1">
        <w:r w:rsidR="00B40A65" w:rsidRPr="00B40A65">
          <w:rPr>
            <w:rStyle w:val="Hyperlink"/>
          </w:rPr>
          <w:t>https://pharmac.govt.nz/assets/2020-10-Cancer-Treatment-Subcommittee-Record-published-25-February-2021.pdf</w:t>
        </w:r>
      </w:hyperlink>
      <w:r w:rsidRPr="00D34911">
        <w:t xml:space="preserve"> (accessed 11 April 2022).</w:t>
      </w:r>
    </w:p>
    <w:p w14:paraId="7FA98BC6" w14:textId="77777777" w:rsidR="00C338E8" w:rsidRDefault="007228FF" w:rsidP="00A6678E">
      <w:pPr>
        <w:pStyle w:val="References"/>
      </w:pPr>
      <w:r w:rsidRPr="00D34911">
        <w:t xml:space="preserve">CaTSoP. 2021. </w:t>
      </w:r>
      <w:r w:rsidRPr="00D34911">
        <w:rPr>
          <w:i/>
        </w:rPr>
        <w:t xml:space="preserve">Record of the Cancer Subcommittee of PTAC Meeting held on 9 July 2021. </w:t>
      </w:r>
      <w:r w:rsidRPr="00D34911">
        <w:t>Cancer Treatment Subcommittee of PTAC (CaTSoP). URL:</w:t>
      </w:r>
      <w:r w:rsidR="00D34911" w:rsidRPr="00D34911">
        <w:t xml:space="preserve"> </w:t>
      </w:r>
      <w:hyperlink r:id="rId133" w:history="1">
        <w:r w:rsidR="00B40A65" w:rsidRPr="00B40A65">
          <w:rPr>
            <w:rStyle w:val="Hyperlink"/>
          </w:rPr>
          <w:t>https://pharmac.govt.nz/assets/2021-07-Catsop_record.pdf</w:t>
        </w:r>
      </w:hyperlink>
      <w:r w:rsidRPr="00D34911">
        <w:t xml:space="preserve"> (accessed 11 April 2022).</w:t>
      </w:r>
    </w:p>
    <w:p w14:paraId="266424D7" w14:textId="77777777" w:rsidR="00C338E8" w:rsidRDefault="007228FF" w:rsidP="00A6678E">
      <w:pPr>
        <w:pStyle w:val="References"/>
      </w:pPr>
      <w:r w:rsidRPr="00D34911">
        <w:t xml:space="preserve">Chamberlain J, Sarfati D, Cunningham R, </w:t>
      </w:r>
      <w:r w:rsidR="00C338E8">
        <w:t>et al</w:t>
      </w:r>
      <w:r w:rsidR="00B40A65">
        <w:t>.</w:t>
      </w:r>
      <w:r w:rsidR="003B51F4">
        <w:t xml:space="preserve"> 2</w:t>
      </w:r>
      <w:r w:rsidRPr="00D34911">
        <w:t xml:space="preserve">013. Incidence and management of hepatocellular carcinoma among Māori and non-Māori New Zealanders. </w:t>
      </w:r>
      <w:r w:rsidRPr="00D34911">
        <w:rPr>
          <w:i/>
        </w:rPr>
        <w:t>Australian &amp; New Zealand Journal of Public Health</w:t>
      </w:r>
      <w:r w:rsidRPr="00B40A65">
        <w:t xml:space="preserve"> 37</w:t>
      </w:r>
      <w:r w:rsidR="00B40A65">
        <w:t>:</w:t>
      </w:r>
      <w:r w:rsidRPr="00D34911">
        <w:t xml:space="preserve"> 520–26.</w:t>
      </w:r>
    </w:p>
    <w:p w14:paraId="6AE613F6" w14:textId="77777777" w:rsidR="00C338E8" w:rsidRPr="00B40A65" w:rsidRDefault="007228FF" w:rsidP="00A6678E">
      <w:pPr>
        <w:pStyle w:val="References"/>
      </w:pPr>
      <w:r w:rsidRPr="00D34911">
        <w:t xml:space="preserve">Cheema PK, Gavura S, Migus M, </w:t>
      </w:r>
      <w:r w:rsidR="00C338E8">
        <w:t>et al</w:t>
      </w:r>
      <w:r w:rsidR="00B40A65">
        <w:t>.</w:t>
      </w:r>
      <w:r w:rsidR="003B51F4">
        <w:t xml:space="preserve"> 2</w:t>
      </w:r>
      <w:r w:rsidRPr="00D34911">
        <w:t xml:space="preserve">012. International variability in the reimbursement of cancer drugs by publically funded drug programs. </w:t>
      </w:r>
      <w:r w:rsidRPr="00D34911">
        <w:rPr>
          <w:i/>
        </w:rPr>
        <w:t>Current Oncology</w:t>
      </w:r>
      <w:r w:rsidRPr="00B40A65">
        <w:t xml:space="preserve"> 19(</w:t>
      </w:r>
      <w:r w:rsidRPr="00D34911">
        <w:t>3)</w:t>
      </w:r>
      <w:r w:rsidR="00B40A65">
        <w:t>:</w:t>
      </w:r>
      <w:r w:rsidRPr="00D34911">
        <w:t xml:space="preserve"> e165–76. DOI: 10.3747/co.19.946</w:t>
      </w:r>
      <w:r w:rsidRPr="00B40A65">
        <w:t xml:space="preserve"> </w:t>
      </w:r>
      <w:r w:rsidRPr="00B40A65">
        <w:rPr>
          <w:rFonts w:eastAsia="MS Gothic"/>
        </w:rPr>
        <w:t>(accessed 4 April 2022).</w:t>
      </w:r>
    </w:p>
    <w:p w14:paraId="1798A5A0" w14:textId="77777777" w:rsidR="00C338E8" w:rsidRPr="00B40A65" w:rsidRDefault="007228FF" w:rsidP="00A6678E">
      <w:pPr>
        <w:pStyle w:val="References"/>
      </w:pPr>
      <w:r w:rsidRPr="00D34911">
        <w:t xml:space="preserve">Cheng S, McDonald EJ, Cheung MC, </w:t>
      </w:r>
      <w:r w:rsidR="00C338E8">
        <w:t>et al</w:t>
      </w:r>
      <w:r w:rsidR="00B40A65">
        <w:t>.</w:t>
      </w:r>
      <w:r w:rsidR="003B51F4">
        <w:t xml:space="preserve"> 2</w:t>
      </w:r>
      <w:r w:rsidRPr="00D34911">
        <w:t xml:space="preserve">017. Do the American Society of Clinical Oncology Value Framework and the European Society of Medical Oncology Magnitude of Clinical Benefit Scale measure the same construct of clinical benefit? </w:t>
      </w:r>
      <w:r w:rsidRPr="00D34911">
        <w:rPr>
          <w:i/>
        </w:rPr>
        <w:t>Journal of Clinical Oncology</w:t>
      </w:r>
      <w:r w:rsidRPr="00B40A65">
        <w:t xml:space="preserve"> 35(</w:t>
      </w:r>
      <w:r w:rsidRPr="00D34911">
        <w:t>24)</w:t>
      </w:r>
      <w:r w:rsidR="00B40A65">
        <w:t>:</w:t>
      </w:r>
      <w:r w:rsidRPr="00D34911">
        <w:t xml:space="preserve"> 2,764–71. DOI: 10.1200/JCO.2016.71.6894</w:t>
      </w:r>
      <w:r w:rsidRPr="00B40A65">
        <w:t xml:space="preserve"> </w:t>
      </w:r>
      <w:r w:rsidRPr="00B40A65">
        <w:rPr>
          <w:rFonts w:eastAsia="MS Gothic"/>
        </w:rPr>
        <w:t>(accessed 4 April 2022).</w:t>
      </w:r>
    </w:p>
    <w:p w14:paraId="5616BC45" w14:textId="77777777" w:rsidR="00C338E8" w:rsidRPr="00B40A65" w:rsidRDefault="007228FF" w:rsidP="00A6678E">
      <w:pPr>
        <w:pStyle w:val="References"/>
      </w:pPr>
      <w:r w:rsidRPr="00D34911">
        <w:t xml:space="preserve">Cherny NI, Dafni U, Bogaerts J, </w:t>
      </w:r>
      <w:r w:rsidR="00C338E8">
        <w:t>et al</w:t>
      </w:r>
      <w:r w:rsidR="00B40A65">
        <w:t>.</w:t>
      </w:r>
      <w:r w:rsidR="003B51F4">
        <w:t xml:space="preserve"> 2</w:t>
      </w:r>
      <w:r w:rsidR="00B40A65">
        <w:t>017. ESMO-M</w:t>
      </w:r>
      <w:r w:rsidRPr="00D34911">
        <w:t xml:space="preserve">agnitude of </w:t>
      </w:r>
      <w:r w:rsidR="00B40A65">
        <w:t>C</w:t>
      </w:r>
      <w:r w:rsidRPr="00D34911">
        <w:t xml:space="preserve">linical </w:t>
      </w:r>
      <w:r w:rsidR="00B40A65">
        <w:t>B</w:t>
      </w:r>
      <w:r w:rsidRPr="00D34911">
        <w:t xml:space="preserve">enefit </w:t>
      </w:r>
      <w:r w:rsidR="00B40A65">
        <w:t>S</w:t>
      </w:r>
      <w:r w:rsidRPr="00D34911">
        <w:t xml:space="preserve">cale version 1.1. </w:t>
      </w:r>
      <w:r w:rsidRPr="00D34911">
        <w:rPr>
          <w:i/>
        </w:rPr>
        <w:t>Annals of Oncology</w:t>
      </w:r>
      <w:r w:rsidRPr="00B40A65">
        <w:t xml:space="preserve"> 28</w:t>
      </w:r>
      <w:r w:rsidRPr="00D34911">
        <w:t>(10)</w:t>
      </w:r>
      <w:r w:rsidR="00B40A65">
        <w:t>:</w:t>
      </w:r>
      <w:r w:rsidRPr="00D34911">
        <w:t xml:space="preserve"> 2,340–66. DOI: 10.1093/annonc/mdx310 </w:t>
      </w:r>
      <w:r w:rsidRPr="00B40A65">
        <w:rPr>
          <w:rFonts w:eastAsia="MS Gothic"/>
        </w:rPr>
        <w:t>(accessed 4</w:t>
      </w:r>
      <w:r w:rsidR="00B40A65">
        <w:rPr>
          <w:rFonts w:eastAsia="MS Gothic"/>
        </w:rPr>
        <w:t> </w:t>
      </w:r>
      <w:r w:rsidRPr="00B40A65">
        <w:rPr>
          <w:rFonts w:eastAsia="MS Gothic"/>
        </w:rPr>
        <w:t>April 2022).</w:t>
      </w:r>
    </w:p>
    <w:p w14:paraId="41419868" w14:textId="77777777" w:rsidR="00C338E8" w:rsidRPr="00B40A65" w:rsidRDefault="007228FF" w:rsidP="00A6678E">
      <w:pPr>
        <w:pStyle w:val="References"/>
      </w:pPr>
      <w:r w:rsidRPr="00D34911">
        <w:t xml:space="preserve">Cherny NI, Dafni U, Pentheroudakis G, </w:t>
      </w:r>
      <w:r w:rsidR="00C338E8">
        <w:t>et al</w:t>
      </w:r>
      <w:r w:rsidR="00B40A65">
        <w:t>.</w:t>
      </w:r>
      <w:r w:rsidR="003B51F4">
        <w:t xml:space="preserve"> 2</w:t>
      </w:r>
      <w:r w:rsidRPr="00D34911">
        <w:t xml:space="preserve">022. </w:t>
      </w:r>
      <w:r w:rsidR="00D34911" w:rsidRPr="00D34911">
        <w:t>“</w:t>
      </w:r>
      <w:r w:rsidRPr="00D34911">
        <w:t>The first ones now, will later be last</w:t>
      </w:r>
      <w:r w:rsidR="00D34911" w:rsidRPr="00D34911">
        <w:t>”</w:t>
      </w:r>
      <w:r w:rsidRPr="00D34911">
        <w:t xml:space="preserve">: Understanding the importance of historical context when reading ESMO-MCBS scores. </w:t>
      </w:r>
      <w:r w:rsidRPr="00D34911">
        <w:rPr>
          <w:i/>
        </w:rPr>
        <w:t>ESMO Open</w:t>
      </w:r>
      <w:r w:rsidRPr="00B40A65">
        <w:t xml:space="preserve"> 7</w:t>
      </w:r>
      <w:r w:rsidRPr="00D34911">
        <w:t>(2). DOI: 10.1016/j.esmoop.2022.100413</w:t>
      </w:r>
      <w:r w:rsidRPr="00B40A65">
        <w:t xml:space="preserve"> </w:t>
      </w:r>
      <w:r w:rsidRPr="00B40A65">
        <w:rPr>
          <w:rFonts w:eastAsia="MS Gothic"/>
        </w:rPr>
        <w:t>(accessed 4 April 2022).</w:t>
      </w:r>
    </w:p>
    <w:p w14:paraId="0C80927E" w14:textId="77777777" w:rsidR="00C338E8" w:rsidRPr="00B40A65" w:rsidRDefault="007228FF" w:rsidP="00A6678E">
      <w:pPr>
        <w:pStyle w:val="References"/>
      </w:pPr>
      <w:r w:rsidRPr="00D34911">
        <w:t xml:space="preserve">Cherny NI, de Vries EGE, Dafni U, </w:t>
      </w:r>
      <w:r w:rsidR="00C338E8">
        <w:t>et al</w:t>
      </w:r>
      <w:r w:rsidR="00B40A65">
        <w:t>.</w:t>
      </w:r>
      <w:r w:rsidR="003B51F4">
        <w:t xml:space="preserve"> 2</w:t>
      </w:r>
      <w:r w:rsidRPr="00D34911">
        <w:t xml:space="preserve">018. Comparative assessment of clinical benefit using the ESMO-Magnitude of Clinical Benefit Scale Version 1.1 and the ASCO Value Framework Net Health Benefit Score. </w:t>
      </w:r>
      <w:r w:rsidRPr="00D34911">
        <w:rPr>
          <w:i/>
        </w:rPr>
        <w:t>Journal of Clinical Oncology</w:t>
      </w:r>
      <w:r w:rsidRPr="00B40A65">
        <w:t xml:space="preserve"> 37</w:t>
      </w:r>
      <w:r w:rsidRPr="00D34911">
        <w:t>(4)</w:t>
      </w:r>
      <w:r w:rsidR="00B40A65">
        <w:t>:</w:t>
      </w:r>
      <w:r w:rsidRPr="00D34911">
        <w:t xml:space="preserve"> 336–49. DOI: 10.1200/JCO.18.00729</w:t>
      </w:r>
      <w:r w:rsidRPr="00B40A65">
        <w:t xml:space="preserve"> </w:t>
      </w:r>
      <w:r w:rsidRPr="00B40A65">
        <w:rPr>
          <w:rFonts w:eastAsia="MS Gothic"/>
        </w:rPr>
        <w:t>(accessed 4 April 2022).</w:t>
      </w:r>
    </w:p>
    <w:p w14:paraId="3B80B4E7" w14:textId="77777777" w:rsidR="00C338E8" w:rsidRPr="00B40A65" w:rsidRDefault="007228FF" w:rsidP="00EC5466">
      <w:pPr>
        <w:pStyle w:val="References"/>
        <w:keepNext/>
        <w:keepLines/>
      </w:pPr>
      <w:r w:rsidRPr="00D34911">
        <w:lastRenderedPageBreak/>
        <w:t xml:space="preserve">Cherny NI, Sullivan R, Dafni U, </w:t>
      </w:r>
      <w:r w:rsidR="00C338E8">
        <w:t>et al</w:t>
      </w:r>
      <w:r w:rsidR="00B40A65">
        <w:t>.</w:t>
      </w:r>
      <w:r w:rsidR="003B51F4">
        <w:t xml:space="preserve"> 2</w:t>
      </w:r>
      <w:r w:rsidRPr="00D34911">
        <w:t xml:space="preserve">015. A standardised, generic, validated approach to stratify the magnitude of clinical benefit that can be anticipated from anti-cancer therapies: the European Society for Medical Oncology Magnitude of Clinical Benefit Scale (ESMO-MCBS). </w:t>
      </w:r>
      <w:r w:rsidRPr="00D34911">
        <w:rPr>
          <w:i/>
        </w:rPr>
        <w:t>Annals of Oncology</w:t>
      </w:r>
      <w:r w:rsidRPr="00B40A65">
        <w:t xml:space="preserve"> 26</w:t>
      </w:r>
      <w:r w:rsidRPr="00D34911">
        <w:t>(8)</w:t>
      </w:r>
      <w:r w:rsidR="00B40A65">
        <w:t>:</w:t>
      </w:r>
      <w:r w:rsidRPr="00D34911">
        <w:t xml:space="preserve"> 1,547–73. DOI: 10.1093/annonc/mdv249 </w:t>
      </w:r>
      <w:r w:rsidRPr="00B40A65">
        <w:rPr>
          <w:rFonts w:eastAsia="MS Gothic"/>
        </w:rPr>
        <w:t>(accessed 4 April 2022).</w:t>
      </w:r>
    </w:p>
    <w:p w14:paraId="53A8E68C" w14:textId="77777777" w:rsidR="00C338E8" w:rsidRPr="004E3752" w:rsidRDefault="007228FF" w:rsidP="00A6678E">
      <w:pPr>
        <w:pStyle w:val="References"/>
      </w:pPr>
      <w:r w:rsidRPr="00D34911">
        <w:t xml:space="preserve">Cohen R, Martinez M, Cha A, </w:t>
      </w:r>
      <w:r w:rsidR="0065478D">
        <w:t xml:space="preserve">et al. </w:t>
      </w:r>
      <w:r w:rsidR="003B51F4">
        <w:t>2</w:t>
      </w:r>
      <w:r w:rsidRPr="00D34911">
        <w:t xml:space="preserve">021. </w:t>
      </w:r>
      <w:r w:rsidRPr="00D34911">
        <w:rPr>
          <w:i/>
        </w:rPr>
        <w:t>Health Insurance Coverage: Early release of estimates from the National Health Interview Survey, January–June 2021</w:t>
      </w:r>
      <w:r w:rsidRPr="00D34911">
        <w:t xml:space="preserve">. National Center for Health Statistics. URL: </w:t>
      </w:r>
      <w:hyperlink r:id="rId134" w:history="1">
        <w:r w:rsidR="004E3752" w:rsidRPr="004E3752">
          <w:rPr>
            <w:rStyle w:val="Hyperlink"/>
          </w:rPr>
          <w:t>www.cdc.gov/nchs/data/nhis/earlyrelease/insur202108-508.pdf</w:t>
        </w:r>
      </w:hyperlink>
      <w:r w:rsidRPr="004E3752">
        <w:rPr>
          <w:rFonts w:eastAsia="MS Gothic"/>
        </w:rPr>
        <w:t xml:space="preserve"> (accessed 24 February 2022).</w:t>
      </w:r>
    </w:p>
    <w:p w14:paraId="11A16087" w14:textId="77777777" w:rsidR="00C338E8" w:rsidRPr="004E3752" w:rsidRDefault="007228FF" w:rsidP="00A6678E">
      <w:pPr>
        <w:pStyle w:val="References"/>
      </w:pPr>
      <w:r w:rsidRPr="00D34911">
        <w:t xml:space="preserve">Cunningham R, Sarfati D, Stanley J, </w:t>
      </w:r>
      <w:r w:rsidR="0065478D">
        <w:t xml:space="preserve">et al. </w:t>
      </w:r>
      <w:r w:rsidR="003B51F4">
        <w:t>2</w:t>
      </w:r>
      <w:r w:rsidRPr="00D34911">
        <w:t xml:space="preserve">015. Cancer survival in the context of mental illness: a national cohort study. </w:t>
      </w:r>
      <w:r w:rsidRPr="00D34911">
        <w:rPr>
          <w:i/>
        </w:rPr>
        <w:t>General Hospital Psychiatry</w:t>
      </w:r>
      <w:r w:rsidRPr="004E3752">
        <w:t xml:space="preserve"> 37</w:t>
      </w:r>
      <w:r w:rsidRPr="00D34911">
        <w:t>(6)</w:t>
      </w:r>
      <w:r w:rsidR="004E3752">
        <w:t>:</w:t>
      </w:r>
      <w:r w:rsidRPr="00D34911">
        <w:t xml:space="preserve"> 501–06. DOI: 10.1016/j.genhosppsych.2015.06.003</w:t>
      </w:r>
      <w:r w:rsidRPr="004E3752">
        <w:t xml:space="preserve"> </w:t>
      </w:r>
      <w:r w:rsidRPr="004E3752">
        <w:rPr>
          <w:rFonts w:eastAsia="MS Gothic"/>
        </w:rPr>
        <w:t>(accessed 4 April 2022).</w:t>
      </w:r>
    </w:p>
    <w:p w14:paraId="7700E272" w14:textId="77777777" w:rsidR="00C338E8" w:rsidRPr="004E3752" w:rsidRDefault="007228FF" w:rsidP="00A6678E">
      <w:pPr>
        <w:pStyle w:val="References"/>
      </w:pPr>
      <w:r w:rsidRPr="00D34911">
        <w:t xml:space="preserve">Dafni U, Karlis D, Pedeli X, </w:t>
      </w:r>
      <w:r w:rsidR="0065478D">
        <w:t xml:space="preserve">et al. </w:t>
      </w:r>
      <w:r w:rsidR="003B51F4">
        <w:t>2</w:t>
      </w:r>
      <w:r w:rsidRPr="00D34911">
        <w:t xml:space="preserve">017. Detailed statistical assessment of the characteristics of the ESMO Magnitude of Clinical Benefit Scale (ESMO-MCBS) threshold rules. </w:t>
      </w:r>
      <w:r w:rsidRPr="00D34911">
        <w:rPr>
          <w:i/>
        </w:rPr>
        <w:t>ESMO Open</w:t>
      </w:r>
      <w:r w:rsidRPr="004E3752">
        <w:t xml:space="preserve"> 2</w:t>
      </w:r>
      <w:r w:rsidRPr="00D34911">
        <w:t>(4). DOI: 10.1136/esmoopen-2017-000216</w:t>
      </w:r>
      <w:r w:rsidRPr="004E3752">
        <w:t xml:space="preserve"> </w:t>
      </w:r>
      <w:r w:rsidRPr="004E3752">
        <w:rPr>
          <w:rFonts w:eastAsia="MS Gothic"/>
        </w:rPr>
        <w:t>(accessed 4 April 2022).</w:t>
      </w:r>
    </w:p>
    <w:p w14:paraId="77FC3396" w14:textId="77777777" w:rsidR="00C338E8" w:rsidRPr="004E3752" w:rsidRDefault="007228FF" w:rsidP="00A6678E">
      <w:pPr>
        <w:pStyle w:val="References"/>
      </w:pPr>
      <w:r w:rsidRPr="00D34911">
        <w:t xml:space="preserve">Davis LE, Bogner E, Coburn NG, </w:t>
      </w:r>
      <w:r w:rsidR="0065478D">
        <w:t xml:space="preserve">et al. </w:t>
      </w:r>
      <w:r w:rsidR="003B51F4">
        <w:t>2</w:t>
      </w:r>
      <w:r w:rsidRPr="00D34911">
        <w:t xml:space="preserve">020. Stage at diagnosis and survival in patients with cancer and a pre-existing mental illness: a meta-analysis. </w:t>
      </w:r>
      <w:r w:rsidRPr="00D34911">
        <w:rPr>
          <w:i/>
        </w:rPr>
        <w:t>Journal of Epidemiology and Community Health</w:t>
      </w:r>
      <w:r w:rsidRPr="004E3752">
        <w:t xml:space="preserve"> 74</w:t>
      </w:r>
      <w:r w:rsidRPr="00D34911">
        <w:t>(1)</w:t>
      </w:r>
      <w:r w:rsidR="004E3752">
        <w:t>:</w:t>
      </w:r>
      <w:r w:rsidRPr="00D34911">
        <w:t xml:space="preserve"> 84. DOI: 10.1136/jech-2019-212311</w:t>
      </w:r>
      <w:r w:rsidRPr="004E3752">
        <w:t xml:space="preserve"> </w:t>
      </w:r>
      <w:r w:rsidRPr="004E3752">
        <w:rPr>
          <w:rFonts w:eastAsia="MS Gothic"/>
        </w:rPr>
        <w:t>(accessed 4 April 2022).</w:t>
      </w:r>
    </w:p>
    <w:p w14:paraId="2153EB38" w14:textId="77777777" w:rsidR="00C338E8" w:rsidRPr="004E3752" w:rsidRDefault="007228FF" w:rsidP="00A6678E">
      <w:pPr>
        <w:pStyle w:val="References"/>
      </w:pPr>
      <w:r w:rsidRPr="00D34911">
        <w:t xml:space="preserve">Dreicer JJ, Mailankody S, Fakhrejahani F, </w:t>
      </w:r>
      <w:r w:rsidR="0065478D">
        <w:t xml:space="preserve">et al. </w:t>
      </w:r>
      <w:r w:rsidR="003B51F4">
        <w:t>2</w:t>
      </w:r>
      <w:r w:rsidRPr="00D34911">
        <w:t xml:space="preserve">017. Clinically meaningful benefit: real world use compared against the American and European guidelines. </w:t>
      </w:r>
      <w:r w:rsidRPr="00D34911">
        <w:rPr>
          <w:i/>
        </w:rPr>
        <w:t>Blood Cancer Journal</w:t>
      </w:r>
      <w:r w:rsidRPr="004E3752">
        <w:t xml:space="preserve"> 7</w:t>
      </w:r>
      <w:r w:rsidRPr="00D34911">
        <w:t>(12)</w:t>
      </w:r>
      <w:r w:rsidR="004E3752">
        <w:t>:</w:t>
      </w:r>
      <w:r w:rsidRPr="00D34911">
        <w:t xml:space="preserve"> 645. DOI: 10.1038/s41408-017-0009-8 </w:t>
      </w:r>
      <w:r w:rsidRPr="004E3752">
        <w:rPr>
          <w:rFonts w:eastAsia="MS Gothic"/>
        </w:rPr>
        <w:t>(accessed 4 April 2022).</w:t>
      </w:r>
    </w:p>
    <w:p w14:paraId="2B738236" w14:textId="77777777" w:rsidR="00C338E8" w:rsidRPr="004E3752" w:rsidRDefault="007228FF" w:rsidP="00A6678E">
      <w:pPr>
        <w:pStyle w:val="References"/>
      </w:pPr>
      <w:r w:rsidRPr="00D34911">
        <w:t xml:space="preserve">ESMO. nd, a. </w:t>
      </w:r>
      <w:r w:rsidRPr="00D34911">
        <w:rPr>
          <w:i/>
        </w:rPr>
        <w:t>ESMO-Magnitude of Clinical Benefit Scale Booklet</w:t>
      </w:r>
      <w:r w:rsidRPr="00D34911">
        <w:t xml:space="preserve">. European Society for Medical Oncology. Lugano: European Society for Medical Oncology (ESMO) Scientific Affairs. URL: </w:t>
      </w:r>
      <w:hyperlink r:id="rId135" w:history="1">
        <w:r w:rsidR="004E3752" w:rsidRPr="004E3752">
          <w:rPr>
            <w:rStyle w:val="Hyperlink"/>
          </w:rPr>
          <w:t>www.esmo.org/content/download/288502/5736211/1/ESMO-MCBS-Booklet.pdf</w:t>
        </w:r>
      </w:hyperlink>
      <w:r w:rsidRPr="004E3752">
        <w:t xml:space="preserve"> </w:t>
      </w:r>
      <w:r w:rsidRPr="004E3752">
        <w:rPr>
          <w:rFonts w:eastAsia="MS Gothic"/>
        </w:rPr>
        <w:t>(accessed 4 April 2022).</w:t>
      </w:r>
    </w:p>
    <w:p w14:paraId="0957144F" w14:textId="77777777" w:rsidR="00C338E8" w:rsidRPr="004E3752" w:rsidRDefault="007228FF" w:rsidP="00A6678E">
      <w:pPr>
        <w:pStyle w:val="References"/>
      </w:pPr>
      <w:r w:rsidRPr="00D34911">
        <w:t xml:space="preserve">ESMO. nd, b. </w:t>
      </w:r>
      <w:r w:rsidRPr="00D34911">
        <w:rPr>
          <w:i/>
        </w:rPr>
        <w:t>ESMO-Magnitude of Clinical Benefit Scale V1.1 Instructions</w:t>
      </w:r>
      <w:r w:rsidRPr="00D34911">
        <w:t xml:space="preserve">. URL: </w:t>
      </w:r>
      <w:hyperlink r:id="rId136" w:history="1">
        <w:r w:rsidR="004E3752" w:rsidRPr="004E3752">
          <w:rPr>
            <w:rStyle w:val="Hyperlink"/>
          </w:rPr>
          <w:t>www.esmo.org/content/download/117394/2059186/1/ESMO-MCBS-Version-1-1-Instructions.pdf</w:t>
        </w:r>
      </w:hyperlink>
      <w:r w:rsidRPr="004E3752">
        <w:t xml:space="preserve"> </w:t>
      </w:r>
      <w:r w:rsidRPr="004E3752">
        <w:rPr>
          <w:rFonts w:eastAsia="MS Gothic"/>
        </w:rPr>
        <w:t>(accessed 4 April 2022).</w:t>
      </w:r>
    </w:p>
    <w:p w14:paraId="6CB2C123" w14:textId="77777777" w:rsidR="00C338E8" w:rsidRPr="004E3752" w:rsidRDefault="007228FF" w:rsidP="00A6678E">
      <w:pPr>
        <w:pStyle w:val="References"/>
      </w:pPr>
      <w:r w:rsidRPr="00D34911">
        <w:t xml:space="preserve">ESMO. 2021. </w:t>
      </w:r>
      <w:r w:rsidRPr="00D34911">
        <w:rPr>
          <w:i/>
        </w:rPr>
        <w:t xml:space="preserve">Seven </w:t>
      </w:r>
      <w:r w:rsidR="004E3752">
        <w:rPr>
          <w:i/>
        </w:rPr>
        <w:t>S</w:t>
      </w:r>
      <w:r w:rsidRPr="00D34911">
        <w:rPr>
          <w:i/>
        </w:rPr>
        <w:t xml:space="preserve">teps to </w:t>
      </w:r>
      <w:r w:rsidR="004E3752">
        <w:rPr>
          <w:i/>
        </w:rPr>
        <w:t>T</w:t>
      </w:r>
      <w:r w:rsidRPr="00D34911">
        <w:rPr>
          <w:i/>
        </w:rPr>
        <w:t xml:space="preserve">ake </w:t>
      </w:r>
      <w:r w:rsidR="004E3752">
        <w:rPr>
          <w:i/>
        </w:rPr>
        <w:t>A</w:t>
      </w:r>
      <w:r w:rsidRPr="00D34911">
        <w:rPr>
          <w:i/>
        </w:rPr>
        <w:t xml:space="preserve">ssessment of </w:t>
      </w:r>
      <w:r w:rsidR="004E3752">
        <w:rPr>
          <w:i/>
        </w:rPr>
        <w:t>C</w:t>
      </w:r>
      <w:r w:rsidRPr="00D34911">
        <w:rPr>
          <w:i/>
        </w:rPr>
        <w:t xml:space="preserve">linical </w:t>
      </w:r>
      <w:r w:rsidR="004E3752">
        <w:rPr>
          <w:i/>
        </w:rPr>
        <w:t>B</w:t>
      </w:r>
      <w:r w:rsidRPr="00D34911">
        <w:rPr>
          <w:i/>
        </w:rPr>
        <w:t xml:space="preserve">enefit of </w:t>
      </w:r>
      <w:r w:rsidR="004E3752">
        <w:rPr>
          <w:i/>
        </w:rPr>
        <w:t>A</w:t>
      </w:r>
      <w:r w:rsidRPr="00D34911">
        <w:rPr>
          <w:i/>
        </w:rPr>
        <w:t xml:space="preserve">nticancer </w:t>
      </w:r>
      <w:r w:rsidR="004E3752">
        <w:rPr>
          <w:i/>
        </w:rPr>
        <w:t>M</w:t>
      </w:r>
      <w:r w:rsidRPr="00D34911">
        <w:rPr>
          <w:i/>
        </w:rPr>
        <w:t xml:space="preserve">edicines to the </w:t>
      </w:r>
      <w:r w:rsidR="004E3752">
        <w:rPr>
          <w:i/>
        </w:rPr>
        <w:t>N</w:t>
      </w:r>
      <w:r w:rsidRPr="00D34911">
        <w:rPr>
          <w:i/>
        </w:rPr>
        <w:t xml:space="preserve">ext </w:t>
      </w:r>
      <w:r w:rsidR="004E3752">
        <w:rPr>
          <w:i/>
        </w:rPr>
        <w:t>L</w:t>
      </w:r>
      <w:r w:rsidRPr="00D34911">
        <w:rPr>
          <w:i/>
        </w:rPr>
        <w:t>evel</w:t>
      </w:r>
      <w:r w:rsidRPr="00D34911">
        <w:t xml:space="preserve">. URL: </w:t>
      </w:r>
      <w:hyperlink r:id="rId137" w:history="1">
        <w:r w:rsidR="004E3752" w:rsidRPr="004E3752">
          <w:rPr>
            <w:rStyle w:val="Hyperlink"/>
          </w:rPr>
          <w:t>https://perspectives.esmo.org/news/seven-steps-to-take-assessment-of-clinical-benefit-of-anticancer-medicines-to-the-next-level</w:t>
        </w:r>
      </w:hyperlink>
      <w:r w:rsidR="004E3752" w:rsidRPr="004E3752">
        <w:t xml:space="preserve"> </w:t>
      </w:r>
      <w:r w:rsidRPr="004E3752">
        <w:rPr>
          <w:rFonts w:eastAsia="MS Gothic"/>
        </w:rPr>
        <w:t>(accessed 4</w:t>
      </w:r>
      <w:r w:rsidR="004E3752">
        <w:rPr>
          <w:rFonts w:eastAsia="MS Gothic"/>
        </w:rPr>
        <w:t> </w:t>
      </w:r>
      <w:r w:rsidRPr="004E3752">
        <w:rPr>
          <w:rFonts w:eastAsia="MS Gothic"/>
        </w:rPr>
        <w:t>April 2022).</w:t>
      </w:r>
    </w:p>
    <w:p w14:paraId="20A83C86" w14:textId="77777777" w:rsidR="00C338E8" w:rsidRPr="004E3752" w:rsidRDefault="007228FF" w:rsidP="00A6678E">
      <w:pPr>
        <w:pStyle w:val="References"/>
      </w:pPr>
      <w:r w:rsidRPr="00D34911">
        <w:t xml:space="preserve">Evans J, Laking G, Strother M, </w:t>
      </w:r>
      <w:r w:rsidR="0065478D">
        <w:t xml:space="preserve">et al. </w:t>
      </w:r>
      <w:r w:rsidR="003B51F4">
        <w:t>2</w:t>
      </w:r>
      <w:r w:rsidRPr="00D34911">
        <w:t xml:space="preserve">016. Mind the gap: An analysis of foregone health gains from unfunded cancer medicines in New Zealand. </w:t>
      </w:r>
      <w:r w:rsidRPr="00D34911">
        <w:rPr>
          <w:i/>
        </w:rPr>
        <w:t>Seminars in Oncology</w:t>
      </w:r>
      <w:r w:rsidRPr="004E3752">
        <w:t xml:space="preserve"> 43</w:t>
      </w:r>
      <w:r w:rsidRPr="00D34911">
        <w:t>(6)</w:t>
      </w:r>
      <w:r w:rsidR="004E3752">
        <w:t>:</w:t>
      </w:r>
      <w:r w:rsidR="004E3752">
        <w:br/>
      </w:r>
      <w:r w:rsidRPr="00D34911">
        <w:t xml:space="preserve">625–37. DOI: 10.1053/j.seminoncol.2016.10.004 </w:t>
      </w:r>
      <w:r w:rsidRPr="004E3752">
        <w:rPr>
          <w:rFonts w:eastAsia="MS Gothic"/>
        </w:rPr>
        <w:t>(accessed 4 April 2022).</w:t>
      </w:r>
    </w:p>
    <w:p w14:paraId="7126AE3A" w14:textId="77777777" w:rsidR="00C338E8" w:rsidRPr="004E3752" w:rsidRDefault="007228FF" w:rsidP="00A6678E">
      <w:pPr>
        <w:pStyle w:val="References"/>
      </w:pPr>
      <w:r w:rsidRPr="00D34911">
        <w:t xml:space="preserve">Fearnley D, Kerse N, Nixon G. 2016. The price of </w:t>
      </w:r>
      <w:r w:rsidR="00D34911" w:rsidRPr="00D34911">
        <w:t>‘</w:t>
      </w:r>
      <w:r w:rsidRPr="00D34911">
        <w:t>free</w:t>
      </w:r>
      <w:r w:rsidR="00D34911" w:rsidRPr="00D34911">
        <w:t>’</w:t>
      </w:r>
      <w:r w:rsidRPr="00D34911">
        <w:t xml:space="preserve">. Quantifying the costs incurred by rural residents attending publically funded outpatient clinics in rural and base hospitals. </w:t>
      </w:r>
      <w:r w:rsidRPr="00D34911">
        <w:rPr>
          <w:i/>
        </w:rPr>
        <w:t>Journal of Primary Health Care</w:t>
      </w:r>
      <w:r w:rsidRPr="004E3752">
        <w:t xml:space="preserve"> 8</w:t>
      </w:r>
      <w:r w:rsidRPr="00D34911">
        <w:t>(3)</w:t>
      </w:r>
      <w:r w:rsidR="004E3752">
        <w:t>:</w:t>
      </w:r>
      <w:r w:rsidRPr="00D34911">
        <w:t xml:space="preserve"> 204–09. DOI: 10.1071/hc16014 </w:t>
      </w:r>
      <w:r w:rsidRPr="004E3752">
        <w:rPr>
          <w:rFonts w:eastAsia="MS Gothic"/>
        </w:rPr>
        <w:t>(accessed 4</w:t>
      </w:r>
      <w:r w:rsidR="004E3752">
        <w:rPr>
          <w:rFonts w:eastAsia="MS Gothic"/>
        </w:rPr>
        <w:t> </w:t>
      </w:r>
      <w:r w:rsidRPr="004E3752">
        <w:rPr>
          <w:rFonts w:eastAsia="MS Gothic"/>
        </w:rPr>
        <w:t>April 2022).</w:t>
      </w:r>
    </w:p>
    <w:p w14:paraId="73F6E732" w14:textId="77777777" w:rsidR="00C338E8" w:rsidRDefault="007228FF" w:rsidP="00A6678E">
      <w:pPr>
        <w:pStyle w:val="References"/>
      </w:pPr>
      <w:r w:rsidRPr="00D34911">
        <w:t xml:space="preserve">Fraser K, Tan AL, Innes C, </w:t>
      </w:r>
      <w:r w:rsidR="0065478D">
        <w:t xml:space="preserve">et al. </w:t>
      </w:r>
      <w:r w:rsidR="003B51F4">
        <w:t>2</w:t>
      </w:r>
      <w:r w:rsidRPr="00D34911">
        <w:t xml:space="preserve">019. Patterns of referral and uptake of BReast CAncer (BRCA) gene testing of eligible women with ovarian cancer in New Zealand. </w:t>
      </w:r>
      <w:r w:rsidRPr="00D34911">
        <w:rPr>
          <w:i/>
        </w:rPr>
        <w:t>New Zealand Medical Journal</w:t>
      </w:r>
      <w:r w:rsidRPr="004E3752">
        <w:t xml:space="preserve"> 132</w:t>
      </w:r>
      <w:r w:rsidRPr="00D34911">
        <w:t>(1490)</w:t>
      </w:r>
      <w:r w:rsidR="004E3752">
        <w:t>:</w:t>
      </w:r>
      <w:r w:rsidRPr="00D34911">
        <w:t xml:space="preserve"> 26</w:t>
      </w:r>
      <w:r w:rsidR="004E3752">
        <w:t>–</w:t>
      </w:r>
      <w:r w:rsidRPr="00D34911">
        <w:t>35.</w:t>
      </w:r>
    </w:p>
    <w:p w14:paraId="62105A61" w14:textId="77777777" w:rsidR="00C338E8" w:rsidRDefault="007228FF" w:rsidP="00EC5466">
      <w:pPr>
        <w:pStyle w:val="References"/>
        <w:keepNext/>
        <w:keepLines/>
      </w:pPr>
      <w:r w:rsidRPr="00D34911">
        <w:lastRenderedPageBreak/>
        <w:t xml:space="preserve">Fundytus A, Sengar M, Lombe D, </w:t>
      </w:r>
      <w:r w:rsidR="0065478D">
        <w:t xml:space="preserve">et al. </w:t>
      </w:r>
      <w:r w:rsidR="003B51F4">
        <w:t>2</w:t>
      </w:r>
      <w:r w:rsidRPr="00D34911">
        <w:t xml:space="preserve">021. Access to cancer medicines deemed essential by oncologists in 82 countries: an international, cross-sectional survey. </w:t>
      </w:r>
      <w:r w:rsidRPr="00D34911">
        <w:rPr>
          <w:i/>
          <w:iCs/>
        </w:rPr>
        <w:t>The Lancet Oncology</w:t>
      </w:r>
      <w:r w:rsidRPr="004E3752">
        <w:t xml:space="preserve"> </w:t>
      </w:r>
      <w:r w:rsidRPr="004E3752">
        <w:rPr>
          <w:iCs/>
        </w:rPr>
        <w:t>22</w:t>
      </w:r>
      <w:r w:rsidRPr="00D34911">
        <w:t>(10)</w:t>
      </w:r>
      <w:r w:rsidR="004E3752">
        <w:t>:</w:t>
      </w:r>
      <w:r w:rsidRPr="00D34911">
        <w:t xml:space="preserve"> 1367</w:t>
      </w:r>
      <w:r w:rsidR="004E3752">
        <w:t>–</w:t>
      </w:r>
      <w:r w:rsidRPr="00D34911">
        <w:t>77. DOI: 10.1016/S1470-2045(21)00463-0 (accessed 4 April 2022).</w:t>
      </w:r>
    </w:p>
    <w:p w14:paraId="286826C3" w14:textId="77777777" w:rsidR="00C338E8" w:rsidRPr="004E3752" w:rsidRDefault="007228FF" w:rsidP="00A6678E">
      <w:pPr>
        <w:pStyle w:val="References"/>
      </w:pPr>
      <w:r w:rsidRPr="00D34911">
        <w:t xml:space="preserve">Goodyear-Smith F, Ashton T. 2019. New Zealand health system: Universalism struggles with persisting inequities. </w:t>
      </w:r>
      <w:r w:rsidRPr="00D34911">
        <w:rPr>
          <w:i/>
        </w:rPr>
        <w:t>The Lancet</w:t>
      </w:r>
      <w:r w:rsidRPr="004E3752">
        <w:t xml:space="preserve"> 394</w:t>
      </w:r>
      <w:r w:rsidRPr="00D34911">
        <w:t>(10196)</w:t>
      </w:r>
      <w:r w:rsidR="004E3752">
        <w:t>:</w:t>
      </w:r>
      <w:r w:rsidRPr="00D34911">
        <w:t xml:space="preserve"> 432–42. DOI: 10.1016/S0140-6736(19)31238-3 </w:t>
      </w:r>
      <w:r w:rsidRPr="004E3752">
        <w:rPr>
          <w:rFonts w:eastAsia="MS Gothic"/>
        </w:rPr>
        <w:t>(accessed 4 April 2022).</w:t>
      </w:r>
    </w:p>
    <w:p w14:paraId="3EA3D36B" w14:textId="77777777" w:rsidR="00C338E8" w:rsidRPr="00A602F9" w:rsidRDefault="007228FF" w:rsidP="00A6678E">
      <w:pPr>
        <w:pStyle w:val="References"/>
      </w:pPr>
      <w:r w:rsidRPr="00D34911">
        <w:t xml:space="preserve">Gordon LG, Elliott TM, Olsen CM, </w:t>
      </w:r>
      <w:r w:rsidR="0065478D">
        <w:t xml:space="preserve">et al. </w:t>
      </w:r>
      <w:r w:rsidR="003B51F4">
        <w:t>2</w:t>
      </w:r>
      <w:r w:rsidRPr="00D34911">
        <w:t xml:space="preserve">018. Out-of-pocket medical expenses for Queenslanders with a major cancer. </w:t>
      </w:r>
      <w:r w:rsidRPr="00D34911">
        <w:rPr>
          <w:i/>
        </w:rPr>
        <w:t>Medical Journal of Australia</w:t>
      </w:r>
      <w:r w:rsidRPr="00A602F9">
        <w:t xml:space="preserve"> 208(</w:t>
      </w:r>
      <w:r w:rsidRPr="00D34911">
        <w:t>11)</w:t>
      </w:r>
      <w:r w:rsidR="00A602F9">
        <w:t>:</w:t>
      </w:r>
      <w:r w:rsidRPr="00D34911">
        <w:t xml:space="preserve"> 497. DOI: 10.5694/mja17.00815 </w:t>
      </w:r>
      <w:r w:rsidRPr="00A602F9">
        <w:rPr>
          <w:rFonts w:eastAsia="MS Gothic"/>
        </w:rPr>
        <w:t>(accessed 4 April 2022).</w:t>
      </w:r>
    </w:p>
    <w:p w14:paraId="2DF27BC6" w14:textId="77777777" w:rsidR="00C338E8" w:rsidRDefault="007228FF" w:rsidP="00A6678E">
      <w:pPr>
        <w:pStyle w:val="References"/>
      </w:pPr>
      <w:r w:rsidRPr="00D34911">
        <w:t xml:space="preserve">Greaves WO, Verma S, Patel KP, </w:t>
      </w:r>
      <w:r w:rsidR="0065478D">
        <w:t xml:space="preserve">et al. </w:t>
      </w:r>
      <w:r w:rsidR="003B51F4">
        <w:t>2</w:t>
      </w:r>
      <w:r w:rsidRPr="00D34911">
        <w:t xml:space="preserve">013. Frequency and spectrum of BRAF mutations in a retrospective, single-institution study of 1112 cases of melanoma. </w:t>
      </w:r>
      <w:r w:rsidRPr="00D34911">
        <w:rPr>
          <w:i/>
        </w:rPr>
        <w:t xml:space="preserve">The Journal of molecular </w:t>
      </w:r>
      <w:proofErr w:type="gramStart"/>
      <w:r w:rsidRPr="00D34911">
        <w:rPr>
          <w:i/>
        </w:rPr>
        <w:t>diagnostics :</w:t>
      </w:r>
      <w:proofErr w:type="gramEnd"/>
      <w:r w:rsidRPr="00D34911">
        <w:rPr>
          <w:i/>
        </w:rPr>
        <w:t xml:space="preserve"> JMD</w:t>
      </w:r>
      <w:r w:rsidRPr="00A602F9">
        <w:t xml:space="preserve"> 15(</w:t>
      </w:r>
      <w:r w:rsidRPr="00D34911">
        <w:t>2)</w:t>
      </w:r>
      <w:r w:rsidR="00A602F9">
        <w:t>:</w:t>
      </w:r>
      <w:r w:rsidRPr="00D34911">
        <w:t xml:space="preserve"> 220</w:t>
      </w:r>
      <w:r w:rsidR="00A602F9">
        <w:t>–</w:t>
      </w:r>
      <w:r w:rsidRPr="00D34911">
        <w:t>6. DOI: 10.1016/j.jmoldx.2012.10.002</w:t>
      </w:r>
      <w:r w:rsidR="00A602F9">
        <w:t>.</w:t>
      </w:r>
    </w:p>
    <w:p w14:paraId="4A8334D8" w14:textId="77777777" w:rsidR="00C338E8" w:rsidRDefault="007228FF" w:rsidP="00A6678E">
      <w:pPr>
        <w:pStyle w:val="References"/>
      </w:pPr>
      <w:r w:rsidRPr="00D34911">
        <w:t xml:space="preserve">Gurney J, Robson B, Koea J, </w:t>
      </w:r>
      <w:r w:rsidR="0065478D">
        <w:t xml:space="preserve">et al. </w:t>
      </w:r>
      <w:r w:rsidR="003B51F4">
        <w:t>2</w:t>
      </w:r>
      <w:r w:rsidRPr="00D34911">
        <w:t xml:space="preserve">020. The most commonly diagnosed and most common causes of cancer death for Māori New Zealanders. </w:t>
      </w:r>
      <w:r w:rsidRPr="00D34911">
        <w:rPr>
          <w:i/>
        </w:rPr>
        <w:t>New Zealand Medical Journal</w:t>
      </w:r>
      <w:r w:rsidRPr="00A602F9">
        <w:t xml:space="preserve"> 133</w:t>
      </w:r>
      <w:r w:rsidRPr="00D34911">
        <w:t>(1521)</w:t>
      </w:r>
      <w:r w:rsidR="00A602F9">
        <w:t>:</w:t>
      </w:r>
      <w:r w:rsidRPr="00D34911">
        <w:t xml:space="preserve"> 77–96.</w:t>
      </w:r>
    </w:p>
    <w:p w14:paraId="268F1B1C" w14:textId="77777777" w:rsidR="00C338E8" w:rsidRDefault="007228FF" w:rsidP="00A6678E">
      <w:pPr>
        <w:pStyle w:val="References"/>
      </w:pPr>
      <w:r w:rsidRPr="00D34911">
        <w:t xml:space="preserve">Gurney J, Stanley J, Jackson C, </w:t>
      </w:r>
      <w:r w:rsidR="0065478D">
        <w:t xml:space="preserve">et al. </w:t>
      </w:r>
      <w:r w:rsidR="003B51F4">
        <w:t>2</w:t>
      </w:r>
      <w:r w:rsidRPr="00D34911">
        <w:t xml:space="preserve">020. Stage at diagnosis for Māori cancer patients: disparities, similarities and data limitations. </w:t>
      </w:r>
      <w:r w:rsidRPr="00D34911">
        <w:rPr>
          <w:i/>
        </w:rPr>
        <w:t>New Zealand Medical Journal</w:t>
      </w:r>
      <w:r w:rsidRPr="00A602F9">
        <w:t xml:space="preserve"> 133</w:t>
      </w:r>
      <w:r w:rsidRPr="00D34911">
        <w:t>(1508)</w:t>
      </w:r>
      <w:r w:rsidR="00A602F9">
        <w:t>:</w:t>
      </w:r>
      <w:r w:rsidR="00A602F9">
        <w:br/>
      </w:r>
      <w:r w:rsidRPr="00D34911">
        <w:t>43–64.</w:t>
      </w:r>
    </w:p>
    <w:p w14:paraId="5B0FD670" w14:textId="77777777" w:rsidR="00C338E8" w:rsidRPr="00A602F9" w:rsidRDefault="007228FF" w:rsidP="00A6678E">
      <w:pPr>
        <w:pStyle w:val="References"/>
      </w:pPr>
      <w:r w:rsidRPr="00D34911">
        <w:t xml:space="preserve">Gurney J, Stanley J, McLeod M, </w:t>
      </w:r>
      <w:r w:rsidR="0065478D">
        <w:t xml:space="preserve">et al. </w:t>
      </w:r>
      <w:r w:rsidR="003B51F4">
        <w:t>2</w:t>
      </w:r>
      <w:r w:rsidRPr="00D34911">
        <w:t xml:space="preserve">020. Disparities in cancer-specific survival between Māori and </w:t>
      </w:r>
      <w:r w:rsidR="00A602F9">
        <w:t>n</w:t>
      </w:r>
      <w:r w:rsidRPr="00D34911">
        <w:t xml:space="preserve">on-Māori New Zealanders, 2007–2016. </w:t>
      </w:r>
      <w:r w:rsidRPr="00D34911">
        <w:rPr>
          <w:i/>
        </w:rPr>
        <w:t>JCO Global Oncology</w:t>
      </w:r>
      <w:r w:rsidR="00A602F9">
        <w:t xml:space="preserve"> (</w:t>
      </w:r>
      <w:r w:rsidRPr="00D34911">
        <w:t>6)</w:t>
      </w:r>
      <w:r w:rsidR="00A602F9">
        <w:t>:</w:t>
      </w:r>
      <w:r w:rsidRPr="00D34911">
        <w:t xml:space="preserve"> 766–74. DOI: 10.1200/go.20.00028</w:t>
      </w:r>
      <w:r w:rsidRPr="00A602F9">
        <w:t xml:space="preserve"> </w:t>
      </w:r>
      <w:r w:rsidRPr="00A602F9">
        <w:rPr>
          <w:rFonts w:eastAsia="MS Gothic"/>
        </w:rPr>
        <w:t>(accessed 4 April 2022).</w:t>
      </w:r>
    </w:p>
    <w:p w14:paraId="09A27BA7" w14:textId="77777777" w:rsidR="00C338E8" w:rsidRPr="001B69D7" w:rsidRDefault="007228FF" w:rsidP="00A6678E">
      <w:pPr>
        <w:pStyle w:val="References"/>
      </w:pPr>
      <w:r w:rsidRPr="00D34911">
        <w:t xml:space="preserve">Gyawali B, de Vries EGE, Dafni U, </w:t>
      </w:r>
      <w:r w:rsidR="0065478D">
        <w:t xml:space="preserve">et al. </w:t>
      </w:r>
      <w:r w:rsidR="003B51F4">
        <w:t>2</w:t>
      </w:r>
      <w:r w:rsidRPr="00D34911">
        <w:t xml:space="preserve">021. Biases in study design, implementation, and data analysis that distort the appraisal of clinical benefit and ESMO-Magnitude of Clinical Benefit Scale (ESMO-MCBS) scoring. </w:t>
      </w:r>
      <w:r w:rsidRPr="00D34911">
        <w:rPr>
          <w:i/>
        </w:rPr>
        <w:t>ESMO Open</w:t>
      </w:r>
      <w:r w:rsidRPr="001B69D7">
        <w:t xml:space="preserve"> 6(</w:t>
      </w:r>
      <w:r w:rsidRPr="00D34911">
        <w:t>3)</w:t>
      </w:r>
      <w:r w:rsidR="001B69D7">
        <w:t>:</w:t>
      </w:r>
      <w:r w:rsidRPr="00D34911">
        <w:t xml:space="preserve"> 100117. DOI: 10.1016/j.esmoop.2021.100117 </w:t>
      </w:r>
      <w:r w:rsidRPr="001B69D7">
        <w:rPr>
          <w:rFonts w:eastAsia="MS Gothic"/>
        </w:rPr>
        <w:t>(accessed 4 April 2022).</w:t>
      </w:r>
    </w:p>
    <w:p w14:paraId="396E7DE6" w14:textId="77777777" w:rsidR="00C338E8" w:rsidRPr="00222063" w:rsidRDefault="007228FF" w:rsidP="00A6678E">
      <w:pPr>
        <w:pStyle w:val="References"/>
      </w:pPr>
      <w:r w:rsidRPr="00D34911">
        <w:t xml:space="preserve">Gyawali B, Eisenhauer E, Tregear M, </w:t>
      </w:r>
      <w:r w:rsidR="0065478D">
        <w:t xml:space="preserve">et al. </w:t>
      </w:r>
      <w:r w:rsidR="003B51F4">
        <w:t>2</w:t>
      </w:r>
      <w:r w:rsidRPr="00D34911">
        <w:t xml:space="preserve">022. Progression-free survival: It is time for a new name. </w:t>
      </w:r>
      <w:r w:rsidRPr="00D34911">
        <w:rPr>
          <w:i/>
        </w:rPr>
        <w:t>The Lancet Oncology</w:t>
      </w:r>
      <w:r w:rsidRPr="00222063">
        <w:t xml:space="preserve"> 23</w:t>
      </w:r>
      <w:r w:rsidRPr="00D34911">
        <w:t>(3)</w:t>
      </w:r>
      <w:r w:rsidR="00222063">
        <w:t>:</w:t>
      </w:r>
      <w:r w:rsidRPr="00D34911">
        <w:t xml:space="preserve"> 328–30. DOI: 10.1016/S1470-2045(22)00015-8 </w:t>
      </w:r>
      <w:r w:rsidRPr="00222063">
        <w:rPr>
          <w:rFonts w:eastAsia="MS Gothic"/>
        </w:rPr>
        <w:t>(accessed 4 April 2022).</w:t>
      </w:r>
    </w:p>
    <w:p w14:paraId="5EE0BE4A" w14:textId="77777777" w:rsidR="00C338E8" w:rsidRPr="00222063" w:rsidRDefault="007228FF" w:rsidP="00A6678E">
      <w:pPr>
        <w:pStyle w:val="References"/>
      </w:pPr>
      <w:r w:rsidRPr="00D34911">
        <w:t xml:space="preserve">Haslam A, Hey SP, Gill J, </w:t>
      </w:r>
      <w:r w:rsidR="0065478D">
        <w:t xml:space="preserve">et al. </w:t>
      </w:r>
      <w:r w:rsidR="003B51F4">
        <w:t>2</w:t>
      </w:r>
      <w:r w:rsidRPr="00D34911">
        <w:t xml:space="preserve">019. A systematic review of trial-level meta-analyses measuring the strength of association between surrogate end-points and overall survival in oncology. </w:t>
      </w:r>
      <w:r w:rsidRPr="00D34911">
        <w:rPr>
          <w:i/>
        </w:rPr>
        <w:t>European Journal of Cancer</w:t>
      </w:r>
      <w:r w:rsidRPr="00222063">
        <w:t xml:space="preserve"> 106</w:t>
      </w:r>
      <w:r w:rsidR="00222063">
        <w:t>:</w:t>
      </w:r>
      <w:r w:rsidRPr="00D34911">
        <w:t xml:space="preserve"> 196–211. DOI: 10.1016/j.ejca.2018.11.012 </w:t>
      </w:r>
      <w:r w:rsidRPr="00222063">
        <w:rPr>
          <w:rFonts w:eastAsia="MS Gothic"/>
        </w:rPr>
        <w:t>(accessed 4 April 2022).</w:t>
      </w:r>
    </w:p>
    <w:p w14:paraId="6EF0FFA3" w14:textId="77777777" w:rsidR="00C338E8" w:rsidRDefault="007228FF" w:rsidP="00A6678E">
      <w:pPr>
        <w:pStyle w:val="References"/>
      </w:pPr>
      <w:r w:rsidRPr="00D34911">
        <w:t xml:space="preserve">Hill S, Sarfati D, Blakely T, </w:t>
      </w:r>
      <w:r w:rsidR="0065478D">
        <w:t xml:space="preserve">et al. </w:t>
      </w:r>
      <w:r w:rsidR="003B51F4">
        <w:t>2</w:t>
      </w:r>
      <w:r w:rsidRPr="00D34911">
        <w:t xml:space="preserve">010. Ethnicity and management of colon cancer in New Zealand. </w:t>
      </w:r>
      <w:r w:rsidRPr="00D34911">
        <w:rPr>
          <w:i/>
        </w:rPr>
        <w:t>Cancer</w:t>
      </w:r>
      <w:r w:rsidRPr="00D34911">
        <w:t xml:space="preserve"> 3</w:t>
      </w:r>
      <w:r w:rsidR="00222063">
        <w:t xml:space="preserve">: </w:t>
      </w:r>
      <w:r w:rsidRPr="00D34911">
        <w:t>205–14.</w:t>
      </w:r>
    </w:p>
    <w:p w14:paraId="2E8BF97E" w14:textId="77777777" w:rsidR="00C338E8" w:rsidRDefault="007228FF" w:rsidP="00A6678E">
      <w:pPr>
        <w:pStyle w:val="References"/>
      </w:pPr>
      <w:r w:rsidRPr="00D34911">
        <w:t xml:space="preserve">Hofmarcher T, Keel G, Lindgren P. 2021. </w:t>
      </w:r>
      <w:r w:rsidRPr="00D34911">
        <w:rPr>
          <w:i/>
        </w:rPr>
        <w:t>Health Spending on Cancer Drugs and Unmet Patient Needs in Asia-Pacific</w:t>
      </w:r>
      <w:r w:rsidRPr="00D34911">
        <w:t xml:space="preserve">. The Swedish Institute for Health Economics (IHE). URL: </w:t>
      </w:r>
      <w:hyperlink r:id="rId138" w:history="1">
        <w:r w:rsidR="00222063" w:rsidRPr="00222063">
          <w:rPr>
            <w:rStyle w:val="Hyperlink"/>
          </w:rPr>
          <w:t>https://ihe.se/en/publicering/cancer-drug-spending-in-asia-pacific/</w:t>
        </w:r>
      </w:hyperlink>
      <w:r w:rsidRPr="00D34911">
        <w:t xml:space="preserve"> (accessed 4 April 2022).</w:t>
      </w:r>
    </w:p>
    <w:p w14:paraId="4AEF1231" w14:textId="77777777" w:rsidR="00C338E8" w:rsidRPr="00222063" w:rsidRDefault="007228FF" w:rsidP="00A6678E">
      <w:pPr>
        <w:pStyle w:val="References"/>
      </w:pPr>
      <w:r w:rsidRPr="00D34911">
        <w:t>Hwang TJ, Gyawali, B. 2019. Association between progression-free survival and patients</w:t>
      </w:r>
      <w:r w:rsidR="00D34911" w:rsidRPr="00D34911">
        <w:t>’</w:t>
      </w:r>
      <w:r w:rsidRPr="00D34911">
        <w:t xml:space="preserve"> quality of life in cancer clinical trials. </w:t>
      </w:r>
      <w:r w:rsidR="00222063">
        <w:rPr>
          <w:i/>
        </w:rPr>
        <w:t>International Journal of C</w:t>
      </w:r>
      <w:r w:rsidRPr="00D34911">
        <w:rPr>
          <w:i/>
        </w:rPr>
        <w:t>ancer</w:t>
      </w:r>
      <w:r w:rsidRPr="00222063">
        <w:t xml:space="preserve"> 144(</w:t>
      </w:r>
      <w:r w:rsidRPr="00D34911">
        <w:t>7)</w:t>
      </w:r>
      <w:r w:rsidR="00222063">
        <w:t>:</w:t>
      </w:r>
      <w:r w:rsidRPr="00D34911">
        <w:t xml:space="preserve"> 1,746–51. DOI: 10.1002/ijc.31957 </w:t>
      </w:r>
      <w:r w:rsidRPr="00222063">
        <w:rPr>
          <w:rFonts w:eastAsia="MS Gothic"/>
        </w:rPr>
        <w:t>(accessed 4 April 2022).</w:t>
      </w:r>
    </w:p>
    <w:p w14:paraId="5099BD36" w14:textId="77777777" w:rsidR="00C338E8" w:rsidRDefault="007228FF" w:rsidP="00EC5466">
      <w:pPr>
        <w:pStyle w:val="References"/>
        <w:keepNext/>
        <w:keepLines/>
      </w:pPr>
      <w:r w:rsidRPr="00D34911">
        <w:lastRenderedPageBreak/>
        <w:t xml:space="preserve">Hynd A, Roughead EE, Preen DB, </w:t>
      </w:r>
      <w:r w:rsidR="0065478D">
        <w:t xml:space="preserve">et al. </w:t>
      </w:r>
      <w:r w:rsidR="003B51F4">
        <w:t>2</w:t>
      </w:r>
      <w:r w:rsidRPr="00D34911">
        <w:t xml:space="preserve">008. The impact of co-payment increases on dispensings of government-subsidised medicines in Australia. </w:t>
      </w:r>
      <w:r w:rsidRPr="00D34911">
        <w:rPr>
          <w:i/>
        </w:rPr>
        <w:t>Pharmacoepidemiology and Drug Safety</w:t>
      </w:r>
      <w:r w:rsidRPr="00222063">
        <w:t xml:space="preserve"> 17</w:t>
      </w:r>
      <w:r w:rsidRPr="00D34911">
        <w:t>(11)</w:t>
      </w:r>
      <w:r w:rsidR="00222063">
        <w:t>:</w:t>
      </w:r>
      <w:r w:rsidRPr="00D34911">
        <w:t xml:space="preserve"> 1,091–99. DOI: 10.1002/pds.1670 (accessed 4 April 2022).</w:t>
      </w:r>
    </w:p>
    <w:p w14:paraId="34FCB189" w14:textId="77777777" w:rsidR="00C338E8" w:rsidRDefault="007228FF" w:rsidP="00A6678E">
      <w:pPr>
        <w:pStyle w:val="References"/>
      </w:pPr>
      <w:r w:rsidRPr="00D34911">
        <w:t xml:space="preserve">Jackson C, Sharples K, Firth M, </w:t>
      </w:r>
      <w:r w:rsidR="0065478D">
        <w:t xml:space="preserve">et al. </w:t>
      </w:r>
      <w:r w:rsidR="003B51F4">
        <w:t>2</w:t>
      </w:r>
      <w:r w:rsidRPr="00D34911">
        <w:t xml:space="preserve">015. </w:t>
      </w:r>
      <w:r w:rsidR="00222063">
        <w:rPr>
          <w:i/>
        </w:rPr>
        <w:t>The PIPER Project: An i</w:t>
      </w:r>
      <w:r w:rsidRPr="00D34911">
        <w:rPr>
          <w:i/>
        </w:rPr>
        <w:t>nternal examination of colorectal cancer management in New Zealand. Final study report to the Health Research Council and Ministry of Health.</w:t>
      </w:r>
      <w:r w:rsidRPr="00D34911">
        <w:t xml:space="preserve"> URL: </w:t>
      </w:r>
      <w:hyperlink r:id="rId139" w:history="1">
        <w:r w:rsidR="00222063" w:rsidRPr="00222063">
          <w:rPr>
            <w:rStyle w:val="Hyperlink"/>
          </w:rPr>
          <w:t>www.fmhs.auckland.ac.nz/assets/fmhs/sms/ctnz/docs/THE%20PIPER%20PROJECT%20Final%20deliverable%20report%207%20August%202015%20(HRC%2011_764%20FINDLAY).pdf</w:t>
        </w:r>
      </w:hyperlink>
      <w:r w:rsidRPr="00D34911">
        <w:t xml:space="preserve"> (accessed 4 April 2022).</w:t>
      </w:r>
    </w:p>
    <w:p w14:paraId="5D33A458" w14:textId="77777777" w:rsidR="00C338E8" w:rsidRDefault="007228FF" w:rsidP="00A6678E">
      <w:pPr>
        <w:pStyle w:val="References"/>
      </w:pPr>
      <w:r w:rsidRPr="00D34911">
        <w:t xml:space="preserve">Jatrana S, Crampton P, Norris P. 2011. Ethnic differences in access to prescription medication because of cost in New Zealand. </w:t>
      </w:r>
      <w:r w:rsidRPr="00D34911">
        <w:rPr>
          <w:i/>
        </w:rPr>
        <w:t>Journal of Epidemiology &amp; Community Health</w:t>
      </w:r>
      <w:r w:rsidRPr="00222063">
        <w:t xml:space="preserve"> 65</w:t>
      </w:r>
      <w:r w:rsidRPr="00D34911">
        <w:t>(5)</w:t>
      </w:r>
      <w:r w:rsidR="00222063">
        <w:t>:</w:t>
      </w:r>
      <w:r w:rsidRPr="00D34911">
        <w:t xml:space="preserve"> 454–60. DOI: 10.1136/jech.2009.099101 (accessed 4 April 2022).</w:t>
      </w:r>
    </w:p>
    <w:p w14:paraId="21349A10" w14:textId="77777777" w:rsidR="00C338E8" w:rsidRDefault="007228FF" w:rsidP="00A6678E">
      <w:pPr>
        <w:pStyle w:val="References"/>
      </w:pPr>
      <w:r w:rsidRPr="00D34911">
        <w:t xml:space="preserve">Jiang DM, Chan KKW, Jang RW, </w:t>
      </w:r>
      <w:r w:rsidR="0065478D">
        <w:t xml:space="preserve">et al. </w:t>
      </w:r>
      <w:r w:rsidR="003B51F4">
        <w:t>2</w:t>
      </w:r>
      <w:r w:rsidRPr="00D34911">
        <w:t xml:space="preserve">019. Anticancer drugs approved by the Food and Drug Administration for gastrointestinal malignancies: Clinical benefit and price considerations. </w:t>
      </w:r>
      <w:r w:rsidRPr="00D34911">
        <w:rPr>
          <w:i/>
        </w:rPr>
        <w:t>Cancer Medicine</w:t>
      </w:r>
      <w:r w:rsidRPr="00222063">
        <w:t xml:space="preserve"> 8(</w:t>
      </w:r>
      <w:r w:rsidRPr="00D34911">
        <w:t>4)</w:t>
      </w:r>
      <w:r w:rsidR="00222063">
        <w:t>:</w:t>
      </w:r>
      <w:r w:rsidRPr="00D34911">
        <w:t xml:space="preserve"> 1,584–93. DOI: 10.1002/cam4.2058 (accessed 4 April 2022).</w:t>
      </w:r>
    </w:p>
    <w:p w14:paraId="7A072656" w14:textId="77777777" w:rsidR="00C338E8" w:rsidRDefault="007228FF" w:rsidP="00A6678E">
      <w:pPr>
        <w:pStyle w:val="References"/>
      </w:pPr>
      <w:r w:rsidRPr="00D34911">
        <w:t xml:space="preserve">Jones AM, Ferguson P, Gardner J, </w:t>
      </w:r>
      <w:r w:rsidR="0065478D">
        <w:t xml:space="preserve">et al. </w:t>
      </w:r>
      <w:r w:rsidR="003B51F4">
        <w:t>2</w:t>
      </w:r>
      <w:r w:rsidRPr="00D34911">
        <w:t xml:space="preserve">016. NRAS and EPHB6 mutation rates differ in metastatic melanomas of patients in the North Island versus South Island of New Zealand. </w:t>
      </w:r>
      <w:r w:rsidRPr="00D34911">
        <w:rPr>
          <w:i/>
        </w:rPr>
        <w:t>Oncotarget</w:t>
      </w:r>
      <w:r w:rsidRPr="00222063">
        <w:t xml:space="preserve"> 7</w:t>
      </w:r>
      <w:r w:rsidRPr="00D34911">
        <w:t>(27)</w:t>
      </w:r>
      <w:r w:rsidR="00222063">
        <w:t>:</w:t>
      </w:r>
      <w:r w:rsidRPr="00D34911">
        <w:t xml:space="preserve"> 41</w:t>
      </w:r>
      <w:r w:rsidR="00222063">
        <w:t>,</w:t>
      </w:r>
      <w:r w:rsidRPr="00D34911">
        <w:t>017</w:t>
      </w:r>
      <w:r w:rsidR="00222063">
        <w:t>–</w:t>
      </w:r>
      <w:r w:rsidRPr="00D34911">
        <w:t>30. DOI: https://doi.org/10.18632/oncotarget.9351</w:t>
      </w:r>
      <w:r w:rsidR="00222063">
        <w:t>.</w:t>
      </w:r>
    </w:p>
    <w:p w14:paraId="7F5698DD" w14:textId="77777777" w:rsidR="00C338E8" w:rsidRDefault="007228FF" w:rsidP="00A6678E">
      <w:pPr>
        <w:pStyle w:val="References"/>
      </w:pPr>
      <w:r w:rsidRPr="00D34911">
        <w:t xml:space="preserve">Kantarjian H, Rajkumar SV. 2015. Why are cancer drugs so expensive in the United States, and what are the solutions? </w:t>
      </w:r>
      <w:r w:rsidRPr="00D34911">
        <w:rPr>
          <w:i/>
        </w:rPr>
        <w:t>Mayo Clinic Proceedings</w:t>
      </w:r>
      <w:r w:rsidRPr="00222063">
        <w:t xml:space="preserve"> 90</w:t>
      </w:r>
      <w:r w:rsidRPr="00D34911">
        <w:t>(4)</w:t>
      </w:r>
      <w:r w:rsidR="00222063">
        <w:t>:</w:t>
      </w:r>
      <w:r w:rsidRPr="00D34911">
        <w:t xml:space="preserve"> 500–4. DOI: 10.1016/j.mayocp.2015.01.014 (accessed 4 April 2022).</w:t>
      </w:r>
    </w:p>
    <w:p w14:paraId="38335E95" w14:textId="77777777" w:rsidR="00C338E8" w:rsidRDefault="007228FF" w:rsidP="00A6678E">
      <w:pPr>
        <w:pStyle w:val="References"/>
      </w:pPr>
      <w:r w:rsidRPr="00D34911">
        <w:t xml:space="preserve">Kiesewetter B, Cherny NI, Boissel N, </w:t>
      </w:r>
      <w:r w:rsidR="0065478D">
        <w:t xml:space="preserve">et al. </w:t>
      </w:r>
      <w:r w:rsidR="003B51F4">
        <w:t>2</w:t>
      </w:r>
      <w:r w:rsidRPr="00D34911">
        <w:t xml:space="preserve">020. EHA evaluation of the ESMO-Magnitude of Clinical Benefit Scale version 1.1 (ESMO-MCBS v1.1) for haematological malignancies. </w:t>
      </w:r>
      <w:r w:rsidRPr="00D34911">
        <w:rPr>
          <w:i/>
        </w:rPr>
        <w:t>ESMO Open</w:t>
      </w:r>
      <w:r w:rsidRPr="00222063">
        <w:t xml:space="preserve"> 5</w:t>
      </w:r>
      <w:r w:rsidRPr="00D34911">
        <w:t>(1)</w:t>
      </w:r>
      <w:r w:rsidR="00222063">
        <w:t>:</w:t>
      </w:r>
      <w:r w:rsidRPr="00D34911">
        <w:t xml:space="preserve"> e000611. DOI: </w:t>
      </w:r>
      <w:hyperlink r:id="rId140" w:history="1">
        <w:r w:rsidR="00222063" w:rsidRPr="00222063">
          <w:rPr>
            <w:rStyle w:val="Hyperlink"/>
          </w:rPr>
          <w:t>https://doi.org/ 10.1136/esmoopen-2019-000611</w:t>
        </w:r>
      </w:hyperlink>
      <w:r w:rsidRPr="00D34911">
        <w:t xml:space="preserve"> (accessed 4 April 2022).</w:t>
      </w:r>
    </w:p>
    <w:p w14:paraId="25C03D31" w14:textId="77777777" w:rsidR="00C338E8" w:rsidRDefault="007228FF" w:rsidP="00A6678E">
      <w:pPr>
        <w:pStyle w:val="References"/>
      </w:pPr>
      <w:r w:rsidRPr="00D34911">
        <w:t xml:space="preserve">Lao C, Kuper-Hommel M, Laking G, </w:t>
      </w:r>
      <w:r w:rsidR="0065478D">
        <w:t xml:space="preserve">et al. </w:t>
      </w:r>
      <w:r w:rsidR="003B51F4">
        <w:t>2</w:t>
      </w:r>
      <w:r w:rsidRPr="00D34911">
        <w:t xml:space="preserve">020. Evidence of inequitable use of chemotherapy in New Zealand colorectal cancer patients. </w:t>
      </w:r>
      <w:r w:rsidRPr="00D34911">
        <w:rPr>
          <w:i/>
        </w:rPr>
        <w:t>New Zealand Medical Journal</w:t>
      </w:r>
      <w:r w:rsidRPr="00222063">
        <w:t xml:space="preserve"> 133</w:t>
      </w:r>
      <w:r w:rsidRPr="00D34911">
        <w:t>(1520)</w:t>
      </w:r>
      <w:r w:rsidR="00222063">
        <w:t>:</w:t>
      </w:r>
      <w:r w:rsidRPr="00D34911">
        <w:t xml:space="preserve"> 15–26.</w:t>
      </w:r>
    </w:p>
    <w:p w14:paraId="5AF84A14" w14:textId="77777777" w:rsidR="00C338E8" w:rsidRDefault="007228FF" w:rsidP="00A6678E">
      <w:pPr>
        <w:pStyle w:val="References"/>
      </w:pPr>
      <w:r w:rsidRPr="00D34911">
        <w:t xml:space="preserve">Lawrenson R, Lao C, Campbell I, </w:t>
      </w:r>
      <w:r w:rsidR="0065478D">
        <w:t xml:space="preserve">et al. </w:t>
      </w:r>
      <w:r w:rsidR="003B51F4">
        <w:t>2</w:t>
      </w:r>
      <w:r w:rsidRPr="00D34911">
        <w:t xml:space="preserve">018. The use of trastuzumab in New Zealand women with breast cancer. </w:t>
      </w:r>
      <w:r w:rsidRPr="00D34911">
        <w:rPr>
          <w:i/>
        </w:rPr>
        <w:t>Asia-Pacific Journal of Clinical Oncology</w:t>
      </w:r>
      <w:r w:rsidRPr="00222063">
        <w:t xml:space="preserve"> 14(</w:t>
      </w:r>
      <w:r w:rsidRPr="00D34911">
        <w:t>2)</w:t>
      </w:r>
      <w:r w:rsidR="00222063">
        <w:t>:</w:t>
      </w:r>
      <w:r w:rsidRPr="00D34911">
        <w:t xml:space="preserve"> e152–60. DOI:</w:t>
      </w:r>
      <w:r w:rsidR="00D34911" w:rsidRPr="00D34911">
        <w:t xml:space="preserve"> </w:t>
      </w:r>
      <w:r w:rsidRPr="00D34911">
        <w:t>https://doi.org/10.1111/ajco.12766 (accessed 4 April 2022).</w:t>
      </w:r>
    </w:p>
    <w:p w14:paraId="023ED3D6" w14:textId="77777777" w:rsidR="00C338E8" w:rsidRDefault="007228FF" w:rsidP="00A6678E">
      <w:pPr>
        <w:pStyle w:val="References"/>
      </w:pPr>
      <w:r w:rsidRPr="00D34911">
        <w:t xml:space="preserve">Lichtenberg FR. 2021. The impact of pharmaceutical innovation on the longevity and hospitalization of New Zealand cancer patients, 1998–2017. </w:t>
      </w:r>
      <w:r w:rsidRPr="00D34911">
        <w:rPr>
          <w:i/>
        </w:rPr>
        <w:t>Expe</w:t>
      </w:r>
      <w:r w:rsidR="00222063">
        <w:rPr>
          <w:i/>
        </w:rPr>
        <w:t>rt Review of Pharmacoeconomics and</w:t>
      </w:r>
      <w:r w:rsidRPr="00D34911">
        <w:rPr>
          <w:i/>
        </w:rPr>
        <w:t xml:space="preserve"> Outcomes Research</w:t>
      </w:r>
      <w:r w:rsidRPr="00222063">
        <w:t xml:space="preserve"> 21</w:t>
      </w:r>
      <w:r w:rsidRPr="00D34911">
        <w:t>(3)</w:t>
      </w:r>
      <w:r w:rsidR="00222063">
        <w:t>:</w:t>
      </w:r>
      <w:r w:rsidRPr="00D34911">
        <w:t xml:space="preserve"> 476–77. DOI: https://doi.org/10.1080/14737167.2021.1871330 (accessed 4 April 2022).</w:t>
      </w:r>
    </w:p>
    <w:p w14:paraId="3F5161CE" w14:textId="77777777" w:rsidR="00C338E8" w:rsidRDefault="007228FF" w:rsidP="00A6678E">
      <w:pPr>
        <w:pStyle w:val="References"/>
      </w:pPr>
      <w:r w:rsidRPr="00D34911">
        <w:t xml:space="preserve">McLeod M, Harris R, Purdie G, </w:t>
      </w:r>
      <w:r w:rsidR="0065478D">
        <w:t xml:space="preserve">et al. </w:t>
      </w:r>
      <w:r w:rsidR="003B51F4">
        <w:t>2</w:t>
      </w:r>
      <w:r w:rsidRPr="00D34911">
        <w:t xml:space="preserve">010. Improving survival disparities in cervical cancer between Māori and non-Māori women in New Zealand: a national retrospective cohort study. </w:t>
      </w:r>
      <w:r w:rsidR="00222063">
        <w:rPr>
          <w:i/>
        </w:rPr>
        <w:t>Australian and New Zealand J</w:t>
      </w:r>
      <w:r w:rsidRPr="00D34911">
        <w:rPr>
          <w:i/>
        </w:rPr>
        <w:t xml:space="preserve">ournal of </w:t>
      </w:r>
      <w:r w:rsidR="00222063">
        <w:rPr>
          <w:i/>
        </w:rPr>
        <w:t>P</w:t>
      </w:r>
      <w:r w:rsidRPr="00D34911">
        <w:rPr>
          <w:i/>
        </w:rPr>
        <w:t xml:space="preserve">ublic </w:t>
      </w:r>
      <w:r w:rsidR="00222063">
        <w:rPr>
          <w:i/>
        </w:rPr>
        <w:t>H</w:t>
      </w:r>
      <w:r w:rsidRPr="00D34911">
        <w:rPr>
          <w:i/>
        </w:rPr>
        <w:t>ealth</w:t>
      </w:r>
      <w:r w:rsidRPr="00222063">
        <w:t xml:space="preserve"> 34(</w:t>
      </w:r>
      <w:r w:rsidRPr="00D34911">
        <w:t>2)</w:t>
      </w:r>
      <w:r w:rsidR="00222063">
        <w:t>:</w:t>
      </w:r>
      <w:r w:rsidRPr="00D34911">
        <w:t xml:space="preserve"> 193–9. DOI: 10.1111/j.1753-6405.</w:t>
      </w:r>
      <w:proofErr w:type="gramStart"/>
      <w:r w:rsidRPr="00D34911">
        <w:t>2010.00506.x</w:t>
      </w:r>
      <w:proofErr w:type="gramEnd"/>
      <w:r w:rsidRPr="00D34911">
        <w:t xml:space="preserve"> (accessed 4 April 2022).</w:t>
      </w:r>
    </w:p>
    <w:p w14:paraId="3021E3FF" w14:textId="77777777" w:rsidR="00C338E8" w:rsidRDefault="007228FF" w:rsidP="00A6678E">
      <w:pPr>
        <w:pStyle w:val="References"/>
      </w:pPr>
      <w:r w:rsidRPr="00D34911">
        <w:t xml:space="preserve">Medsafe. 2021. </w:t>
      </w:r>
      <w:r w:rsidRPr="00D34911">
        <w:rPr>
          <w:i/>
        </w:rPr>
        <w:t>New Zealand Data Sheet: IMFINZI® 50 mg/mL, concentrated solution for infusion</w:t>
      </w:r>
      <w:r w:rsidRPr="00D34911">
        <w:t xml:space="preserve">. Medsafe. URL: </w:t>
      </w:r>
      <w:hyperlink r:id="rId141" w:history="1">
        <w:r w:rsidR="00222063" w:rsidRPr="00222063">
          <w:rPr>
            <w:rStyle w:val="Hyperlink"/>
          </w:rPr>
          <w:t>www.medsafe.govt.nz/profs/Datasheet/i/imfinziinf.pdf</w:t>
        </w:r>
      </w:hyperlink>
      <w:r w:rsidRPr="00D34911">
        <w:t xml:space="preserve"> (accessed 4 April 2022).</w:t>
      </w:r>
    </w:p>
    <w:p w14:paraId="1F34750C" w14:textId="77777777" w:rsidR="00C338E8" w:rsidRDefault="007228FF" w:rsidP="00A6678E">
      <w:pPr>
        <w:pStyle w:val="References"/>
      </w:pPr>
      <w:r w:rsidRPr="00D34911">
        <w:lastRenderedPageBreak/>
        <w:t xml:space="preserve">Meredith I, Sarfati D, Ikeda T, </w:t>
      </w:r>
      <w:r w:rsidR="0065478D">
        <w:t xml:space="preserve">et al. </w:t>
      </w:r>
      <w:r w:rsidR="003B51F4">
        <w:t>2</w:t>
      </w:r>
      <w:r w:rsidRPr="00D34911">
        <w:t xml:space="preserve">012. Cancer in Pacific people in New Zealand. </w:t>
      </w:r>
      <w:r w:rsidRPr="00D34911">
        <w:rPr>
          <w:i/>
        </w:rPr>
        <w:t>Cancer Causes Control</w:t>
      </w:r>
      <w:r w:rsidRPr="00222063">
        <w:t xml:space="preserve"> 23(</w:t>
      </w:r>
      <w:r w:rsidRPr="00D34911">
        <w:t>7)</w:t>
      </w:r>
      <w:r w:rsidR="00222063">
        <w:t>:</w:t>
      </w:r>
      <w:r w:rsidRPr="00D34911">
        <w:t xml:space="preserve"> 1,173–84. DOI: </w:t>
      </w:r>
      <w:hyperlink r:id="rId142" w:history="1">
        <w:r w:rsidR="00222063" w:rsidRPr="00222063">
          <w:rPr>
            <w:rStyle w:val="Hyperlink"/>
          </w:rPr>
          <w:t>https://doi.org/10.1007/s10552-012-9986-x</w:t>
        </w:r>
      </w:hyperlink>
      <w:r w:rsidRPr="00D34911">
        <w:t xml:space="preserve"> (accessed 4</w:t>
      </w:r>
      <w:r w:rsidR="00222063">
        <w:t> </w:t>
      </w:r>
      <w:r w:rsidRPr="00D34911">
        <w:t>April 2022).</w:t>
      </w:r>
    </w:p>
    <w:p w14:paraId="3A7B04CF" w14:textId="77777777" w:rsidR="00C338E8" w:rsidRDefault="007228FF" w:rsidP="00A6678E">
      <w:pPr>
        <w:pStyle w:val="References"/>
      </w:pPr>
      <w:r w:rsidRPr="00D34911">
        <w:t xml:space="preserve">Meyers DE, Meyers BS, Chisamore TM, </w:t>
      </w:r>
      <w:r w:rsidR="0065478D">
        <w:t xml:space="preserve">et al. </w:t>
      </w:r>
      <w:r w:rsidR="003B51F4">
        <w:t>2</w:t>
      </w:r>
      <w:r w:rsidRPr="00D34911">
        <w:t xml:space="preserve">022. Trends in drug revenue among major pharmaceutical companies: A 2010–2019 cohort study. </w:t>
      </w:r>
      <w:r w:rsidRPr="00D34911">
        <w:rPr>
          <w:i/>
        </w:rPr>
        <w:t>Cancer</w:t>
      </w:r>
      <w:r w:rsidRPr="00222063">
        <w:t xml:space="preserve"> 128</w:t>
      </w:r>
      <w:r w:rsidRPr="00D34911">
        <w:t>(2)</w:t>
      </w:r>
      <w:r w:rsidR="00222063">
        <w:t>:</w:t>
      </w:r>
      <w:r w:rsidRPr="00D34911">
        <w:t xml:space="preserve"> 311–16. DOI: 10.1002/cncr.33934 (accessed 4 April 2022).</w:t>
      </w:r>
    </w:p>
    <w:p w14:paraId="1C743C90" w14:textId="77777777" w:rsidR="00C338E8" w:rsidRDefault="007228FF" w:rsidP="00A6678E">
      <w:pPr>
        <w:pStyle w:val="References"/>
      </w:pPr>
      <w:r w:rsidRPr="00D34911">
        <w:t xml:space="preserve">Ministry of Health. 2014. </w:t>
      </w:r>
      <w:r w:rsidRPr="00D34911">
        <w:rPr>
          <w:i/>
        </w:rPr>
        <w:t>Rangatiratanga</w:t>
      </w:r>
      <w:r w:rsidRPr="00D34911">
        <w:t xml:space="preserve">. URL: </w:t>
      </w:r>
      <w:hyperlink r:id="rId143" w:history="1">
        <w:r w:rsidR="00222063" w:rsidRPr="00222063">
          <w:rPr>
            <w:rStyle w:val="Hyperlink"/>
          </w:rPr>
          <w:t>www.health.govt.nz/our-work/populations/maori-health/he-korowai-oranga/key-threads/rangatiratanga</w:t>
        </w:r>
      </w:hyperlink>
      <w:r w:rsidRPr="00D34911">
        <w:t xml:space="preserve"> (accessed 15 March 2022).</w:t>
      </w:r>
    </w:p>
    <w:p w14:paraId="32441F1B" w14:textId="77777777" w:rsidR="00C338E8" w:rsidRDefault="007228FF" w:rsidP="00A6678E">
      <w:pPr>
        <w:pStyle w:val="References"/>
      </w:pPr>
      <w:r w:rsidRPr="00D34911">
        <w:t xml:space="preserve">Ministry of Health. 2019a. </w:t>
      </w:r>
      <w:r w:rsidRPr="00D34911">
        <w:rPr>
          <w:i/>
        </w:rPr>
        <w:t xml:space="preserve">Achieving </w:t>
      </w:r>
      <w:r w:rsidR="004B6C14">
        <w:rPr>
          <w:i/>
        </w:rPr>
        <w:t>E</w:t>
      </w:r>
      <w:r w:rsidRPr="00D34911">
        <w:rPr>
          <w:i/>
        </w:rPr>
        <w:t>quity</w:t>
      </w:r>
      <w:r w:rsidRPr="00D34911">
        <w:t xml:space="preserve">. </w:t>
      </w:r>
      <w:bookmarkStart w:id="449" w:name="_Hlk100656442"/>
      <w:r w:rsidRPr="00D34911">
        <w:t xml:space="preserve">URL: </w:t>
      </w:r>
      <w:hyperlink r:id="rId144" w:history="1">
        <w:r w:rsidR="004B6C14" w:rsidRPr="004B6C14">
          <w:rPr>
            <w:rStyle w:val="Hyperlink"/>
          </w:rPr>
          <w:t>www.health.govt.nz/about-ministry/what-we-do/work-programme-2019-20/achieving-equity</w:t>
        </w:r>
      </w:hyperlink>
      <w:r w:rsidRPr="00D34911">
        <w:t xml:space="preserve"> (accessed 4 April 2022).</w:t>
      </w:r>
      <w:bookmarkEnd w:id="449"/>
    </w:p>
    <w:p w14:paraId="7A6A0A86" w14:textId="77777777" w:rsidR="00C338E8" w:rsidRDefault="007228FF" w:rsidP="00A6678E">
      <w:pPr>
        <w:pStyle w:val="References"/>
      </w:pPr>
      <w:r w:rsidRPr="00D34911">
        <w:t xml:space="preserve">Ministry of Health. 2019b. </w:t>
      </w:r>
      <w:r w:rsidRPr="00D34911">
        <w:rPr>
          <w:i/>
        </w:rPr>
        <w:t>New Zealand Cancer Action Plan 2019–2029 – Te Mahere mō te Mate Pukupuku o Aotearoa 2019–2029</w:t>
      </w:r>
      <w:r w:rsidRPr="00D34911">
        <w:t>. Wellington: Ministry of Health.</w:t>
      </w:r>
    </w:p>
    <w:p w14:paraId="5122ADF7" w14:textId="77777777" w:rsidR="00C338E8" w:rsidRDefault="007228FF" w:rsidP="00A6678E">
      <w:pPr>
        <w:pStyle w:val="References"/>
      </w:pPr>
      <w:r w:rsidRPr="00D34911">
        <w:t xml:space="preserve">Ministry of Health. 2020. </w:t>
      </w:r>
      <w:r w:rsidRPr="00D34911">
        <w:rPr>
          <w:i/>
        </w:rPr>
        <w:t>Longer, Healthier Lives: New Zealand</w:t>
      </w:r>
      <w:r w:rsidR="00D34911" w:rsidRPr="00D34911">
        <w:rPr>
          <w:i/>
        </w:rPr>
        <w:t>’</w:t>
      </w:r>
      <w:r w:rsidRPr="00D34911">
        <w:rPr>
          <w:i/>
        </w:rPr>
        <w:t>s Health 1990–2017.</w:t>
      </w:r>
      <w:r w:rsidRPr="00D34911">
        <w:t xml:space="preserve"> Wellington: Ministry of Health. URL: </w:t>
      </w:r>
      <w:hyperlink r:id="rId145" w:history="1">
        <w:r w:rsidR="004B6C14" w:rsidRPr="004B6C14">
          <w:rPr>
            <w:rStyle w:val="Hyperlink"/>
          </w:rPr>
          <w:t>www.health.govt.nz/system/files/documents/publications/longer-healthier-lives-new-zealands-health-1990-2017.pdf</w:t>
        </w:r>
      </w:hyperlink>
      <w:r w:rsidRPr="00D34911">
        <w:t xml:space="preserve"> (accessed 4 April 2022).</w:t>
      </w:r>
    </w:p>
    <w:p w14:paraId="3A78BD2A" w14:textId="77777777" w:rsidR="00C338E8" w:rsidRPr="004B6C14" w:rsidRDefault="007228FF" w:rsidP="00A6678E">
      <w:pPr>
        <w:pStyle w:val="References"/>
      </w:pPr>
      <w:r w:rsidRPr="00D34911">
        <w:rPr>
          <w:color w:val="242424"/>
          <w:shd w:val="clear" w:color="auto" w:fill="FFFFFF"/>
          <w:lang w:eastAsia="en-NZ"/>
        </w:rPr>
        <w:t xml:space="preserve">Ministry of Health. 2021. </w:t>
      </w:r>
      <w:r w:rsidRPr="00D34911">
        <w:rPr>
          <w:i/>
          <w:color w:val="242424"/>
          <w:shd w:val="clear" w:color="auto" w:fill="FFFFFF"/>
          <w:lang w:eastAsia="en-NZ"/>
        </w:rPr>
        <w:t xml:space="preserve">Budget 2021: Vote Health. </w:t>
      </w:r>
      <w:r w:rsidRPr="00D34911">
        <w:t xml:space="preserve">URL: </w:t>
      </w:r>
      <w:bookmarkStart w:id="450" w:name="_Hlk100695374"/>
      <w:r w:rsidR="004B6C14">
        <w:fldChar w:fldCharType="begin"/>
      </w:r>
      <w:r w:rsidR="004B6C14">
        <w:instrText xml:space="preserve"> HYPERLINK "http://www.health.govt.nz/about-ministry/what-we-do/budget-2021-vote-healthwork-programme-2019-20/achieving-equity" </w:instrText>
      </w:r>
      <w:r w:rsidR="004B6C14">
        <w:fldChar w:fldCharType="separate"/>
      </w:r>
      <w:r w:rsidR="004B6C14" w:rsidRPr="004B6C14">
        <w:rPr>
          <w:rStyle w:val="Hyperlink"/>
        </w:rPr>
        <w:t>www.health.govt.nz/about-ministry/what-we-do/budget-2021-vote-healthwork-programme-2019-20/achieving-equity</w:t>
      </w:r>
      <w:r w:rsidR="004B6C14">
        <w:fldChar w:fldCharType="end"/>
      </w:r>
      <w:r w:rsidRPr="00D34911">
        <w:t xml:space="preserve"> </w:t>
      </w:r>
      <w:bookmarkEnd w:id="450"/>
      <w:r w:rsidRPr="00D34911">
        <w:t>(accessed 4 April 2022).</w:t>
      </w:r>
    </w:p>
    <w:p w14:paraId="44FDC555" w14:textId="77777777" w:rsidR="00C338E8" w:rsidRDefault="007228FF" w:rsidP="00A6678E">
      <w:pPr>
        <w:pStyle w:val="References"/>
      </w:pPr>
      <w:r w:rsidRPr="00D34911">
        <w:t xml:space="preserve">Molto C, Hwang TJ, Borrell M, </w:t>
      </w:r>
      <w:r w:rsidR="0065478D">
        <w:t xml:space="preserve">et al. </w:t>
      </w:r>
      <w:r w:rsidR="003B51F4">
        <w:t>2</w:t>
      </w:r>
      <w:r w:rsidRPr="00D34911">
        <w:t xml:space="preserve">020. Clinical benefit and cost of breakthrough cancer drugs approved by the US Food and Drug Administration. </w:t>
      </w:r>
      <w:r w:rsidRPr="00D34911">
        <w:rPr>
          <w:i/>
        </w:rPr>
        <w:t>Cancer</w:t>
      </w:r>
      <w:r w:rsidRPr="004B6C14">
        <w:t xml:space="preserve"> 126(</w:t>
      </w:r>
      <w:r w:rsidRPr="00D34911">
        <w:t>19)</w:t>
      </w:r>
      <w:r w:rsidR="004B6C14">
        <w:t>:</w:t>
      </w:r>
      <w:r w:rsidRPr="00D34911">
        <w:t xml:space="preserve"> 4,390–99. DOI: 10.1002/cncr.33095 (accessed 4 April 2022).</w:t>
      </w:r>
    </w:p>
    <w:p w14:paraId="568815E2" w14:textId="77777777" w:rsidR="00C338E8" w:rsidRDefault="007228FF" w:rsidP="00A6678E">
      <w:pPr>
        <w:pStyle w:val="References"/>
      </w:pPr>
      <w:r w:rsidRPr="00D34911">
        <w:t xml:space="preserve">National Cancer Institute. 2020. </w:t>
      </w:r>
      <w:r w:rsidRPr="004B6C14">
        <w:rPr>
          <w:i/>
        </w:rPr>
        <w:t>Clear Cell Renal Cell Carcinoma</w:t>
      </w:r>
      <w:r w:rsidRPr="00D34911">
        <w:t xml:space="preserve">. URL: </w:t>
      </w:r>
      <w:hyperlink r:id="rId146" w:history="1">
        <w:r w:rsidR="004B6C14" w:rsidRPr="004B6C14">
          <w:rPr>
            <w:rStyle w:val="Hyperlink"/>
          </w:rPr>
          <w:t>https://www.cancer.gov/pediatric-adult-rare-tumor/rare-tumors/rare-kidney-tumors/clear-cell-renal-cell-carcinoma</w:t>
        </w:r>
      </w:hyperlink>
      <w:r w:rsidRPr="00D34911">
        <w:t xml:space="preserve"> (accessed 12 April 2022).</w:t>
      </w:r>
    </w:p>
    <w:p w14:paraId="3DBC6E4C" w14:textId="77777777" w:rsidR="00C338E8" w:rsidRDefault="007228FF" w:rsidP="00A6678E">
      <w:pPr>
        <w:pStyle w:val="References"/>
      </w:pPr>
      <w:r w:rsidRPr="00D34911">
        <w:t xml:space="preserve">Neugut AI, Prigerson HG. 2017. Curative, life-extending, and palliative chemotherapy: New outcomes need new names. </w:t>
      </w:r>
      <w:r w:rsidRPr="00D34911">
        <w:rPr>
          <w:i/>
        </w:rPr>
        <w:t>Oncologist</w:t>
      </w:r>
      <w:r w:rsidRPr="004B6C14">
        <w:t xml:space="preserve"> 22(</w:t>
      </w:r>
      <w:r w:rsidRPr="00D34911">
        <w:t>8)</w:t>
      </w:r>
      <w:r w:rsidR="004B6C14">
        <w:t>:</w:t>
      </w:r>
      <w:r w:rsidRPr="00D34911">
        <w:t xml:space="preserve"> 883–85. DOI: 10.1634/theoncologist.2017-0041 (accessed 4 April 2022).</w:t>
      </w:r>
    </w:p>
    <w:p w14:paraId="00E0225E" w14:textId="77777777" w:rsidR="00C338E8" w:rsidRDefault="007228FF" w:rsidP="00A6678E">
      <w:pPr>
        <w:pStyle w:val="References"/>
      </w:pPr>
      <w:r w:rsidRPr="00D34911">
        <w:t xml:space="preserve">New Zealand Government. 2021. </w:t>
      </w:r>
      <w:r w:rsidR="004B6C14">
        <w:rPr>
          <w:i/>
        </w:rPr>
        <w:t>Prescription S</w:t>
      </w:r>
      <w:r w:rsidRPr="00D34911">
        <w:rPr>
          <w:i/>
        </w:rPr>
        <w:t xml:space="preserve">ubsidy </w:t>
      </w:r>
      <w:r w:rsidR="004B6C14">
        <w:rPr>
          <w:i/>
        </w:rPr>
        <w:t>S</w:t>
      </w:r>
      <w:r w:rsidRPr="00D34911">
        <w:rPr>
          <w:i/>
        </w:rPr>
        <w:t>cheme</w:t>
      </w:r>
      <w:r w:rsidRPr="00D34911">
        <w:t xml:space="preserve">. URL: </w:t>
      </w:r>
      <w:hyperlink r:id="rId147" w:history="1">
        <w:r w:rsidR="004B6C14" w:rsidRPr="004B6C14">
          <w:rPr>
            <w:rStyle w:val="Hyperlink"/>
          </w:rPr>
          <w:t>https://www.govt.nz/browse/health/gps-and-prescriptions/prescription-subsidy-scheme/</w:t>
        </w:r>
      </w:hyperlink>
      <w:r w:rsidRPr="00D34911">
        <w:t xml:space="preserve"> (accessed 4 April 2022).</w:t>
      </w:r>
    </w:p>
    <w:p w14:paraId="319331F0" w14:textId="77777777" w:rsidR="00C338E8" w:rsidRDefault="007228FF" w:rsidP="00A6678E">
      <w:pPr>
        <w:pStyle w:val="References"/>
      </w:pPr>
      <w:r w:rsidRPr="00D34911">
        <w:t xml:space="preserve">New Zealand Parliamentary Counsel Office. nd. </w:t>
      </w:r>
      <w:r w:rsidRPr="00D34911">
        <w:rPr>
          <w:i/>
        </w:rPr>
        <w:t xml:space="preserve">New Zealand Public Health and Disability Act 2000: section 47: Objectives of Pharmac </w:t>
      </w:r>
      <w:r w:rsidRPr="00D34911">
        <w:t xml:space="preserve">URL: </w:t>
      </w:r>
      <w:hyperlink r:id="rId148" w:history="1">
        <w:r w:rsidR="004B6C14" w:rsidRPr="004B6C14">
          <w:rPr>
            <w:rStyle w:val="Hyperlink"/>
          </w:rPr>
          <w:t>https://www.legislation.govt.nz/act/public/2000/0091/latest/DLM80878.html</w:t>
        </w:r>
      </w:hyperlink>
      <w:r w:rsidRPr="00D34911">
        <w:t xml:space="preserve"> (accessed 4</w:t>
      </w:r>
      <w:r w:rsidR="004B6C14">
        <w:t> </w:t>
      </w:r>
      <w:r w:rsidRPr="00D34911">
        <w:t>April 2022).</w:t>
      </w:r>
    </w:p>
    <w:p w14:paraId="76EF8A18" w14:textId="77777777" w:rsidR="00C338E8" w:rsidRDefault="007228FF" w:rsidP="00A6678E">
      <w:pPr>
        <w:pStyle w:val="References"/>
      </w:pPr>
      <w:r w:rsidRPr="00D34911">
        <w:t xml:space="preserve">Norris P, Tordoff J, McIntosh B, </w:t>
      </w:r>
      <w:r w:rsidR="0065478D">
        <w:t xml:space="preserve">et al. </w:t>
      </w:r>
      <w:r w:rsidR="003B51F4">
        <w:t>2</w:t>
      </w:r>
      <w:r w:rsidRPr="00D34911">
        <w:t xml:space="preserve">016. Impact of prescription charges on people living in poverty: A qualitative study. </w:t>
      </w:r>
      <w:r w:rsidRPr="00D34911">
        <w:rPr>
          <w:i/>
        </w:rPr>
        <w:t>Research in Social and Administrative Pharmacy</w:t>
      </w:r>
      <w:r w:rsidRPr="004B6C14">
        <w:t xml:space="preserve"> 12(</w:t>
      </w:r>
      <w:r w:rsidRPr="00D34911">
        <w:t>6)</w:t>
      </w:r>
      <w:r w:rsidR="004B6C14">
        <w:t>:</w:t>
      </w:r>
      <w:r w:rsidRPr="00D34911">
        <w:t xml:space="preserve"> 893–902. DOI: 10.1016/j.sapharm.2015.11.001 (accessed 4 April 2022).</w:t>
      </w:r>
    </w:p>
    <w:p w14:paraId="5E91B21E" w14:textId="77777777" w:rsidR="00C338E8" w:rsidRDefault="007228FF" w:rsidP="00EC5466">
      <w:pPr>
        <w:pStyle w:val="References"/>
        <w:keepNext/>
        <w:keepLines/>
      </w:pPr>
      <w:r w:rsidRPr="00D34911">
        <w:lastRenderedPageBreak/>
        <w:t>O</w:t>
      </w:r>
      <w:r w:rsidR="00D34911" w:rsidRPr="00D34911">
        <w:t>’</w:t>
      </w:r>
      <w:r w:rsidRPr="00D34911">
        <w:t xml:space="preserve">Donnell PH, Dolan ME. 2009. Cancer pharmacoethnicity: ethnic differences in susceptibility to the effects of chemotherapy. </w:t>
      </w:r>
      <w:r w:rsidRPr="00D34911">
        <w:rPr>
          <w:i/>
        </w:rPr>
        <w:t xml:space="preserve">Clinical </w:t>
      </w:r>
      <w:r w:rsidR="004B6C14">
        <w:rPr>
          <w:i/>
        </w:rPr>
        <w:t>C</w:t>
      </w:r>
      <w:r w:rsidRPr="00D34911">
        <w:rPr>
          <w:i/>
        </w:rPr>
        <w:t xml:space="preserve">ancer </w:t>
      </w:r>
      <w:proofErr w:type="gramStart"/>
      <w:r w:rsidR="004B6C14">
        <w:rPr>
          <w:i/>
        </w:rPr>
        <w:t>R</w:t>
      </w:r>
      <w:r w:rsidRPr="00D34911">
        <w:rPr>
          <w:i/>
        </w:rPr>
        <w:t>esearch :</w:t>
      </w:r>
      <w:proofErr w:type="gramEnd"/>
      <w:r w:rsidRPr="00D34911">
        <w:rPr>
          <w:i/>
        </w:rPr>
        <w:t xml:space="preserve"> </w:t>
      </w:r>
      <w:r w:rsidR="004B6C14">
        <w:rPr>
          <w:i/>
        </w:rPr>
        <w:t>A</w:t>
      </w:r>
      <w:r w:rsidRPr="00D34911">
        <w:rPr>
          <w:i/>
        </w:rPr>
        <w:t xml:space="preserve">n </w:t>
      </w:r>
      <w:r w:rsidR="004B6C14">
        <w:rPr>
          <w:i/>
        </w:rPr>
        <w:t>O</w:t>
      </w:r>
      <w:r w:rsidRPr="00D34911">
        <w:rPr>
          <w:i/>
        </w:rPr>
        <w:t xml:space="preserve">fficial </w:t>
      </w:r>
      <w:r w:rsidR="004B6C14">
        <w:rPr>
          <w:i/>
        </w:rPr>
        <w:t>J</w:t>
      </w:r>
      <w:r w:rsidRPr="00D34911">
        <w:rPr>
          <w:i/>
        </w:rPr>
        <w:t>ournal of the American Association for Cancer Research</w:t>
      </w:r>
      <w:r w:rsidRPr="004B6C14">
        <w:t xml:space="preserve"> 15</w:t>
      </w:r>
      <w:r w:rsidRPr="00D34911">
        <w:t>(15)</w:t>
      </w:r>
      <w:r w:rsidR="004B6C14">
        <w:t>:</w:t>
      </w:r>
      <w:r w:rsidRPr="00D34911">
        <w:t xml:space="preserve"> 4,806–14. DOI: </w:t>
      </w:r>
      <w:hyperlink r:id="rId149" w:history="1">
        <w:r w:rsidR="004B6C14" w:rsidRPr="004B6C14">
          <w:rPr>
            <w:rStyle w:val="Hyperlink"/>
          </w:rPr>
          <w:t>https://doi.org/10.1158/1078-0432.Ccr-09-0344</w:t>
        </w:r>
      </w:hyperlink>
      <w:r w:rsidRPr="00D34911">
        <w:t xml:space="preserve"> (accessed 4 April 2022).</w:t>
      </w:r>
    </w:p>
    <w:p w14:paraId="166B00A4" w14:textId="77777777" w:rsidR="00C338E8" w:rsidRDefault="007228FF" w:rsidP="00A6678E">
      <w:pPr>
        <w:pStyle w:val="References"/>
      </w:pPr>
      <w:r w:rsidRPr="00D34911">
        <w:t xml:space="preserve">Pharmac. 2020a. </w:t>
      </w:r>
      <w:r w:rsidRPr="00D34911">
        <w:rPr>
          <w:i/>
        </w:rPr>
        <w:t xml:space="preserve">Cancer Medicine Funding: Parallel </w:t>
      </w:r>
      <w:r w:rsidR="004B6C14">
        <w:rPr>
          <w:i/>
        </w:rPr>
        <w:t>A</w:t>
      </w:r>
      <w:r w:rsidRPr="00D34911">
        <w:rPr>
          <w:i/>
        </w:rPr>
        <w:t>ssessment</w:t>
      </w:r>
      <w:r w:rsidRPr="00D34911">
        <w:t xml:space="preserve">. URL: </w:t>
      </w:r>
      <w:hyperlink r:id="rId150" w:history="1">
        <w:r w:rsidR="004B6C14" w:rsidRPr="004B6C14">
          <w:rPr>
            <w:rStyle w:val="Hyperlink"/>
          </w:rPr>
          <w:t>https://pharmac.govt.nz/medicine-funding-and-supply/the-funding-process/from-application-to-funded-medicine-how-we-fund-a-medicine/cancer-medicine-funding-parallel-assessment/</w:t>
        </w:r>
      </w:hyperlink>
      <w:r w:rsidRPr="00D34911">
        <w:t xml:space="preserve"> (accessed 26</w:t>
      </w:r>
      <w:r w:rsidR="004B6C14">
        <w:t> </w:t>
      </w:r>
      <w:r w:rsidRPr="00D34911">
        <w:t>November 2021).</w:t>
      </w:r>
    </w:p>
    <w:p w14:paraId="220461F5" w14:textId="77777777" w:rsidR="00C338E8" w:rsidRDefault="007228FF" w:rsidP="00A6678E">
      <w:pPr>
        <w:pStyle w:val="References"/>
      </w:pPr>
      <w:r w:rsidRPr="00D34911">
        <w:t xml:space="preserve">Pharmac. 2020b. </w:t>
      </w:r>
      <w:r w:rsidRPr="00D34911">
        <w:rPr>
          <w:i/>
        </w:rPr>
        <w:t>Factors for Consideration</w:t>
      </w:r>
      <w:r w:rsidRPr="00D34911">
        <w:t xml:space="preserve">. URL: </w:t>
      </w:r>
      <w:hyperlink r:id="rId151" w:history="1">
        <w:r w:rsidR="004B6C14" w:rsidRPr="004B6C14">
          <w:rPr>
            <w:rStyle w:val="Hyperlink"/>
          </w:rPr>
          <w:t>https://pharmac.govt.nz/medicine-funding-and-supply/the-funding-process/policies-manuals-and-processes/factors-for-consideration/</w:t>
        </w:r>
      </w:hyperlink>
      <w:r w:rsidRPr="00D34911">
        <w:t xml:space="preserve"> (accessed 26 November 2021).</w:t>
      </w:r>
    </w:p>
    <w:p w14:paraId="1D2EA755" w14:textId="77777777" w:rsidR="00C338E8" w:rsidRDefault="007228FF" w:rsidP="00A6678E">
      <w:pPr>
        <w:pStyle w:val="References"/>
      </w:pPr>
      <w:r w:rsidRPr="00D34911">
        <w:t xml:space="preserve">Pharmac. 2021a. </w:t>
      </w:r>
      <w:r w:rsidRPr="00D34911">
        <w:rPr>
          <w:i/>
        </w:rPr>
        <w:t xml:space="preserve">Pharmac </w:t>
      </w:r>
      <w:r w:rsidR="004B6C14">
        <w:rPr>
          <w:i/>
        </w:rPr>
        <w:t>C</w:t>
      </w:r>
      <w:r w:rsidRPr="00D34911">
        <w:rPr>
          <w:i/>
        </w:rPr>
        <w:t xml:space="preserve">ommits to </w:t>
      </w:r>
      <w:r w:rsidR="004B6C14">
        <w:rPr>
          <w:i/>
        </w:rPr>
        <w:t>B</w:t>
      </w:r>
      <w:r w:rsidRPr="00D34911">
        <w:rPr>
          <w:i/>
        </w:rPr>
        <w:t xml:space="preserve">eing </w:t>
      </w:r>
      <w:r w:rsidR="004B6C14">
        <w:rPr>
          <w:i/>
        </w:rPr>
        <w:t>M</w:t>
      </w:r>
      <w:r w:rsidRPr="00D34911">
        <w:rPr>
          <w:i/>
        </w:rPr>
        <w:t xml:space="preserve">ore </w:t>
      </w:r>
      <w:r w:rsidR="004B6C14">
        <w:rPr>
          <w:i/>
        </w:rPr>
        <w:t>T</w:t>
      </w:r>
      <w:r w:rsidRPr="00D34911">
        <w:rPr>
          <w:i/>
        </w:rPr>
        <w:t>ransparent</w:t>
      </w:r>
      <w:r w:rsidRPr="00D34911">
        <w:t xml:space="preserve">. URL: </w:t>
      </w:r>
      <w:hyperlink r:id="rId152" w:history="1">
        <w:r w:rsidR="004B6C14" w:rsidRPr="004B6C14">
          <w:rPr>
            <w:rStyle w:val="Hyperlink"/>
          </w:rPr>
          <w:t>https://pharmac.govt.nz/news-and-resources/news/2021-07-28-media-release-pharmac-commits-to-being-more-transparent</w:t>
        </w:r>
      </w:hyperlink>
      <w:r w:rsidRPr="00D34911">
        <w:t xml:space="preserve"> (accessed 22 March 2022).</w:t>
      </w:r>
    </w:p>
    <w:p w14:paraId="21D62B9E" w14:textId="77777777" w:rsidR="00C338E8" w:rsidRDefault="007228FF" w:rsidP="00A6678E">
      <w:pPr>
        <w:pStyle w:val="References"/>
      </w:pPr>
      <w:r w:rsidRPr="00D34911">
        <w:t xml:space="preserve">Pharmac. 2021b. </w:t>
      </w:r>
      <w:r w:rsidRPr="00D34911">
        <w:rPr>
          <w:i/>
        </w:rPr>
        <w:t xml:space="preserve">Priority </w:t>
      </w:r>
      <w:r w:rsidR="004B6C14">
        <w:rPr>
          <w:i/>
        </w:rPr>
        <w:t>L</w:t>
      </w:r>
      <w:r w:rsidRPr="00D34911">
        <w:rPr>
          <w:i/>
        </w:rPr>
        <w:t xml:space="preserve">ists for </w:t>
      </w:r>
      <w:r w:rsidR="004B6C14">
        <w:rPr>
          <w:i/>
        </w:rPr>
        <w:t>F</w:t>
      </w:r>
      <w:r w:rsidRPr="00D34911">
        <w:rPr>
          <w:i/>
        </w:rPr>
        <w:t xml:space="preserve">unding </w:t>
      </w:r>
      <w:r w:rsidR="004B6C14">
        <w:rPr>
          <w:i/>
        </w:rPr>
        <w:t>A</w:t>
      </w:r>
      <w:r w:rsidRPr="00D34911">
        <w:rPr>
          <w:i/>
        </w:rPr>
        <w:t>pplications</w:t>
      </w:r>
      <w:r w:rsidRPr="00D34911">
        <w:t xml:space="preserve">. URL: </w:t>
      </w:r>
      <w:hyperlink r:id="rId153" w:history="1">
        <w:r w:rsidR="004B6C14" w:rsidRPr="004B6C14">
          <w:rPr>
            <w:rStyle w:val="Hyperlink"/>
          </w:rPr>
          <w:t>https://pharmac.govt.nz/medicine-funding-and-supply/the-funding-process/priority-lists/</w:t>
        </w:r>
      </w:hyperlink>
      <w:r w:rsidRPr="00D34911">
        <w:t xml:space="preserve"> (accessed 25 February 2022).</w:t>
      </w:r>
    </w:p>
    <w:p w14:paraId="305407AB" w14:textId="77777777" w:rsidR="00C338E8" w:rsidRPr="004B6C14" w:rsidRDefault="007228FF" w:rsidP="00A6678E">
      <w:pPr>
        <w:pStyle w:val="References"/>
      </w:pPr>
      <w:r w:rsidRPr="00D34911">
        <w:t xml:space="preserve">Pharmac. 2021c. </w:t>
      </w:r>
      <w:r w:rsidR="004B6C14">
        <w:rPr>
          <w:i/>
        </w:rPr>
        <w:t>Proposal to F</w:t>
      </w:r>
      <w:r w:rsidRPr="00D34911">
        <w:rPr>
          <w:i/>
        </w:rPr>
        <w:t xml:space="preserve">und </w:t>
      </w:r>
      <w:r w:rsidR="004B6C14">
        <w:rPr>
          <w:i/>
        </w:rPr>
        <w:t>T</w:t>
      </w:r>
      <w:r w:rsidRPr="00D34911">
        <w:rPr>
          <w:i/>
        </w:rPr>
        <w:t xml:space="preserve">reatments for </w:t>
      </w:r>
      <w:r w:rsidR="004B6C14">
        <w:rPr>
          <w:i/>
        </w:rPr>
        <w:t>C</w:t>
      </w:r>
      <w:r w:rsidRPr="00D34911">
        <w:rPr>
          <w:i/>
        </w:rPr>
        <w:t xml:space="preserve">ancer and </w:t>
      </w:r>
      <w:r w:rsidR="004B6C14">
        <w:rPr>
          <w:i/>
        </w:rPr>
        <w:t>A</w:t>
      </w:r>
      <w:r w:rsidRPr="00D34911">
        <w:rPr>
          <w:i/>
        </w:rPr>
        <w:t>sthma</w:t>
      </w:r>
      <w:r w:rsidRPr="00D34911">
        <w:t xml:space="preserve">. URL: </w:t>
      </w:r>
      <w:hyperlink r:id="rId154" w:history="1">
        <w:r w:rsidR="004B6C14" w:rsidRPr="004B6C14">
          <w:rPr>
            <w:rStyle w:val="Hyperlink"/>
          </w:rPr>
          <w:t>https://pharmac.govt.nz/medicine-funding-and-supply/the-funding-process/priority-lists/</w:t>
        </w:r>
      </w:hyperlink>
      <w:r w:rsidRPr="004B6C14">
        <w:rPr>
          <w:rFonts w:eastAsia="MS Gothic"/>
        </w:rPr>
        <w:t xml:space="preserve"> (accessed 11 April 2022).</w:t>
      </w:r>
    </w:p>
    <w:p w14:paraId="22B6F899" w14:textId="77777777" w:rsidR="00C338E8" w:rsidRDefault="007228FF" w:rsidP="00A6678E">
      <w:pPr>
        <w:pStyle w:val="References"/>
      </w:pPr>
      <w:r w:rsidRPr="00D34911">
        <w:t xml:space="preserve">Pharmac. 2022a. </w:t>
      </w:r>
      <w:r w:rsidRPr="00D34911">
        <w:rPr>
          <w:i/>
        </w:rPr>
        <w:t>Combined Pharmaceutical Budget</w:t>
      </w:r>
      <w:r w:rsidRPr="00D34911">
        <w:t xml:space="preserve">. URL: </w:t>
      </w:r>
      <w:hyperlink r:id="rId155" w:history="1">
        <w:r w:rsidR="004B6C14" w:rsidRPr="004B6C14">
          <w:rPr>
            <w:rStyle w:val="Hyperlink"/>
          </w:rPr>
          <w:t>https://pharmac.govt.nz/medicine-funding-and-supply/the-funding-process/setting-and-managing-the-combined-pharmaceutical-budget-cpb/</w:t>
        </w:r>
      </w:hyperlink>
      <w:r w:rsidRPr="00D34911">
        <w:t xml:space="preserve"> (accessed 23 March 2022).</w:t>
      </w:r>
    </w:p>
    <w:p w14:paraId="606BD860" w14:textId="77777777" w:rsidR="00C338E8" w:rsidRDefault="007228FF" w:rsidP="00A6678E">
      <w:pPr>
        <w:pStyle w:val="References"/>
      </w:pPr>
      <w:r w:rsidRPr="00D34911">
        <w:t xml:space="preserve">Pharmac. 2022b. </w:t>
      </w:r>
      <w:r w:rsidRPr="00D34911">
        <w:rPr>
          <w:i/>
        </w:rPr>
        <w:t xml:space="preserve">Decision to </w:t>
      </w:r>
      <w:r w:rsidR="004B6C14">
        <w:rPr>
          <w:i/>
        </w:rPr>
        <w:t>F</w:t>
      </w:r>
      <w:r w:rsidRPr="00D34911">
        <w:rPr>
          <w:i/>
        </w:rPr>
        <w:t xml:space="preserve">und </w:t>
      </w:r>
      <w:r w:rsidR="004B6C14">
        <w:rPr>
          <w:i/>
        </w:rPr>
        <w:t>T</w:t>
      </w:r>
      <w:r w:rsidRPr="00D34911">
        <w:rPr>
          <w:i/>
        </w:rPr>
        <w:t xml:space="preserve">reatments for </w:t>
      </w:r>
      <w:r w:rsidR="004B6C14">
        <w:rPr>
          <w:i/>
        </w:rPr>
        <w:t>C</w:t>
      </w:r>
      <w:r w:rsidRPr="00D34911">
        <w:rPr>
          <w:i/>
        </w:rPr>
        <w:t xml:space="preserve">ancer and </w:t>
      </w:r>
      <w:r w:rsidR="004B6C14">
        <w:rPr>
          <w:i/>
        </w:rPr>
        <w:t>A</w:t>
      </w:r>
      <w:r w:rsidRPr="00D34911">
        <w:rPr>
          <w:i/>
        </w:rPr>
        <w:t>sthma</w:t>
      </w:r>
      <w:r w:rsidRPr="00D34911">
        <w:t xml:space="preserve">. URL: </w:t>
      </w:r>
      <w:hyperlink r:id="rId156" w:history="1">
        <w:r w:rsidR="004B6C14" w:rsidRPr="004B6C14">
          <w:rPr>
            <w:rStyle w:val="Hyperlink"/>
          </w:rPr>
          <w:t>https://pharmac.govt.nz/news-and-resources/consultations-and-decisions/2022-03-16-decision-to-fund-treatments-for-cancer-and-asthma/</w:t>
        </w:r>
      </w:hyperlink>
      <w:r w:rsidRPr="00D34911">
        <w:t xml:space="preserve"> (accessed 23 March 2022).</w:t>
      </w:r>
    </w:p>
    <w:p w14:paraId="2458D011" w14:textId="77777777" w:rsidR="00C338E8" w:rsidRDefault="007228FF" w:rsidP="00A6678E">
      <w:pPr>
        <w:pStyle w:val="References"/>
      </w:pPr>
      <w:r w:rsidRPr="00D34911">
        <w:t xml:space="preserve">Pharmac. 2022c. </w:t>
      </w:r>
      <w:r w:rsidRPr="00D34911">
        <w:rPr>
          <w:i/>
        </w:rPr>
        <w:t xml:space="preserve">How Pharmac </w:t>
      </w:r>
      <w:r w:rsidR="004B6C14">
        <w:rPr>
          <w:i/>
        </w:rPr>
        <w:t>W</w:t>
      </w:r>
      <w:r w:rsidRPr="00D34911">
        <w:rPr>
          <w:i/>
        </w:rPr>
        <w:t>orks</w:t>
      </w:r>
      <w:r w:rsidRPr="00D34911">
        <w:t xml:space="preserve">. URL: </w:t>
      </w:r>
      <w:hyperlink r:id="rId157" w:history="1">
        <w:r w:rsidR="004B6C14" w:rsidRPr="004B6C14">
          <w:rPr>
            <w:rStyle w:val="Hyperlink"/>
          </w:rPr>
          <w:t>https://pharmac.govt.nz/about/what-we-do/how-pharmac-works/</w:t>
        </w:r>
      </w:hyperlink>
      <w:r w:rsidRPr="00D34911">
        <w:t xml:space="preserve"> (accessed 22 March 2022).</w:t>
      </w:r>
    </w:p>
    <w:p w14:paraId="7E32D2F2" w14:textId="77777777" w:rsidR="00C338E8" w:rsidRDefault="007228FF" w:rsidP="00A6678E">
      <w:pPr>
        <w:pStyle w:val="References"/>
      </w:pPr>
      <w:r w:rsidRPr="00D34911">
        <w:t xml:space="preserve">Prasad V. 2017. Do cancer drugs improve survival or quality of life? </w:t>
      </w:r>
      <w:r w:rsidRPr="00D34911">
        <w:rPr>
          <w:i/>
        </w:rPr>
        <w:t>BMJ</w:t>
      </w:r>
      <w:r w:rsidRPr="004B6C14">
        <w:t xml:space="preserve"> 359</w:t>
      </w:r>
      <w:r w:rsidR="004B6C14">
        <w:t>:</w:t>
      </w:r>
      <w:r w:rsidRPr="004B6C14">
        <w:t xml:space="preserve"> </w:t>
      </w:r>
      <w:r w:rsidRPr="00D34911">
        <w:t>j4528. DOI: 10.1136/</w:t>
      </w:r>
      <w:proofErr w:type="gramStart"/>
      <w:r w:rsidRPr="00D34911">
        <w:t>bmj.j</w:t>
      </w:r>
      <w:proofErr w:type="gramEnd"/>
      <w:r w:rsidRPr="00D34911">
        <w:t>4528 (accessed 4 April 2022).</w:t>
      </w:r>
    </w:p>
    <w:p w14:paraId="7ED385A5" w14:textId="77777777" w:rsidR="00C338E8" w:rsidRDefault="007228FF" w:rsidP="00A6678E">
      <w:pPr>
        <w:pStyle w:val="References"/>
      </w:pPr>
      <w:r w:rsidRPr="00D34911">
        <w:t xml:space="preserve">Robson B, Purdie G, Cormack D. 2010. </w:t>
      </w:r>
      <w:r w:rsidRPr="00D34911">
        <w:rPr>
          <w:i/>
        </w:rPr>
        <w:t>Unequal Impact II: Māori and Non-Māori Cancer Statistics by Deprivation and Rural-Urban Status, 2002–2006</w:t>
      </w:r>
      <w:r w:rsidRPr="00D34911">
        <w:t xml:space="preserve">. Wellington: Ministry of Health. URL: </w:t>
      </w:r>
      <w:hyperlink r:id="rId158" w:history="1">
        <w:r w:rsidR="004B6C14" w:rsidRPr="003C3CE7">
          <w:rPr>
            <w:rStyle w:val="Hyperlink"/>
          </w:rPr>
          <w:t>https://www.health.govt.nz/system/files/documents/publications/unequal-impact-ii.pdf</w:t>
        </w:r>
      </w:hyperlink>
      <w:r w:rsidRPr="00D34911">
        <w:t xml:space="preserve"> (accessed 4 April 2022).</w:t>
      </w:r>
    </w:p>
    <w:p w14:paraId="13BB1556" w14:textId="77777777" w:rsidR="00C338E8" w:rsidRDefault="007228FF" w:rsidP="00A6678E">
      <w:pPr>
        <w:pStyle w:val="References"/>
      </w:pPr>
      <w:r w:rsidRPr="00D34911">
        <w:t xml:space="preserve">Rodwin MA. 2021. How the United Kingdom controls pharmaceutical prices and spending: Learning from its experience. </w:t>
      </w:r>
      <w:r w:rsidRPr="00D34911">
        <w:rPr>
          <w:i/>
        </w:rPr>
        <w:t>International Journal of Health Services</w:t>
      </w:r>
      <w:r w:rsidRPr="004B6C14">
        <w:t xml:space="preserve"> 51(</w:t>
      </w:r>
      <w:r w:rsidRPr="00D34911">
        <w:t>2)</w:t>
      </w:r>
      <w:r w:rsidR="004B6C14">
        <w:t>:</w:t>
      </w:r>
      <w:r w:rsidRPr="00D34911">
        <w:t xml:space="preserve"> 229–37. DOI: 10.1177/0020731421997094 (accessed 4 April 2022).</w:t>
      </w:r>
    </w:p>
    <w:p w14:paraId="0B2E4A9A" w14:textId="77777777" w:rsidR="00C338E8" w:rsidRDefault="007228FF" w:rsidP="00A6678E">
      <w:pPr>
        <w:pStyle w:val="References"/>
      </w:pPr>
      <w:r w:rsidRPr="00D34911">
        <w:t xml:space="preserve">Savage P, Mahmoud S, Patel Y, </w:t>
      </w:r>
      <w:r w:rsidR="0065478D">
        <w:t xml:space="preserve">et al. </w:t>
      </w:r>
      <w:r w:rsidR="003B51F4">
        <w:t>2</w:t>
      </w:r>
      <w:r w:rsidRPr="00D34911">
        <w:t xml:space="preserve">017. Cancer drugs: An international comparison of postlicensing price inflation. </w:t>
      </w:r>
      <w:r w:rsidRPr="00D34911">
        <w:rPr>
          <w:i/>
        </w:rPr>
        <w:t>Journal of Oncology Practice</w:t>
      </w:r>
      <w:r w:rsidRPr="004B6C14">
        <w:t xml:space="preserve"> 13(</w:t>
      </w:r>
      <w:r w:rsidRPr="00D34911">
        <w:t>6)</w:t>
      </w:r>
      <w:r w:rsidR="004B6C14">
        <w:t>:</w:t>
      </w:r>
      <w:r w:rsidRPr="00D34911">
        <w:t xml:space="preserve"> e538–42. DOI: 10.1200/JOP.2016.014431 (accessed 4 April 2022).</w:t>
      </w:r>
    </w:p>
    <w:p w14:paraId="09F0BEEE" w14:textId="77777777" w:rsidR="00C338E8" w:rsidRDefault="007228FF" w:rsidP="00EC5466">
      <w:pPr>
        <w:pStyle w:val="References"/>
        <w:keepNext/>
        <w:keepLines/>
      </w:pPr>
      <w:r w:rsidRPr="00D34911">
        <w:lastRenderedPageBreak/>
        <w:t xml:space="preserve">Schrag D. 2004. The price tag on progress — Chemotherapy for colorectal cancer. </w:t>
      </w:r>
      <w:r w:rsidRPr="00D34911">
        <w:rPr>
          <w:i/>
        </w:rPr>
        <w:t>New England Journal of Medicine</w:t>
      </w:r>
      <w:r w:rsidRPr="004B6C14">
        <w:t xml:space="preserve"> 351</w:t>
      </w:r>
      <w:r w:rsidRPr="00D34911">
        <w:t>(4)</w:t>
      </w:r>
      <w:r w:rsidR="004B6C14">
        <w:t>:</w:t>
      </w:r>
      <w:r w:rsidRPr="00D34911">
        <w:t xml:space="preserve"> 317–19. DOI: </w:t>
      </w:r>
      <w:hyperlink r:id="rId159" w:history="1">
        <w:r w:rsidR="004B6C14" w:rsidRPr="004B6C14">
          <w:rPr>
            <w:rStyle w:val="Hyperlink"/>
          </w:rPr>
          <w:t>https://doi.org/10.1056/NEJMp048143</w:t>
        </w:r>
      </w:hyperlink>
      <w:r w:rsidRPr="00D34911">
        <w:t xml:space="preserve"> (accessed 4 April 2022).</w:t>
      </w:r>
    </w:p>
    <w:p w14:paraId="73D960C9" w14:textId="77777777" w:rsidR="00C338E8" w:rsidRDefault="007228FF" w:rsidP="00A6678E">
      <w:pPr>
        <w:pStyle w:val="References"/>
      </w:pPr>
      <w:r w:rsidRPr="00D34911">
        <w:t xml:space="preserve">Seneviratne S, Campbell I, Scott N, </w:t>
      </w:r>
      <w:r w:rsidR="0065478D">
        <w:t xml:space="preserve">et al. </w:t>
      </w:r>
      <w:r w:rsidR="003B51F4">
        <w:t>2</w:t>
      </w:r>
      <w:r w:rsidRPr="00D34911">
        <w:t xml:space="preserve">014. Ethnic differences in timely adjuvant chemotherapy and radiation therapy for breast cancer in New Zealand: a cohort study. </w:t>
      </w:r>
      <w:r w:rsidRPr="00D34911">
        <w:rPr>
          <w:i/>
        </w:rPr>
        <w:t>BMC Cancer</w:t>
      </w:r>
      <w:r w:rsidRPr="004B6C14">
        <w:t xml:space="preserve"> 14</w:t>
      </w:r>
      <w:r w:rsidRPr="00D34911">
        <w:t>(1)</w:t>
      </w:r>
      <w:r w:rsidR="004B6C14">
        <w:t>:</w:t>
      </w:r>
      <w:r w:rsidRPr="00D34911">
        <w:t xml:space="preserve"> 839. DOI: 10.1186/1471-2407-14-839 (accessed 4 April 2022).</w:t>
      </w:r>
    </w:p>
    <w:p w14:paraId="7563054A" w14:textId="77777777" w:rsidR="00C338E8" w:rsidRDefault="007228FF" w:rsidP="00A6678E">
      <w:pPr>
        <w:pStyle w:val="References"/>
      </w:pPr>
      <w:r w:rsidRPr="00D34911">
        <w:t xml:space="preserve">Soeberg M, Blakely T, Sarfati D, </w:t>
      </w:r>
      <w:r w:rsidR="0065478D">
        <w:t xml:space="preserve">et al. </w:t>
      </w:r>
      <w:r w:rsidR="003B51F4">
        <w:t>2</w:t>
      </w:r>
      <w:r w:rsidRPr="00D34911">
        <w:t xml:space="preserve">012. </w:t>
      </w:r>
      <w:r w:rsidRPr="00D34911">
        <w:rPr>
          <w:i/>
        </w:rPr>
        <w:t xml:space="preserve">Cancer Trends: Trends in cancer survival by ethnic and socioeconomic group, New Zealand 1991–2004. </w:t>
      </w:r>
      <w:r w:rsidRPr="00D34911">
        <w:rPr>
          <w:iCs/>
        </w:rPr>
        <w:t xml:space="preserve">Wellington: University of Otago and Ministry of Health. URL: </w:t>
      </w:r>
      <w:hyperlink r:id="rId160" w:history="1">
        <w:r w:rsidR="004B6C14" w:rsidRPr="004B6C14">
          <w:rPr>
            <w:rStyle w:val="Hyperlink"/>
            <w:iCs/>
          </w:rPr>
          <w:t>www.health.govt.nz/system/files/documents/publications/cancer-trends-survival-ethnic-socioeconomic-1991-2004_1.pdf</w:t>
        </w:r>
      </w:hyperlink>
      <w:r w:rsidRPr="00D34911">
        <w:t xml:space="preserve"> (accessed 4 April 2022).</w:t>
      </w:r>
    </w:p>
    <w:p w14:paraId="72CED4E7" w14:textId="77777777" w:rsidR="00C338E8" w:rsidRDefault="007228FF" w:rsidP="00A6678E">
      <w:pPr>
        <w:pStyle w:val="References"/>
      </w:pPr>
      <w:r w:rsidRPr="00D34911">
        <w:t xml:space="preserve">Soria JC, Mauguen A, Reck M, </w:t>
      </w:r>
      <w:r w:rsidR="0065478D">
        <w:t xml:space="preserve">et al. </w:t>
      </w:r>
      <w:r w:rsidR="003B51F4">
        <w:t>2</w:t>
      </w:r>
      <w:r w:rsidRPr="00D34911">
        <w:t xml:space="preserve">013. Systematic review and meta-analysis of randomised, phase II/III trials adding bevacizumab to platinum-based chemotherapy as first-line treatment in patients with advanced non-small-cell lung cancer. </w:t>
      </w:r>
      <w:r w:rsidRPr="00D34911">
        <w:rPr>
          <w:i/>
        </w:rPr>
        <w:t>Ann Oncol</w:t>
      </w:r>
      <w:r w:rsidRPr="004B6C14">
        <w:t xml:space="preserve"> 24(</w:t>
      </w:r>
      <w:r w:rsidRPr="00D34911">
        <w:t>1)</w:t>
      </w:r>
      <w:r w:rsidR="004B6C14">
        <w:t>:</w:t>
      </w:r>
      <w:r w:rsidRPr="00D34911">
        <w:t xml:space="preserve"> 20–30. </w:t>
      </w:r>
      <w:hyperlink r:id="rId161" w:history="1">
        <w:r w:rsidR="004B6C14" w:rsidRPr="004B6C14">
          <w:rPr>
            <w:rStyle w:val="Hyperlink"/>
          </w:rPr>
          <w:t>https://doi.org/10.1093/annonc/mds590</w:t>
        </w:r>
      </w:hyperlink>
      <w:r w:rsidR="004B6C14">
        <w:t>.</w:t>
      </w:r>
    </w:p>
    <w:p w14:paraId="03CA86DA" w14:textId="77777777" w:rsidR="00C338E8" w:rsidRDefault="007228FF" w:rsidP="00A6678E">
      <w:pPr>
        <w:pStyle w:val="References"/>
      </w:pPr>
      <w:r w:rsidRPr="00D34911">
        <w:t xml:space="preserve">Stevens W, Stevens G, Kolbe J, </w:t>
      </w:r>
      <w:r w:rsidR="0065478D">
        <w:t xml:space="preserve">et al. </w:t>
      </w:r>
      <w:r w:rsidR="003B51F4">
        <w:t>2</w:t>
      </w:r>
      <w:r w:rsidRPr="00D34911">
        <w:t xml:space="preserve">007. Lung cancer in New Zealand: Patterns of secondary care and implications for survival. </w:t>
      </w:r>
      <w:r w:rsidRPr="00D34911">
        <w:rPr>
          <w:i/>
        </w:rPr>
        <w:t>Journal of Thoracic Oncology</w:t>
      </w:r>
      <w:r w:rsidRPr="004B6C14">
        <w:t xml:space="preserve"> 2</w:t>
      </w:r>
      <w:r w:rsidRPr="00D34911">
        <w:t>(6)</w:t>
      </w:r>
      <w:r w:rsidR="004B6C14">
        <w:t>:</w:t>
      </w:r>
      <w:r w:rsidRPr="00D34911">
        <w:t xml:space="preserve"> 481–93. DOI: 10.1097/JTO.0b013e31805fea3a (accessed 4 April 2022).</w:t>
      </w:r>
    </w:p>
    <w:p w14:paraId="0BA40016" w14:textId="77777777" w:rsidR="00C338E8" w:rsidRDefault="007228FF" w:rsidP="00A6678E">
      <w:pPr>
        <w:pStyle w:val="References"/>
      </w:pPr>
      <w:r w:rsidRPr="00D34911">
        <w:t xml:space="preserve">Tabernero J, Vyas M, Giuliani R, </w:t>
      </w:r>
      <w:r w:rsidR="0065478D">
        <w:t xml:space="preserve">et al. </w:t>
      </w:r>
      <w:r w:rsidR="003B51F4">
        <w:t>2</w:t>
      </w:r>
      <w:r w:rsidRPr="00D34911">
        <w:t xml:space="preserve">016. Biosimilars: A position paper of the European Society for Medical Oncology, with particular reference to oncology prescribers. </w:t>
      </w:r>
      <w:r w:rsidRPr="00D34911">
        <w:rPr>
          <w:i/>
        </w:rPr>
        <w:t>ESMO Open</w:t>
      </w:r>
      <w:r w:rsidRPr="004B6C14">
        <w:t xml:space="preserve"> 1</w:t>
      </w:r>
      <w:r w:rsidRPr="00D34911">
        <w:t>(6)</w:t>
      </w:r>
      <w:r w:rsidR="004B6C14">
        <w:t>:</w:t>
      </w:r>
      <w:r w:rsidRPr="00D34911">
        <w:t xml:space="preserve"> e000142. DOI: 10.1136/esmoopen-2016-000142 (accessed 4 April 2022).</w:t>
      </w:r>
    </w:p>
    <w:p w14:paraId="2DA409E2" w14:textId="77777777" w:rsidR="00C338E8" w:rsidRDefault="00F64599" w:rsidP="00A6678E">
      <w:pPr>
        <w:pStyle w:val="References"/>
      </w:pPr>
      <w:r>
        <w:t>Te Aho</w:t>
      </w:r>
      <w:r w:rsidR="007228FF" w:rsidRPr="00D34911">
        <w:t xml:space="preserve"> o </w:t>
      </w:r>
      <w:r w:rsidR="00B537E2">
        <w:t>Te Kahu</w:t>
      </w:r>
      <w:r w:rsidR="007228FF" w:rsidRPr="00D34911">
        <w:t xml:space="preserve">. 2021a. </w:t>
      </w:r>
      <w:r w:rsidR="007228FF" w:rsidRPr="00D34911">
        <w:rPr>
          <w:i/>
        </w:rPr>
        <w:t>He Pūrongo Mate Pukupuku o Aotearoa 2020, The State of Cancer in New Zealand 2020.</w:t>
      </w:r>
      <w:r w:rsidR="007228FF" w:rsidRPr="00D34911">
        <w:t xml:space="preserve"> Wellington: </w:t>
      </w:r>
      <w:r>
        <w:t>Te Aho</w:t>
      </w:r>
      <w:r w:rsidR="007228FF" w:rsidRPr="00D34911">
        <w:t xml:space="preserve"> o </w:t>
      </w:r>
      <w:r w:rsidR="00B537E2">
        <w:t>Te Kahu</w:t>
      </w:r>
      <w:r w:rsidR="007228FF" w:rsidRPr="00D34911">
        <w:t xml:space="preserve">. URL: </w:t>
      </w:r>
      <w:hyperlink r:id="rId162" w:history="1">
        <w:r w:rsidR="004B6C14" w:rsidRPr="004B6C14">
          <w:rPr>
            <w:rStyle w:val="Hyperlink"/>
          </w:rPr>
          <w:t>https://teaho.govt.nz/static/reports/state-of-cancer-in-new-zealand-2020%20(revised%20March%202021).pdf</w:t>
        </w:r>
      </w:hyperlink>
      <w:r w:rsidR="007228FF" w:rsidRPr="00D34911">
        <w:t xml:space="preserve"> (accessed 4 April 2022).</w:t>
      </w:r>
    </w:p>
    <w:p w14:paraId="091BFE4B" w14:textId="77777777" w:rsidR="00C338E8" w:rsidRDefault="00F64599" w:rsidP="00A6678E">
      <w:pPr>
        <w:pStyle w:val="References"/>
      </w:pPr>
      <w:r>
        <w:t>Te Aho</w:t>
      </w:r>
      <w:r w:rsidR="007228FF" w:rsidRPr="00D34911">
        <w:t xml:space="preserve"> o </w:t>
      </w:r>
      <w:r w:rsidR="00B537E2">
        <w:t>Te Kahu</w:t>
      </w:r>
      <w:r w:rsidR="007228FF" w:rsidRPr="00D34911">
        <w:t xml:space="preserve">. 2021b. </w:t>
      </w:r>
      <w:r w:rsidR="007228FF" w:rsidRPr="00D34911">
        <w:rPr>
          <w:i/>
        </w:rPr>
        <w:t>Lung Cancer Quality Performance Indicator Action Plan</w:t>
      </w:r>
      <w:r w:rsidR="007228FF" w:rsidRPr="00D34911">
        <w:t xml:space="preserve">. Wellington: </w:t>
      </w:r>
      <w:r>
        <w:t>Te Aho</w:t>
      </w:r>
      <w:r w:rsidR="007228FF" w:rsidRPr="00D34911">
        <w:t xml:space="preserve"> o </w:t>
      </w:r>
      <w:r w:rsidR="00B537E2">
        <w:t>Te Kahu</w:t>
      </w:r>
      <w:r w:rsidR="007228FF" w:rsidRPr="00D34911">
        <w:t xml:space="preserve">. URL: </w:t>
      </w:r>
      <w:hyperlink r:id="rId163" w:history="1">
        <w:r w:rsidR="004B6C14" w:rsidRPr="004B6C14">
          <w:rPr>
            <w:rStyle w:val="Hyperlink"/>
          </w:rPr>
          <w:t>https://hcmsitesstorage.blob.core.windows.net/cca/assets/Lung_QPI_Action_Plan_FINAL_94ee771158.pdf</w:t>
        </w:r>
      </w:hyperlink>
      <w:r w:rsidR="007228FF" w:rsidRPr="00D34911">
        <w:t xml:space="preserve"> (accessed 4 April 2022).</w:t>
      </w:r>
    </w:p>
    <w:p w14:paraId="11F738E6" w14:textId="77777777" w:rsidR="00C338E8" w:rsidRDefault="007228FF" w:rsidP="00A6678E">
      <w:pPr>
        <w:pStyle w:val="References"/>
      </w:pPr>
      <w:r w:rsidRPr="00D34911">
        <w:t xml:space="preserve">Tin Tin S, Elwood JM, Brown C, </w:t>
      </w:r>
      <w:r w:rsidR="0065478D">
        <w:t xml:space="preserve">et al. </w:t>
      </w:r>
      <w:r w:rsidR="003B51F4">
        <w:t>2</w:t>
      </w:r>
      <w:r w:rsidRPr="00D34911">
        <w:t xml:space="preserve">018. Ethnic disparities in breast cancer survival in New Zealand: which factors contribute? </w:t>
      </w:r>
      <w:r w:rsidRPr="00D34911">
        <w:rPr>
          <w:i/>
        </w:rPr>
        <w:t>BMC Cancer</w:t>
      </w:r>
      <w:r w:rsidRPr="004B6C14">
        <w:t xml:space="preserve"> 18(</w:t>
      </w:r>
      <w:r w:rsidRPr="00D34911">
        <w:t>1)</w:t>
      </w:r>
      <w:r w:rsidR="004B6C14">
        <w:t>:</w:t>
      </w:r>
      <w:r w:rsidRPr="00D34911">
        <w:t xml:space="preserve"> 58.</w:t>
      </w:r>
      <w:r w:rsidR="004B6C14">
        <w:br/>
      </w:r>
      <w:r w:rsidRPr="00D34911">
        <w:t>DOI: 10.1186/s12885-017-3797-0 (accessed 4 April 2022).</w:t>
      </w:r>
    </w:p>
    <w:p w14:paraId="544E8521" w14:textId="77777777" w:rsidR="00C338E8" w:rsidRDefault="007228FF" w:rsidP="00A6678E">
      <w:pPr>
        <w:pStyle w:val="References"/>
      </w:pPr>
      <w:r w:rsidRPr="00D34911">
        <w:t xml:space="preserve">Vivot A, Jacot J, Zeitoun JD, </w:t>
      </w:r>
      <w:r w:rsidR="0065478D">
        <w:t xml:space="preserve">et al. </w:t>
      </w:r>
      <w:r w:rsidR="003B51F4">
        <w:t>2</w:t>
      </w:r>
      <w:r w:rsidRPr="00D34911">
        <w:t>017. Clinical benefit, price and approval characteristics of FDA-approved new drugs for treating advanced solid cancer, 2000</w:t>
      </w:r>
      <w:r w:rsidR="004B6C14">
        <w:t>–</w:t>
      </w:r>
      <w:r w:rsidRPr="00D34911">
        <w:t>2013;</w:t>
      </w:r>
      <w:r w:rsidR="004B6C14">
        <w:t xml:space="preserve"> </w:t>
      </w:r>
      <w:r w:rsidRPr="00D34911">
        <w:t xml:space="preserve">2015. </w:t>
      </w:r>
      <w:r w:rsidRPr="00D34911">
        <w:rPr>
          <w:i/>
        </w:rPr>
        <w:t>Annals of Oncology</w:t>
      </w:r>
      <w:r w:rsidRPr="0082271C">
        <w:t xml:space="preserve"> 28</w:t>
      </w:r>
      <w:r w:rsidRPr="00D34911">
        <w:t>(5)</w:t>
      </w:r>
      <w:r w:rsidR="0082271C">
        <w:t>:</w:t>
      </w:r>
      <w:r w:rsidRPr="00D34911">
        <w:t xml:space="preserve"> 1,111–16. DOI: 10.1093/annonc/mdx053 (accessed 4 April 2022).</w:t>
      </w:r>
    </w:p>
    <w:p w14:paraId="635617F5" w14:textId="77777777" w:rsidR="00C338E8" w:rsidRDefault="007228FF" w:rsidP="00A6678E">
      <w:pPr>
        <w:pStyle w:val="References"/>
      </w:pPr>
      <w:r w:rsidRPr="00D34911">
        <w:t xml:space="preserve">Vokinger KN, Hwang TJ, Grischott T, </w:t>
      </w:r>
      <w:r w:rsidR="0065478D">
        <w:t xml:space="preserve">et al. </w:t>
      </w:r>
      <w:r w:rsidR="003B51F4">
        <w:t>2</w:t>
      </w:r>
      <w:r w:rsidRPr="00D34911">
        <w:t xml:space="preserve">020. Prices and clinical benefit of cancer drugs in the USA and Europe: a cost-benefit analysis. </w:t>
      </w:r>
      <w:r w:rsidRPr="00D34911">
        <w:rPr>
          <w:i/>
        </w:rPr>
        <w:t>Lancet Oncology</w:t>
      </w:r>
      <w:r w:rsidRPr="0082271C">
        <w:t xml:space="preserve"> 21</w:t>
      </w:r>
      <w:r w:rsidRPr="00D34911">
        <w:t>(5)</w:t>
      </w:r>
      <w:r w:rsidR="0082271C">
        <w:t>:</w:t>
      </w:r>
      <w:r w:rsidRPr="00D34911">
        <w:t xml:space="preserve"> 664–70. DOI: 10.1016/s1470-2045(20)30139-x (accessed 4 April 2022).</w:t>
      </w:r>
    </w:p>
    <w:p w14:paraId="78E1EB17" w14:textId="77777777" w:rsidR="00C338E8" w:rsidRDefault="007228FF" w:rsidP="00A6678E">
      <w:pPr>
        <w:pStyle w:val="References"/>
      </w:pPr>
      <w:r w:rsidRPr="00D34911">
        <w:t xml:space="preserve">von Minckwitz G, Huang C-S, Mano MS, </w:t>
      </w:r>
      <w:r w:rsidR="0065478D">
        <w:t xml:space="preserve">et al. </w:t>
      </w:r>
      <w:r w:rsidR="003B51F4">
        <w:t>2</w:t>
      </w:r>
      <w:r w:rsidRPr="00D34911">
        <w:t xml:space="preserve">018. Trastuzumab emtansine for residual invasive HER2-positive breast cancer. </w:t>
      </w:r>
      <w:r w:rsidRPr="00D34911">
        <w:rPr>
          <w:i/>
        </w:rPr>
        <w:t>New England Journal of Medicine</w:t>
      </w:r>
      <w:r w:rsidRPr="0082271C">
        <w:t xml:space="preserve"> 380</w:t>
      </w:r>
      <w:r w:rsidRPr="00D34911">
        <w:t>(7)</w:t>
      </w:r>
      <w:r w:rsidR="0082271C">
        <w:t>:</w:t>
      </w:r>
      <w:r w:rsidRPr="00D34911">
        <w:t xml:space="preserve"> 617–28. DOI: </w:t>
      </w:r>
      <w:hyperlink r:id="rId164" w:history="1">
        <w:r w:rsidR="0082271C" w:rsidRPr="0082271C">
          <w:rPr>
            <w:rStyle w:val="Hyperlink"/>
          </w:rPr>
          <w:t>https://doi.org/10.1056/NEJMoa1814017</w:t>
        </w:r>
      </w:hyperlink>
      <w:r w:rsidRPr="00D34911">
        <w:t xml:space="preserve"> (accessed 4 April 2022).</w:t>
      </w:r>
    </w:p>
    <w:p w14:paraId="0E04D070" w14:textId="77777777" w:rsidR="00C338E8" w:rsidRDefault="007228FF" w:rsidP="00EC5466">
      <w:pPr>
        <w:pStyle w:val="References"/>
        <w:keepNext/>
        <w:keepLines/>
      </w:pPr>
      <w:r w:rsidRPr="00D34911">
        <w:lastRenderedPageBreak/>
        <w:t xml:space="preserve">Waitangi Tribunal. 2019. </w:t>
      </w:r>
      <w:r w:rsidRPr="00D34911">
        <w:rPr>
          <w:i/>
        </w:rPr>
        <w:t>Hauora: Report on Stage One of the Health Services and Outcomes Kaupapa Inquiry (WAI 2575)</w:t>
      </w:r>
      <w:r w:rsidRPr="00D34911">
        <w:t xml:space="preserve">. Wellington: Ministry of Justice. URL: </w:t>
      </w:r>
      <w:hyperlink r:id="rId165" w:history="1">
        <w:r w:rsidR="0082271C" w:rsidRPr="0082271C">
          <w:rPr>
            <w:rStyle w:val="Hyperlink"/>
          </w:rPr>
          <w:t>https://forms.justice.govt.nz/search/Documents/WT/wt_DOC_152801817/Hauora%20W.pdf</w:t>
        </w:r>
      </w:hyperlink>
      <w:r w:rsidRPr="00D34911">
        <w:t xml:space="preserve"> (accessed 4 April 2022).</w:t>
      </w:r>
    </w:p>
    <w:p w14:paraId="69BD0E8F" w14:textId="77777777" w:rsidR="00C338E8" w:rsidRDefault="007228FF" w:rsidP="00A6678E">
      <w:pPr>
        <w:pStyle w:val="References"/>
      </w:pPr>
      <w:r w:rsidRPr="00D34911">
        <w:t xml:space="preserve">Walsh M, Grey C. 2019. The contribution of avoidable mortality to the life expectancy gap in Māori and Pacific populations in New Zealand-a decomposition analysis. </w:t>
      </w:r>
      <w:r w:rsidRPr="00D34911">
        <w:rPr>
          <w:i/>
        </w:rPr>
        <w:t>New Zealand Medical Journal</w:t>
      </w:r>
      <w:r w:rsidRPr="0082271C">
        <w:t xml:space="preserve"> 132</w:t>
      </w:r>
      <w:r w:rsidRPr="00D34911">
        <w:t>(1,492)</w:t>
      </w:r>
      <w:r w:rsidR="0082271C">
        <w:t>:</w:t>
      </w:r>
      <w:r w:rsidRPr="00D34911">
        <w:t xml:space="preserve"> 46–60.</w:t>
      </w:r>
    </w:p>
    <w:p w14:paraId="14E474CB" w14:textId="77777777" w:rsidR="00C338E8" w:rsidRDefault="007228FF" w:rsidP="00A6678E">
      <w:pPr>
        <w:pStyle w:val="References"/>
      </w:pPr>
      <w:r w:rsidRPr="00D34911">
        <w:t xml:space="preserve">Wang S, Yang Q, Deng L, </w:t>
      </w:r>
      <w:r w:rsidR="0065478D">
        <w:t xml:space="preserve">et al. </w:t>
      </w:r>
      <w:r w:rsidR="003B51F4">
        <w:t>2</w:t>
      </w:r>
      <w:r w:rsidRPr="00D34911">
        <w:t xml:space="preserve">021. An overview of cancer drugs approved through expedited approval programs and orphan medicine designation globally between 2011 and 2020. </w:t>
      </w:r>
      <w:r w:rsidRPr="00D34911">
        <w:rPr>
          <w:i/>
        </w:rPr>
        <w:t>Drug Discovery Today</w:t>
      </w:r>
      <w:r w:rsidRPr="00D34911">
        <w:t>. DOI: 10.1016/j.drudis.2021.12.021 (accessed 4 April 2022).</w:t>
      </w:r>
    </w:p>
    <w:p w14:paraId="1B61585B" w14:textId="77777777" w:rsidR="00C338E8" w:rsidRDefault="007228FF" w:rsidP="00A6678E">
      <w:pPr>
        <w:pStyle w:val="References"/>
      </w:pPr>
      <w:r w:rsidRPr="00D34911">
        <w:t xml:space="preserve">WHO. 2018. </w:t>
      </w:r>
      <w:r w:rsidRPr="00D34911">
        <w:rPr>
          <w:i/>
        </w:rPr>
        <w:t>Pricing of Cancer Medicines and Its Impacts</w:t>
      </w:r>
      <w:r w:rsidRPr="00D34911">
        <w:t xml:space="preserve">. Geneva: World Health Organization (WHO). URL: </w:t>
      </w:r>
      <w:hyperlink r:id="rId166" w:history="1">
        <w:r w:rsidR="0082271C" w:rsidRPr="0082271C">
          <w:rPr>
            <w:rStyle w:val="Hyperlink"/>
          </w:rPr>
          <w:t>https://apps.who.int/iris/bitstream/handle/10665/277190/9789241515115-eng.pdf?ua=1</w:t>
        </w:r>
      </w:hyperlink>
      <w:r w:rsidRPr="00D34911">
        <w:t xml:space="preserve"> (accessed 4 April 2022).</w:t>
      </w:r>
    </w:p>
    <w:p w14:paraId="00874EEA" w14:textId="77777777" w:rsidR="00C338E8" w:rsidRDefault="007228FF" w:rsidP="00A6678E">
      <w:pPr>
        <w:pStyle w:val="References"/>
      </w:pPr>
      <w:r w:rsidRPr="00D34911">
        <w:t xml:space="preserve">WHO. 2019a. </w:t>
      </w:r>
      <w:r w:rsidRPr="00D34911">
        <w:rPr>
          <w:i/>
        </w:rPr>
        <w:t>Executive Summary. The Selection and Use of Essential Medicines 2019. Report of the 22nd WHO Expert Committee on the Selection and Use of Essential Medicines, 1–5 April 2019.</w:t>
      </w:r>
      <w:r w:rsidRPr="00D34911">
        <w:t xml:space="preserve"> Geneva: World Health Organization (WHO).</w:t>
      </w:r>
    </w:p>
    <w:p w14:paraId="61EB0ECB" w14:textId="77777777" w:rsidR="00C338E8" w:rsidRDefault="007228FF" w:rsidP="00A6678E">
      <w:pPr>
        <w:pStyle w:val="References"/>
      </w:pPr>
      <w:r w:rsidRPr="00D34911">
        <w:t xml:space="preserve">WHO. 2019b. </w:t>
      </w:r>
      <w:r w:rsidRPr="00D34911">
        <w:rPr>
          <w:i/>
        </w:rPr>
        <w:t>The Selection and Use of Essential Medicines: Report of the WHO Expert Committee on Selection and Use of Essential Medicines, 2019 (including the 21st WHO model list of essential medicines and the 7th WHO model list of essential medicines for children)</w:t>
      </w:r>
      <w:r w:rsidRPr="00D34911">
        <w:t xml:space="preserve">. Geneva: World Health Organization (WHO). URL: </w:t>
      </w:r>
      <w:hyperlink r:id="rId167" w:history="1">
        <w:r w:rsidR="0082271C" w:rsidRPr="0082271C">
          <w:rPr>
            <w:rStyle w:val="Hyperlink"/>
          </w:rPr>
          <w:t>https://apps.who.int/iris/handle/10665/330668</w:t>
        </w:r>
      </w:hyperlink>
      <w:r w:rsidRPr="00D34911">
        <w:t xml:space="preserve"> (accessed 4 April 2022).</w:t>
      </w:r>
    </w:p>
    <w:p w14:paraId="11A36CE6" w14:textId="77777777" w:rsidR="00C338E8" w:rsidRDefault="007228FF" w:rsidP="00A6678E">
      <w:pPr>
        <w:pStyle w:val="References"/>
      </w:pPr>
      <w:r w:rsidRPr="00D34911">
        <w:t xml:space="preserve">WHO. 2020. </w:t>
      </w:r>
      <w:r w:rsidRPr="00D34911">
        <w:rPr>
          <w:i/>
        </w:rPr>
        <w:t>Selection of Essential Medicines at country Level: Using the WHO Model List of Essential Medicines to update a national essential medicines list</w:t>
      </w:r>
      <w:r w:rsidRPr="00D34911">
        <w:t>. Geneva: World Health Organization (WHO).</w:t>
      </w:r>
    </w:p>
    <w:p w14:paraId="459568C1" w14:textId="77777777" w:rsidR="00C338E8" w:rsidRDefault="007228FF" w:rsidP="00A6678E">
      <w:pPr>
        <w:pStyle w:val="References"/>
      </w:pPr>
      <w:r w:rsidRPr="00D34911">
        <w:t xml:space="preserve">Wolfe AR, Chablani P, Siedow MR, </w:t>
      </w:r>
      <w:r w:rsidR="0065478D">
        <w:t xml:space="preserve">et al. </w:t>
      </w:r>
      <w:r w:rsidR="003B51F4">
        <w:t>2</w:t>
      </w:r>
      <w:r w:rsidRPr="00D34911">
        <w:t xml:space="preserve">021. BRAF mutation correlates with worse local–regional control following radiation therapy in patients with stage III melanoma. </w:t>
      </w:r>
      <w:r w:rsidRPr="00D34911">
        <w:rPr>
          <w:i/>
        </w:rPr>
        <w:t>Radiation Oncology</w:t>
      </w:r>
      <w:r w:rsidRPr="0082271C">
        <w:t xml:space="preserve"> 16</w:t>
      </w:r>
      <w:r w:rsidRPr="00D34911">
        <w:t>(1)</w:t>
      </w:r>
      <w:r w:rsidR="0082271C">
        <w:t>:</w:t>
      </w:r>
      <w:r w:rsidRPr="00D34911">
        <w:t xml:space="preserve"> 181. </w:t>
      </w:r>
      <w:hyperlink r:id="rId168" w:history="1">
        <w:r w:rsidR="0082271C" w:rsidRPr="0082271C">
          <w:rPr>
            <w:rStyle w:val="Hyperlink"/>
          </w:rPr>
          <w:t>https://doi.org/10.1186/s13014-021-01903-5</w:t>
        </w:r>
      </w:hyperlink>
      <w:r w:rsidR="0082271C">
        <w:t>.</w:t>
      </w:r>
    </w:p>
    <w:p w14:paraId="0FE08C9B" w14:textId="77777777" w:rsidR="00C338E8" w:rsidRDefault="007228FF" w:rsidP="00A6678E">
      <w:pPr>
        <w:pStyle w:val="References"/>
      </w:pPr>
      <w:r w:rsidRPr="00D34911">
        <w:t xml:space="preserve">Wonder M, Fisher R. 2016. Subsidised access to new melanoma drugs: in need of further innovation? </w:t>
      </w:r>
      <w:r w:rsidRPr="00D34911">
        <w:rPr>
          <w:i/>
        </w:rPr>
        <w:t>New Zealand Medical Journal</w:t>
      </w:r>
      <w:r w:rsidRPr="0082271C">
        <w:t xml:space="preserve"> 129</w:t>
      </w:r>
      <w:r w:rsidRPr="00D34911">
        <w:t>(1,440)</w:t>
      </w:r>
      <w:r w:rsidR="0082271C">
        <w:t>:</w:t>
      </w:r>
      <w:r w:rsidRPr="00D34911">
        <w:t xml:space="preserve"> 37–54.</w:t>
      </w:r>
    </w:p>
    <w:p w14:paraId="347EDDA4" w14:textId="77777777" w:rsidR="00C338E8" w:rsidRDefault="007228FF" w:rsidP="00A6678E">
      <w:pPr>
        <w:pStyle w:val="References"/>
      </w:pPr>
      <w:r w:rsidRPr="00D34911">
        <w:t xml:space="preserve">Wonder M, Milne R. 2011. Access to new medicines in New Zealand compared to Australia. </w:t>
      </w:r>
      <w:r w:rsidRPr="00D34911">
        <w:rPr>
          <w:i/>
        </w:rPr>
        <w:t>New Zealand Medical Journal</w:t>
      </w:r>
      <w:r w:rsidRPr="0082271C">
        <w:t xml:space="preserve"> 124</w:t>
      </w:r>
      <w:r w:rsidRPr="00D34911">
        <w:t>(1,346)</w:t>
      </w:r>
      <w:r w:rsidR="0082271C">
        <w:t>:</w:t>
      </w:r>
      <w:r w:rsidRPr="00D34911">
        <w:t xml:space="preserve"> 12–28.</w:t>
      </w:r>
    </w:p>
    <w:p w14:paraId="0209B36D" w14:textId="77777777" w:rsidR="00C338E8" w:rsidRDefault="007228FF" w:rsidP="00A6678E">
      <w:pPr>
        <w:pStyle w:val="References"/>
      </w:pPr>
      <w:r w:rsidRPr="00D34911">
        <w:t xml:space="preserve">Yeoh S, Simcock B, Innes C, </w:t>
      </w:r>
      <w:r w:rsidR="0065478D">
        <w:t xml:space="preserve">et al. </w:t>
      </w:r>
      <w:r w:rsidR="003B51F4">
        <w:t>2</w:t>
      </w:r>
      <w:r w:rsidRPr="00D34911">
        <w:t xml:space="preserve">019. Trends in the overall survival rates in women with advanced ovarian cancer in a single tertiary centre in New Zealand. </w:t>
      </w:r>
      <w:r w:rsidRPr="00D34911">
        <w:rPr>
          <w:i/>
        </w:rPr>
        <w:t>Australian and New Zealand Journal of Obstetrics and Gynaecology</w:t>
      </w:r>
      <w:r w:rsidRPr="0082271C">
        <w:t xml:space="preserve"> 59</w:t>
      </w:r>
      <w:r w:rsidRPr="00D34911">
        <w:t>(6)</w:t>
      </w:r>
      <w:r w:rsidR="0082271C">
        <w:t>:</w:t>
      </w:r>
      <w:r w:rsidRPr="00D34911">
        <w:t xml:space="preserve"> 861–66. DOI: 10.1111/ajo.13076 (accessed 4 April 2022).</w:t>
      </w:r>
    </w:p>
    <w:p w14:paraId="4934FDB7" w14:textId="77777777" w:rsidR="00C338E8" w:rsidRDefault="007228FF" w:rsidP="00EC5466">
      <w:pPr>
        <w:pStyle w:val="References"/>
      </w:pPr>
      <w:r w:rsidRPr="00D34911">
        <w:t xml:space="preserve">Zhang S, Royer R, Li S, </w:t>
      </w:r>
      <w:r w:rsidR="0065478D">
        <w:t xml:space="preserve">et al. </w:t>
      </w:r>
      <w:r w:rsidR="003B51F4">
        <w:t>2</w:t>
      </w:r>
      <w:r w:rsidRPr="00D34911">
        <w:t xml:space="preserve">011. Frequencies of BRCA1 and BRCA2 mutations among 1,342 unselected patients with invasive ovarian cancer. </w:t>
      </w:r>
      <w:r w:rsidRPr="00D34911">
        <w:rPr>
          <w:i/>
        </w:rPr>
        <w:t>Gynecologic Oncology</w:t>
      </w:r>
      <w:r w:rsidRPr="0082271C">
        <w:t xml:space="preserve"> 121</w:t>
      </w:r>
      <w:r w:rsidRPr="00D34911">
        <w:t>(2)</w:t>
      </w:r>
      <w:r w:rsidR="0082271C">
        <w:t>:</w:t>
      </w:r>
      <w:r w:rsidR="0082271C">
        <w:br/>
      </w:r>
      <w:r w:rsidRPr="00D34911">
        <w:t>353</w:t>
      </w:r>
      <w:r w:rsidR="0082271C">
        <w:t>–</w:t>
      </w:r>
      <w:r w:rsidRPr="00D34911">
        <w:t>7. DOI: 10.1016/j.ygyno.2011.01.020</w:t>
      </w:r>
      <w:r w:rsidR="0082271C">
        <w:t>.</w:t>
      </w:r>
      <w:bookmarkEnd w:id="446"/>
    </w:p>
    <w:sectPr w:rsidR="00C338E8" w:rsidSect="002B7BEC">
      <w:footerReference w:type="even" r:id="rId169"/>
      <w:footerReference w:type="default" r:id="rId170"/>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5FCE3" w14:textId="77777777" w:rsidR="0056499C" w:rsidRDefault="0056499C">
      <w:r>
        <w:separator/>
      </w:r>
    </w:p>
    <w:p w14:paraId="49F37B3D" w14:textId="77777777" w:rsidR="0056499C" w:rsidRDefault="0056499C"/>
  </w:endnote>
  <w:endnote w:type="continuationSeparator" w:id="0">
    <w:p w14:paraId="4BCCF547" w14:textId="77777777" w:rsidR="0056499C" w:rsidRDefault="0056499C">
      <w:r>
        <w:continuationSeparator/>
      </w:r>
    </w:p>
    <w:p w14:paraId="10EA76D8" w14:textId="77777777" w:rsidR="0056499C" w:rsidRDefault="0056499C"/>
  </w:endnote>
  <w:endnote w:type="continuationNotice" w:id="1">
    <w:p w14:paraId="15B28F71" w14:textId="77777777" w:rsidR="0056499C" w:rsidRDefault="005649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altName w:val="Fira Sans"/>
    <w:charset w:val="00"/>
    <w:family w:val="swiss"/>
    <w:pitch w:val="variable"/>
    <w:sig w:usb0="600002FF" w:usb1="00000001" w:usb2="00000000"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9DB10" w14:textId="77777777" w:rsidR="00B01DC6" w:rsidRDefault="00B01DC6" w:rsidP="003D59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B01DC6" w14:paraId="2EA2D4E6" w14:textId="77777777" w:rsidTr="00B13C0B">
      <w:trPr>
        <w:cantSplit/>
      </w:trPr>
      <w:tc>
        <w:tcPr>
          <w:tcW w:w="709" w:type="dxa"/>
          <w:vAlign w:val="center"/>
        </w:tcPr>
        <w:p w14:paraId="7DCBDAA9" w14:textId="77777777" w:rsidR="00B01DC6" w:rsidRDefault="00B01DC6" w:rsidP="00120C4C">
          <w:pPr>
            <w:pStyle w:val="RectoFooter"/>
            <w:spacing w:before="120"/>
            <w:jc w:val="left"/>
          </w:pPr>
          <w:r>
            <w:rPr>
              <w:noProof/>
              <w:lang w:eastAsia="en-NZ"/>
            </w:rPr>
            <w:drawing>
              <wp:inline distT="0" distB="0" distL="0" distR="0" wp14:anchorId="6B6AA548" wp14:editId="77A64CD7">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109073C4" w14:textId="6AFAD733" w:rsidR="00B01DC6" w:rsidRDefault="00B01DC6" w:rsidP="00CC37B9">
          <w:pPr>
            <w:pStyle w:val="RectoFooter"/>
            <w:spacing w:before="120"/>
            <w:jc w:val="left"/>
          </w:pPr>
          <w:r>
            <w:t>Mārama Ana ki te Āputa: he tātari i te wāteatanga o ngā rongoā mate pukupuku i Aotearoa</w:t>
          </w:r>
          <w:r>
            <w:br/>
            <w:t xml:space="preserve">Understanding the Gap: an analysis of the availability of cancer medicines in Aotearoa </w:t>
          </w:r>
        </w:p>
      </w:tc>
      <w:tc>
        <w:tcPr>
          <w:tcW w:w="709" w:type="dxa"/>
          <w:vAlign w:val="center"/>
        </w:tcPr>
        <w:p w14:paraId="10B5EF1D" w14:textId="77777777" w:rsidR="00B01DC6" w:rsidRPr="00931466" w:rsidRDefault="00B01DC6"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5</w:t>
          </w:r>
          <w:r w:rsidRPr="00931466">
            <w:rPr>
              <w:rStyle w:val="PageNumber"/>
            </w:rPr>
            <w:fldChar w:fldCharType="end"/>
          </w:r>
        </w:p>
      </w:tc>
    </w:tr>
  </w:tbl>
  <w:p w14:paraId="37CE3939" w14:textId="77777777" w:rsidR="00B01DC6" w:rsidRPr="00581EB8" w:rsidRDefault="00B01DC6" w:rsidP="00581EB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DDDE0" w14:textId="77777777" w:rsidR="00B01DC6" w:rsidRDefault="00B01D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080"/>
      <w:gridCol w:w="992"/>
    </w:tblGrid>
    <w:tr w:rsidR="00B01DC6" w14:paraId="6E58BC3D" w14:textId="77777777" w:rsidTr="00852C5D">
      <w:trPr>
        <w:cantSplit/>
      </w:trPr>
      <w:tc>
        <w:tcPr>
          <w:tcW w:w="675" w:type="dxa"/>
          <w:vAlign w:val="center"/>
        </w:tcPr>
        <w:p w14:paraId="135C87AC" w14:textId="77777777" w:rsidR="00B01DC6" w:rsidRPr="00931466" w:rsidRDefault="00B01DC6" w:rsidP="00EB4AA3">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080" w:type="dxa"/>
          <w:vAlign w:val="center"/>
        </w:tcPr>
        <w:p w14:paraId="5FCD84CF" w14:textId="44AF1E74" w:rsidR="00B01DC6" w:rsidRDefault="00B01DC6" w:rsidP="00E77F9C">
          <w:pPr>
            <w:pStyle w:val="RectoFooter"/>
            <w:spacing w:before="120"/>
            <w:ind w:left="-108"/>
          </w:pPr>
          <w:r>
            <w:t>Mārama Ana ki te Āputa: he tātari i te wāteatanga o ngā rongoā mate pukupuku i Aotearoa</w:t>
          </w:r>
          <w:r>
            <w:br/>
            <w:t>Understanding the Gap: an analysis of the availability of cancer medicines in Aotearoa</w:t>
          </w:r>
        </w:p>
      </w:tc>
      <w:tc>
        <w:tcPr>
          <w:tcW w:w="992" w:type="dxa"/>
          <w:vAlign w:val="center"/>
        </w:tcPr>
        <w:p w14:paraId="6A6CE34C" w14:textId="77777777" w:rsidR="00B01DC6" w:rsidRDefault="00B01DC6" w:rsidP="00EB4AA3">
          <w:pPr>
            <w:pStyle w:val="RectoFooter"/>
            <w:ind w:left="-108"/>
          </w:pPr>
          <w:r>
            <w:rPr>
              <w:noProof/>
              <w:lang w:eastAsia="en-NZ"/>
            </w:rPr>
            <w:drawing>
              <wp:inline distT="0" distB="0" distL="0" distR="0" wp14:anchorId="66150268" wp14:editId="31B010FE">
                <wp:extent cx="373711" cy="414082"/>
                <wp:effectExtent l="0" t="0" r="7620" b="508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3A63FF" w14:textId="77777777" w:rsidR="00B01DC6" w:rsidRPr="00571223" w:rsidRDefault="00B01DC6" w:rsidP="00571223">
    <w:pPr>
      <w:pStyle w:val="Verso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851"/>
      <w:gridCol w:w="7229"/>
      <w:gridCol w:w="709"/>
    </w:tblGrid>
    <w:tr w:rsidR="00B01DC6" w14:paraId="7688D646" w14:textId="77777777" w:rsidTr="00EB4AA3">
      <w:trPr>
        <w:cantSplit/>
      </w:trPr>
      <w:tc>
        <w:tcPr>
          <w:tcW w:w="851" w:type="dxa"/>
          <w:vAlign w:val="center"/>
        </w:tcPr>
        <w:p w14:paraId="40B1EEAD" w14:textId="77777777" w:rsidR="00B01DC6" w:rsidRDefault="00B01DC6" w:rsidP="00120C4C">
          <w:pPr>
            <w:pStyle w:val="RectoFooter"/>
            <w:spacing w:before="120"/>
            <w:jc w:val="left"/>
          </w:pPr>
          <w:r>
            <w:rPr>
              <w:noProof/>
              <w:lang w:eastAsia="en-NZ"/>
            </w:rPr>
            <w:drawing>
              <wp:inline distT="0" distB="0" distL="0" distR="0" wp14:anchorId="55D15494" wp14:editId="4A88BD7C">
                <wp:extent cx="373711" cy="414082"/>
                <wp:effectExtent l="0" t="0" r="7620" b="508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229" w:type="dxa"/>
          <w:vAlign w:val="center"/>
        </w:tcPr>
        <w:p w14:paraId="051E37BF" w14:textId="08F20C7E" w:rsidR="00B01DC6" w:rsidRDefault="00B01DC6" w:rsidP="00CC37B9">
          <w:pPr>
            <w:pStyle w:val="RectoFooter"/>
            <w:spacing w:before="120"/>
            <w:jc w:val="left"/>
          </w:pPr>
          <w:r>
            <w:t xml:space="preserve">Mārama Ana ki te Āputa: he tātari i te wāteatanga o ngā rongoā mate pukupuku i Aotearoa  </w:t>
          </w:r>
          <w:r>
            <w:br/>
            <w:t>Understanding the Gap: an analysis of the availability of cancer medicines in Aotearoa</w:t>
          </w:r>
        </w:p>
      </w:tc>
      <w:tc>
        <w:tcPr>
          <w:tcW w:w="709" w:type="dxa"/>
          <w:vAlign w:val="center"/>
        </w:tcPr>
        <w:p w14:paraId="734D4624" w14:textId="77777777" w:rsidR="00B01DC6" w:rsidRPr="00931466" w:rsidRDefault="00B01DC6"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w:t>
          </w:r>
          <w:r w:rsidRPr="00931466">
            <w:rPr>
              <w:rStyle w:val="PageNumber"/>
            </w:rPr>
            <w:fldChar w:fldCharType="end"/>
          </w:r>
        </w:p>
      </w:tc>
    </w:tr>
  </w:tbl>
  <w:p w14:paraId="7A913DBA" w14:textId="77777777" w:rsidR="00B01DC6" w:rsidRPr="00581EB8" w:rsidRDefault="00B01DC6" w:rsidP="00581EB8">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080"/>
      <w:gridCol w:w="992"/>
    </w:tblGrid>
    <w:tr w:rsidR="00B01DC6" w14:paraId="603FE77A" w14:textId="77777777" w:rsidTr="00852C5D">
      <w:trPr>
        <w:cantSplit/>
      </w:trPr>
      <w:tc>
        <w:tcPr>
          <w:tcW w:w="675" w:type="dxa"/>
          <w:vAlign w:val="center"/>
        </w:tcPr>
        <w:p w14:paraId="005E11F8" w14:textId="77777777" w:rsidR="00B01DC6" w:rsidRPr="00931466" w:rsidRDefault="00B01DC6" w:rsidP="00EB4AA3">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x</w:t>
          </w:r>
          <w:r w:rsidRPr="00931466">
            <w:rPr>
              <w:rStyle w:val="PageNumber"/>
            </w:rPr>
            <w:fldChar w:fldCharType="end"/>
          </w:r>
        </w:p>
      </w:tc>
      <w:tc>
        <w:tcPr>
          <w:tcW w:w="8080" w:type="dxa"/>
          <w:vAlign w:val="center"/>
        </w:tcPr>
        <w:p w14:paraId="33E3F90A" w14:textId="7AD64D18" w:rsidR="00B01DC6" w:rsidRDefault="00B01DC6" w:rsidP="00E77F9C">
          <w:pPr>
            <w:pStyle w:val="RectoFooter"/>
            <w:spacing w:before="120"/>
            <w:ind w:left="-108"/>
          </w:pPr>
          <w:r>
            <w:t>Mārama Ana ki te Āputa: he tātari i te wāteatanga o ngā rongoā mate pukupuku i Aotearoa</w:t>
          </w:r>
          <w:r>
            <w:br/>
            <w:t>Understanding the Gap: an analysis of the availability of cancer medicines in Aotearoa</w:t>
          </w:r>
        </w:p>
      </w:tc>
      <w:tc>
        <w:tcPr>
          <w:tcW w:w="992" w:type="dxa"/>
          <w:vAlign w:val="center"/>
        </w:tcPr>
        <w:p w14:paraId="4BD5B2F9" w14:textId="77777777" w:rsidR="00B01DC6" w:rsidRDefault="00B01DC6" w:rsidP="00EB4AA3">
          <w:pPr>
            <w:pStyle w:val="RectoFooter"/>
            <w:ind w:left="-108"/>
          </w:pPr>
          <w:r>
            <w:rPr>
              <w:noProof/>
              <w:lang w:eastAsia="en-NZ"/>
            </w:rPr>
            <w:drawing>
              <wp:inline distT="0" distB="0" distL="0" distR="0" wp14:anchorId="415235F9" wp14:editId="7ADA1662">
                <wp:extent cx="373711" cy="414082"/>
                <wp:effectExtent l="0" t="0" r="7620" b="508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A0182D" w14:textId="77777777" w:rsidR="00B01DC6" w:rsidRPr="00571223" w:rsidRDefault="00B01DC6" w:rsidP="00571223">
    <w:pPr>
      <w:pStyle w:val="Verso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B01DC6" w14:paraId="5ECB8B14" w14:textId="77777777" w:rsidTr="00B13C0B">
      <w:trPr>
        <w:cantSplit/>
      </w:trPr>
      <w:tc>
        <w:tcPr>
          <w:tcW w:w="709" w:type="dxa"/>
          <w:vAlign w:val="center"/>
        </w:tcPr>
        <w:p w14:paraId="6C3BF4FE" w14:textId="77777777" w:rsidR="00B01DC6" w:rsidRDefault="00B01DC6" w:rsidP="00120C4C">
          <w:pPr>
            <w:pStyle w:val="RectoFooter"/>
            <w:spacing w:before="120"/>
            <w:jc w:val="left"/>
          </w:pPr>
          <w:r>
            <w:rPr>
              <w:noProof/>
              <w:lang w:eastAsia="en-NZ"/>
            </w:rPr>
            <w:drawing>
              <wp:inline distT="0" distB="0" distL="0" distR="0" wp14:anchorId="74E96C64" wp14:editId="1B99B3BA">
                <wp:extent cx="373711" cy="414082"/>
                <wp:effectExtent l="0" t="0" r="762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3329335" w14:textId="0A589DC3" w:rsidR="00B01DC6" w:rsidRDefault="00B01DC6" w:rsidP="00CC37B9">
          <w:pPr>
            <w:pStyle w:val="RectoFooter"/>
            <w:spacing w:before="120"/>
            <w:jc w:val="left"/>
          </w:pPr>
          <w:r>
            <w:t xml:space="preserve">Mārama Ana ki te Āputa: he tātari i te wāteatanga o ngā rongoā mate pukupuku i Aotearoa  </w:t>
          </w:r>
          <w:r>
            <w:br/>
            <w:t>Understanding the Gap: an analysis of the availability of cancer medicines in Aotearoa</w:t>
          </w:r>
        </w:p>
      </w:tc>
      <w:tc>
        <w:tcPr>
          <w:tcW w:w="709" w:type="dxa"/>
          <w:vAlign w:val="center"/>
        </w:tcPr>
        <w:p w14:paraId="5646377D" w14:textId="77777777" w:rsidR="00B01DC6" w:rsidRPr="00931466" w:rsidRDefault="00B01DC6"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xv</w:t>
          </w:r>
          <w:r w:rsidRPr="00931466">
            <w:rPr>
              <w:rStyle w:val="PageNumber"/>
            </w:rPr>
            <w:fldChar w:fldCharType="end"/>
          </w:r>
        </w:p>
      </w:tc>
    </w:tr>
  </w:tbl>
  <w:p w14:paraId="41A361D8" w14:textId="77777777" w:rsidR="00B01DC6" w:rsidRPr="00581EB8" w:rsidRDefault="00B01DC6" w:rsidP="00581EB8">
    <w:pPr>
      <w:pStyle w:val="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080"/>
      <w:gridCol w:w="992"/>
    </w:tblGrid>
    <w:tr w:rsidR="00B01DC6" w14:paraId="179053D7" w14:textId="77777777" w:rsidTr="00EB4AA3">
      <w:trPr>
        <w:cantSplit/>
      </w:trPr>
      <w:tc>
        <w:tcPr>
          <w:tcW w:w="675" w:type="dxa"/>
          <w:vAlign w:val="center"/>
        </w:tcPr>
        <w:p w14:paraId="3A076EDC" w14:textId="77777777" w:rsidR="00B01DC6" w:rsidRPr="00931466" w:rsidRDefault="00B01DC6" w:rsidP="00EB4AA3">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xiv</w:t>
          </w:r>
          <w:r w:rsidRPr="00931466">
            <w:rPr>
              <w:rStyle w:val="PageNumber"/>
            </w:rPr>
            <w:fldChar w:fldCharType="end"/>
          </w:r>
        </w:p>
      </w:tc>
      <w:tc>
        <w:tcPr>
          <w:tcW w:w="8080" w:type="dxa"/>
          <w:vAlign w:val="center"/>
        </w:tcPr>
        <w:p w14:paraId="4A34C67D" w14:textId="63A695C4" w:rsidR="00B01DC6" w:rsidRDefault="00B01DC6" w:rsidP="0067152A">
          <w:pPr>
            <w:pStyle w:val="RectoFooter"/>
            <w:spacing w:before="120"/>
            <w:ind w:left="-108"/>
          </w:pPr>
          <w:r>
            <w:t>Mārama Ana ki te Āputa: he tātari i te wāteatanga o ngā rongoā mate pukupuku i Aotearoa</w:t>
          </w:r>
          <w:r>
            <w:br/>
            <w:t>Understanding the Gap: an analysis of the availability of cancer medicines in Aotearoa</w:t>
          </w:r>
        </w:p>
      </w:tc>
      <w:tc>
        <w:tcPr>
          <w:tcW w:w="992" w:type="dxa"/>
          <w:vAlign w:val="center"/>
        </w:tcPr>
        <w:p w14:paraId="65AF77B5" w14:textId="77777777" w:rsidR="00B01DC6" w:rsidRDefault="00B01DC6" w:rsidP="00EB4AA3">
          <w:pPr>
            <w:pStyle w:val="RectoFooter"/>
            <w:ind w:left="-108"/>
          </w:pPr>
          <w:r>
            <w:rPr>
              <w:noProof/>
              <w:lang w:eastAsia="en-NZ"/>
            </w:rPr>
            <w:drawing>
              <wp:inline distT="0" distB="0" distL="0" distR="0" wp14:anchorId="4C76D09A" wp14:editId="72909F70">
                <wp:extent cx="373711" cy="414082"/>
                <wp:effectExtent l="0" t="0" r="7620" b="508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6ED26F7" w14:textId="77777777" w:rsidR="00B01DC6" w:rsidRPr="00571223" w:rsidRDefault="00B01DC6" w:rsidP="00571223">
    <w:pPr>
      <w:pStyle w:val="Verso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F41B5" w14:textId="77777777" w:rsidR="00B01DC6" w:rsidRPr="00581EB8" w:rsidRDefault="00B01DC6" w:rsidP="00581EB8">
    <w:pPr>
      <w:pStyle w:val="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222"/>
      <w:gridCol w:w="850"/>
    </w:tblGrid>
    <w:tr w:rsidR="00B01DC6" w14:paraId="700751B9" w14:textId="77777777" w:rsidTr="00B13C0B">
      <w:trPr>
        <w:cantSplit/>
      </w:trPr>
      <w:tc>
        <w:tcPr>
          <w:tcW w:w="675" w:type="dxa"/>
          <w:vAlign w:val="center"/>
        </w:tcPr>
        <w:p w14:paraId="0E59E81B" w14:textId="77777777" w:rsidR="00B01DC6" w:rsidRPr="00931466" w:rsidRDefault="00B01DC6"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4</w:t>
          </w:r>
          <w:r w:rsidRPr="00931466">
            <w:rPr>
              <w:rStyle w:val="PageNumber"/>
            </w:rPr>
            <w:fldChar w:fldCharType="end"/>
          </w:r>
        </w:p>
      </w:tc>
      <w:tc>
        <w:tcPr>
          <w:tcW w:w="8222" w:type="dxa"/>
          <w:vAlign w:val="center"/>
        </w:tcPr>
        <w:p w14:paraId="2A2A0FD4" w14:textId="341EC1FB" w:rsidR="00B01DC6" w:rsidRDefault="00B01DC6" w:rsidP="00BD3644">
          <w:pPr>
            <w:pStyle w:val="RectoFooter"/>
            <w:spacing w:before="120"/>
            <w:ind w:left="-108"/>
          </w:pPr>
          <w:r>
            <w:t>Mārama Ana ki te Āputa: he tātari i te wāteatanga o ngā rongoā mate pukupuku i Aotearoa</w:t>
          </w:r>
          <w:r>
            <w:br/>
            <w:t>Understanding the Gap: an analysis of the availability of cancer medicines in Aotearoa</w:t>
          </w:r>
        </w:p>
      </w:tc>
      <w:tc>
        <w:tcPr>
          <w:tcW w:w="850" w:type="dxa"/>
          <w:vAlign w:val="center"/>
        </w:tcPr>
        <w:p w14:paraId="2AADFE73" w14:textId="77777777" w:rsidR="00B01DC6" w:rsidRDefault="00B01DC6" w:rsidP="00120C4C">
          <w:pPr>
            <w:pStyle w:val="RectoFooter"/>
            <w:spacing w:before="120"/>
            <w:ind w:left="-108"/>
          </w:pPr>
          <w:r>
            <w:rPr>
              <w:noProof/>
              <w:lang w:eastAsia="en-NZ"/>
            </w:rPr>
            <w:drawing>
              <wp:inline distT="0" distB="0" distL="0" distR="0" wp14:anchorId="018E1219" wp14:editId="00B9EC2E">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3D71F24" w14:textId="77777777" w:rsidR="00B01DC6" w:rsidRPr="00571223" w:rsidRDefault="00B01DC6" w:rsidP="00571223">
    <w:pPr>
      <w:pStyle w:val="Verso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FB562" w14:textId="77777777" w:rsidR="0056499C" w:rsidRPr="00A26E6B" w:rsidRDefault="0056499C" w:rsidP="00A26E6B"/>
  </w:footnote>
  <w:footnote w:type="continuationSeparator" w:id="0">
    <w:p w14:paraId="6A22D682" w14:textId="77777777" w:rsidR="0056499C" w:rsidRDefault="0056499C">
      <w:r>
        <w:continuationSeparator/>
      </w:r>
    </w:p>
    <w:p w14:paraId="558C2366" w14:textId="77777777" w:rsidR="0056499C" w:rsidRDefault="0056499C"/>
  </w:footnote>
  <w:footnote w:type="continuationNotice" w:id="1">
    <w:p w14:paraId="61883E62" w14:textId="77777777" w:rsidR="0056499C" w:rsidRDefault="0056499C">
      <w:pPr>
        <w:spacing w:line="240" w:lineRule="auto"/>
      </w:pPr>
    </w:p>
  </w:footnote>
  <w:footnote w:id="2">
    <w:p w14:paraId="286A089E" w14:textId="77777777" w:rsidR="00B01DC6" w:rsidRDefault="00B01DC6" w:rsidP="003B51F4">
      <w:pPr>
        <w:pStyle w:val="FootnoteText"/>
      </w:pPr>
      <w:r w:rsidRPr="003B51F4">
        <w:rPr>
          <w:rStyle w:val="FootnoteReference"/>
          <w:rFonts w:eastAsia="MS Gothic"/>
        </w:rPr>
        <w:footnoteRef/>
      </w:r>
      <w:r>
        <w:tab/>
        <w:t xml:space="preserve">There are separate adult and child model EMLs (for further information, see </w:t>
      </w:r>
      <w:hyperlink r:id="rId1" w:history="1">
        <w:r w:rsidRPr="003B51F4">
          <w:rPr>
            <w:rStyle w:val="Hyperlink"/>
          </w:rPr>
          <w:t>www.who.int/groups/expert-committee-on-selection-and-use-of-essential-medicines/essential-medicines-lists</w:t>
        </w:r>
      </w:hyperlink>
      <w:r>
        <w:t>).</w:t>
      </w:r>
    </w:p>
  </w:footnote>
  <w:footnote w:id="3">
    <w:p w14:paraId="06D96ABF" w14:textId="77777777" w:rsidR="00B01DC6" w:rsidRDefault="00B01DC6" w:rsidP="003B51F4">
      <w:pPr>
        <w:pStyle w:val="FootnoteText"/>
      </w:pPr>
      <w:r w:rsidRPr="003B51F4">
        <w:rPr>
          <w:rStyle w:val="FootnoteReference"/>
          <w:rFonts w:eastAsia="MS Gothic"/>
        </w:rPr>
        <w:footnoteRef/>
      </w:r>
      <w:r>
        <w:tab/>
      </w:r>
      <w:r w:rsidRPr="00EB49B8">
        <w:t xml:space="preserve">Further detail about how Pharmac assesses medicine applications for funding is available </w:t>
      </w:r>
      <w:r>
        <w:t>from the webpage at</w:t>
      </w:r>
      <w:r w:rsidRPr="00EB49B8">
        <w:t xml:space="preserve">: </w:t>
      </w:r>
      <w:hyperlink r:id="rId2" w:history="1">
        <w:r w:rsidRPr="00EB49B8">
          <w:rPr>
            <w:rStyle w:val="Hyperlink"/>
            <w:rFonts w:eastAsia="MS Gothic"/>
          </w:rPr>
          <w:t>https://pharmac.govt.nz/medicine-funding-and-supply/the-funding-process/</w:t>
        </w:r>
      </w:hyperlink>
      <w:r>
        <w:rPr>
          <w:rStyle w:val="Hyperlink"/>
          <w:rFonts w:eastAsia="MS Gothic"/>
        </w:rPr>
        <w:t>.</w:t>
      </w:r>
    </w:p>
  </w:footnote>
  <w:footnote w:id="4">
    <w:p w14:paraId="5DE0D097" w14:textId="25A195FA" w:rsidR="00B01DC6" w:rsidRDefault="00B01DC6" w:rsidP="003B51F4">
      <w:pPr>
        <w:pStyle w:val="FootnoteText"/>
      </w:pPr>
      <w:r w:rsidRPr="003B51F4">
        <w:rPr>
          <w:rStyle w:val="FootnoteReference"/>
          <w:rFonts w:eastAsia="MS Gothic"/>
        </w:rPr>
        <w:footnoteRef/>
      </w:r>
      <w:r>
        <w:tab/>
        <w:t>This is a rough estimate based on gross (ie, before any rebates or other adjustments) expenditure for medicines used in cancer in the 2019/20 financial year (NZ$237.5 million) and total gross expenditure on medicines in that same year (NZ$1,646.9 million)</w:t>
      </w:r>
      <w:r w:rsidR="00A2003B">
        <w:t>, using figures provided by Pharmac and published in its annual report</w:t>
      </w:r>
      <w:r>
        <w:t xml:space="preserve">. </w:t>
      </w:r>
      <w:r w:rsidR="00D76014">
        <w:t xml:space="preserve">This estimate </w:t>
      </w:r>
      <w:r>
        <w:t xml:space="preserve">may not accurately reflect </w:t>
      </w:r>
      <w:r w:rsidR="00E2722C">
        <w:t xml:space="preserve">the proportion of </w:t>
      </w:r>
      <w:r>
        <w:t>net expenditure. Some medicines are used for cancer and for non-cancer medicines and this can complicate the calculations. Rituximab – which is a high cost medicine that is used for cancer and non-cancer indications was excluded. It is possible that other medicines used for cancer were inadvertently excluded and cancer medicines being used for non-cancer indications were included. Medicines funded via the paediatric cancer treatments pathway were excluded.</w:t>
      </w:r>
    </w:p>
  </w:footnote>
  <w:footnote w:id="5">
    <w:p w14:paraId="14AF1B55" w14:textId="77777777" w:rsidR="00B01DC6" w:rsidRDefault="00B01DC6" w:rsidP="00222AA7">
      <w:pPr>
        <w:pStyle w:val="FootnoteText"/>
      </w:pPr>
      <w:r w:rsidRPr="00222AA7">
        <w:rPr>
          <w:rStyle w:val="FootnoteReference"/>
          <w:rFonts w:eastAsia="MS Gothic"/>
        </w:rPr>
        <w:footnoteRef/>
      </w:r>
      <w:r>
        <w:tab/>
      </w:r>
      <w:r w:rsidRPr="009D3291">
        <w:t>The Institut national d</w:t>
      </w:r>
      <w:r>
        <w:t>’</w:t>
      </w:r>
      <w:r w:rsidRPr="009D3291">
        <w:t>excellence en santé et en services sociaux (INESSS) performs the health technology reviews for Quebec</w:t>
      </w:r>
      <w:r>
        <w:t>.</w:t>
      </w:r>
    </w:p>
  </w:footnote>
  <w:footnote w:id="6">
    <w:p w14:paraId="1CB843A1" w14:textId="77777777" w:rsidR="00B01DC6" w:rsidRDefault="00B01DC6" w:rsidP="00222AA7">
      <w:pPr>
        <w:pStyle w:val="FootnoteText"/>
      </w:pPr>
      <w:r w:rsidRPr="00222AA7">
        <w:rPr>
          <w:rStyle w:val="FootnoteReference"/>
          <w:rFonts w:eastAsia="MS Gothic"/>
        </w:rPr>
        <w:footnoteRef/>
      </w:r>
      <w:r>
        <w:tab/>
        <w:t>The All Wales Medicines Strategy group advises NHS Wales. This group generally follows NICE decisions but can also issue its own guidance.</w:t>
      </w:r>
    </w:p>
  </w:footnote>
  <w:footnote w:id="7">
    <w:p w14:paraId="6407305B" w14:textId="77777777" w:rsidR="00B01DC6" w:rsidRDefault="00B01DC6" w:rsidP="00222AA7">
      <w:pPr>
        <w:pStyle w:val="FootnoteText"/>
      </w:pPr>
      <w:r w:rsidRPr="00222AA7">
        <w:rPr>
          <w:rStyle w:val="FootnoteReference"/>
          <w:rFonts w:eastAsia="MS Gothic"/>
        </w:rPr>
        <w:footnoteRef/>
      </w:r>
      <w:r>
        <w:tab/>
        <w:t>Medicare is the publicly funded universal health care insurance scheme in Australia, operated by the social security section of the Department of Social Services, Australian Government.</w:t>
      </w:r>
    </w:p>
  </w:footnote>
  <w:footnote w:id="8">
    <w:p w14:paraId="02D70E18" w14:textId="77777777" w:rsidR="00B01DC6" w:rsidRDefault="00B01DC6" w:rsidP="00C56A35">
      <w:pPr>
        <w:pStyle w:val="FootnoteText"/>
      </w:pPr>
      <w:r w:rsidRPr="00C56A35">
        <w:rPr>
          <w:rStyle w:val="FootnoteReference"/>
          <w:rFonts w:eastAsia="MS Gothic"/>
        </w:rPr>
        <w:footnoteRef/>
      </w:r>
      <w:r>
        <w:tab/>
        <w:t xml:space="preserve">eviQ is an </w:t>
      </w:r>
      <w:r w:rsidRPr="00047BFC">
        <w:t>online resource of cancer treatment protocols developed by multidisciplinary teams of cancer specialists</w:t>
      </w:r>
      <w:r>
        <w:t xml:space="preserve"> for the Australian Government</w:t>
      </w:r>
      <w:r w:rsidRPr="00047BFC">
        <w:t>.</w:t>
      </w:r>
      <w:r>
        <w:t xml:space="preserve"> </w:t>
      </w:r>
      <w:r w:rsidRPr="00047BFC">
        <w:t xml:space="preserve">eviQ provides evidence-based information </w:t>
      </w:r>
      <w:r>
        <w:t>used routinely by</w:t>
      </w:r>
      <w:r w:rsidRPr="00047BFC">
        <w:t xml:space="preserve"> </w:t>
      </w:r>
      <w:r>
        <w:t xml:space="preserve">Australian </w:t>
      </w:r>
      <w:r w:rsidRPr="00047BFC">
        <w:t>health professionals in the delivery of cancer treatments.</w:t>
      </w:r>
    </w:p>
  </w:footnote>
  <w:footnote w:id="9">
    <w:p w14:paraId="0F446BF0" w14:textId="77777777" w:rsidR="00B01DC6" w:rsidRDefault="00B01DC6" w:rsidP="005E5456">
      <w:pPr>
        <w:pStyle w:val="FootnoteText"/>
      </w:pPr>
      <w:r w:rsidRPr="005E5456">
        <w:rPr>
          <w:rStyle w:val="FootnoteReference"/>
          <w:rFonts w:eastAsia="MS Gothic"/>
        </w:rPr>
        <w:footnoteRef/>
      </w:r>
      <w:r>
        <w:tab/>
        <w:t>An ESMO-MCBS score of A or B indicates a medicine-indication pair associated with substantial clinical benefit and used with curative intent.</w:t>
      </w:r>
      <w:r w:rsidRPr="009435AA">
        <w:t xml:space="preserve"> </w:t>
      </w:r>
      <w:r>
        <w:t>Curative intent treatments are used with the intent of curing the disease. The medicines are usually used in combination with surgery and/or radiotherapy – they are given with the intention of stopping a tumour that was treated from recurring.</w:t>
      </w:r>
    </w:p>
  </w:footnote>
  <w:footnote w:id="10">
    <w:p w14:paraId="4EED9906" w14:textId="77777777" w:rsidR="00B01DC6" w:rsidRDefault="00B01DC6" w:rsidP="005E5456">
      <w:pPr>
        <w:pStyle w:val="FootnoteText"/>
      </w:pPr>
      <w:r w:rsidRPr="005E5456">
        <w:rPr>
          <w:rStyle w:val="FootnoteReference"/>
          <w:rFonts w:eastAsia="MS Gothic"/>
        </w:rPr>
        <w:footnoteRef/>
      </w:r>
      <w:r>
        <w:tab/>
        <w:t>An ESMO-MCBS score of 5 or 4 indicates a medicine-indication pair associated with substantial clinical benefit in the non-curative setting. Non-curative intent treatments are not used with the intent of curing the disease; instead, they are used with the intention of increasing the duration and/or quality of a person’s remaining life living with the cancer. Medicines used in this setting may be used alone, or alongside palliative surgery or radiotherapy.</w:t>
      </w:r>
    </w:p>
  </w:footnote>
  <w:footnote w:id="11">
    <w:p w14:paraId="0C146CED" w14:textId="77777777" w:rsidR="00B01DC6" w:rsidRDefault="00B01DC6" w:rsidP="0065629C">
      <w:pPr>
        <w:pStyle w:val="FootnoteText"/>
      </w:pPr>
      <w:r w:rsidRPr="0065629C">
        <w:rPr>
          <w:rStyle w:val="FootnoteReference"/>
          <w:rFonts w:eastAsia="MS Gothic"/>
        </w:rPr>
        <w:footnoteRef/>
      </w:r>
      <w:r>
        <w:tab/>
        <w:t xml:space="preserve">At time of publication this status had been updated to ‘seeking clinical advice’. See </w:t>
      </w:r>
      <w:hyperlink w:anchor="Appendix_7_Table_7point1" w:history="1">
        <w:r w:rsidRPr="008B3ECF">
          <w:rPr>
            <w:rStyle w:val="Hyperlink"/>
          </w:rPr>
          <w:t>Appendix 7, Table 7.1</w:t>
        </w:r>
      </w:hyperlink>
      <w:r>
        <w:t xml:space="preserve"> for details.</w:t>
      </w:r>
    </w:p>
  </w:footnote>
  <w:footnote w:id="12">
    <w:p w14:paraId="06A3693D" w14:textId="77777777" w:rsidR="00B01DC6" w:rsidRDefault="00B01DC6" w:rsidP="00184030">
      <w:pPr>
        <w:pStyle w:val="FootnoteText"/>
      </w:pPr>
      <w:r w:rsidRPr="00184030">
        <w:rPr>
          <w:rStyle w:val="FootnoteReference"/>
          <w:rFonts w:eastAsia="MS Gothic"/>
        </w:rPr>
        <w:footnoteRef/>
      </w:r>
      <w:r>
        <w:tab/>
        <w:t xml:space="preserve">At time of publication this status had been updated to ‘seeking clinical advice’. See </w:t>
      </w:r>
      <w:hyperlink w:anchor="Appendix_7_Table_7point1" w:history="1">
        <w:r w:rsidRPr="008B3ECF">
          <w:rPr>
            <w:rStyle w:val="Hyperlink"/>
          </w:rPr>
          <w:t>Appendix 7, Table 7.1</w:t>
        </w:r>
      </w:hyperlink>
      <w:r>
        <w:t xml:space="preserve"> for details.</w:t>
      </w:r>
    </w:p>
  </w:footnote>
  <w:footnote w:id="13">
    <w:p w14:paraId="08AF197E" w14:textId="77777777" w:rsidR="00B01DC6" w:rsidRDefault="00B01DC6" w:rsidP="00184030">
      <w:pPr>
        <w:pStyle w:val="FootnoteText"/>
      </w:pPr>
      <w:r w:rsidRPr="00184030">
        <w:rPr>
          <w:rStyle w:val="FootnoteReference"/>
          <w:rFonts w:eastAsia="MS Gothic"/>
        </w:rPr>
        <w:footnoteRef/>
      </w:r>
      <w:r>
        <w:tab/>
        <w:t xml:space="preserve">At time of publication this status had been updated to ‘seeking clinical advice’. See </w:t>
      </w:r>
      <w:hyperlink w:anchor="Appendix_7_Table_7point2" w:history="1">
        <w:r w:rsidRPr="008B3ECF">
          <w:rPr>
            <w:rStyle w:val="Hyperlink"/>
          </w:rPr>
          <w:t>Appendix 7, Table 7.2</w:t>
        </w:r>
      </w:hyperlink>
      <w:r>
        <w:t xml:space="preserve"> for details.</w:t>
      </w:r>
    </w:p>
  </w:footnote>
  <w:footnote w:id="14">
    <w:p w14:paraId="4071B5CA" w14:textId="77777777" w:rsidR="00B01DC6" w:rsidRDefault="00B01DC6" w:rsidP="00184030">
      <w:pPr>
        <w:pStyle w:val="FootnoteText"/>
      </w:pPr>
      <w:r w:rsidRPr="00184030">
        <w:rPr>
          <w:rStyle w:val="FootnoteReference"/>
          <w:rFonts w:eastAsia="MS Gothic"/>
        </w:rPr>
        <w:footnoteRef/>
      </w:r>
      <w:r>
        <w:tab/>
        <w:t xml:space="preserve">At time of publication this status had been updated to ‘seeking clinical advice’. See </w:t>
      </w:r>
      <w:hyperlink w:anchor="Appendix_7_Table_7point2" w:history="1">
        <w:r w:rsidRPr="008B3ECF">
          <w:rPr>
            <w:rStyle w:val="Hyperlink"/>
          </w:rPr>
          <w:t>Appendix 7, Table 7.2</w:t>
        </w:r>
      </w:hyperlink>
      <w:r>
        <w:t xml:space="preserve"> for details.</w:t>
      </w:r>
    </w:p>
  </w:footnote>
  <w:footnote w:id="15">
    <w:p w14:paraId="6557D701" w14:textId="77777777" w:rsidR="00B01DC6" w:rsidRDefault="00B01DC6" w:rsidP="00184030">
      <w:pPr>
        <w:pStyle w:val="FootnoteText"/>
      </w:pPr>
      <w:r w:rsidRPr="00184030">
        <w:rPr>
          <w:rStyle w:val="FootnoteReference"/>
          <w:rFonts w:eastAsia="MS Gothic"/>
        </w:rPr>
        <w:footnoteRef/>
      </w:r>
      <w:r>
        <w:tab/>
        <w:t xml:space="preserve">At time of publication this status had been updated to ‘seeking clinical advice’. See </w:t>
      </w:r>
      <w:hyperlink w:anchor="Appendix_7_Table_7point3" w:history="1">
        <w:r w:rsidRPr="008B3ECF">
          <w:rPr>
            <w:rStyle w:val="Hyperlink"/>
          </w:rPr>
          <w:t>Appendix 7, Table 7.3</w:t>
        </w:r>
      </w:hyperlink>
      <w:r>
        <w:t xml:space="preserve"> for details.</w:t>
      </w:r>
    </w:p>
  </w:footnote>
  <w:footnote w:id="16">
    <w:p w14:paraId="75E02C48" w14:textId="77777777" w:rsidR="00B01DC6" w:rsidRDefault="00B01DC6" w:rsidP="00F64599">
      <w:pPr>
        <w:pStyle w:val="FootnoteText"/>
      </w:pPr>
      <w:r w:rsidRPr="00F64599">
        <w:rPr>
          <w:rStyle w:val="FootnoteReference"/>
          <w:rFonts w:eastAsia="MS Gothic"/>
        </w:rPr>
        <w:footnoteRef/>
      </w:r>
      <w:r>
        <w:tab/>
        <w:t xml:space="preserve">At time of publication this status had been updated to ‘options compared’. See </w:t>
      </w:r>
      <w:hyperlink w:anchor="Appendix_7_Table_7point7" w:history="1">
        <w:r w:rsidRPr="008B3ECF">
          <w:rPr>
            <w:rStyle w:val="Hyperlink"/>
          </w:rPr>
          <w:t>Appendix 7, Table 7.7</w:t>
        </w:r>
      </w:hyperlink>
      <w:r>
        <w:t xml:space="preserve"> for more details.</w:t>
      </w:r>
    </w:p>
  </w:footnote>
  <w:footnote w:id="17">
    <w:p w14:paraId="340FCE14" w14:textId="77777777" w:rsidR="00B01DC6" w:rsidRDefault="00B01DC6" w:rsidP="00F64599">
      <w:pPr>
        <w:pStyle w:val="FootnoteText"/>
      </w:pPr>
      <w:r w:rsidRPr="00F64599">
        <w:rPr>
          <w:rStyle w:val="FootnoteReference"/>
          <w:rFonts w:eastAsia="MS Gothic"/>
        </w:rPr>
        <w:footnoteRef/>
      </w:r>
      <w:r>
        <w:tab/>
        <w:t>Cancers that have spread to the liver from another site are not included as liver cancers, for example, a breast cancer that has spread to the liver is still considered to be a breast cancer rather than liver cancer.</w:t>
      </w:r>
    </w:p>
  </w:footnote>
  <w:footnote w:id="18">
    <w:p w14:paraId="5D619BEC" w14:textId="77777777" w:rsidR="00B01DC6" w:rsidRDefault="00B01DC6" w:rsidP="00F64599">
      <w:pPr>
        <w:pStyle w:val="FootnoteText"/>
      </w:pPr>
      <w:r w:rsidRPr="00F64599">
        <w:rPr>
          <w:rStyle w:val="FootnoteReference"/>
          <w:rFonts w:eastAsia="MS Gothic"/>
        </w:rPr>
        <w:footnoteRef/>
      </w:r>
      <w:r>
        <w:tab/>
        <w:t xml:space="preserve">There are multiple funding applications related to this gap. See </w:t>
      </w:r>
      <w:hyperlink w:anchor="Appendix_7_Table_7point8" w:history="1">
        <w:r w:rsidRPr="008B3ECF">
          <w:rPr>
            <w:rStyle w:val="Hyperlink"/>
          </w:rPr>
          <w:t>Appendix 7, Table 7.8</w:t>
        </w:r>
      </w:hyperlink>
      <w:r>
        <w:t xml:space="preserve"> for more details.</w:t>
      </w:r>
    </w:p>
  </w:footnote>
  <w:footnote w:id="19">
    <w:p w14:paraId="04A79198" w14:textId="77777777" w:rsidR="00B01DC6" w:rsidRDefault="00B01DC6" w:rsidP="00F64599">
      <w:pPr>
        <w:pStyle w:val="FootnoteText"/>
      </w:pPr>
      <w:r w:rsidRPr="00F64599">
        <w:rPr>
          <w:rStyle w:val="FootnoteReference"/>
          <w:rFonts w:eastAsia="MS Gothic"/>
        </w:rPr>
        <w:footnoteRef/>
      </w:r>
      <w:r>
        <w:tab/>
        <w:t xml:space="preserve">At time of publication this status had been updated to ‘decision made’. See </w:t>
      </w:r>
      <w:hyperlink w:anchor="Appendix_7_Table_7point9" w:history="1">
        <w:r w:rsidRPr="008B3ECF">
          <w:rPr>
            <w:rStyle w:val="Hyperlink"/>
          </w:rPr>
          <w:t>Appendix 7, Table 7.9</w:t>
        </w:r>
      </w:hyperlink>
      <w:r>
        <w:t xml:space="preserve"> for more details.</w:t>
      </w:r>
    </w:p>
  </w:footnote>
  <w:footnote w:id="20">
    <w:p w14:paraId="2B891411" w14:textId="77777777" w:rsidR="00B01DC6" w:rsidRDefault="00B01DC6" w:rsidP="002D2FC8">
      <w:pPr>
        <w:pStyle w:val="FootnoteText"/>
      </w:pPr>
      <w:r w:rsidRPr="002D2FC8">
        <w:rPr>
          <w:rStyle w:val="FootnoteReference"/>
          <w:rFonts w:eastAsia="MS Gothic"/>
        </w:rPr>
        <w:footnoteRef/>
      </w:r>
      <w:r>
        <w:tab/>
        <w:t xml:space="preserve">At time of publication this status had been updated to ‘approved for funding’. See </w:t>
      </w:r>
      <w:hyperlink w:anchor="Appendix_7_Table_7point14" w:history="1">
        <w:r w:rsidRPr="00F047DF">
          <w:rPr>
            <w:rStyle w:val="Hyperlink"/>
          </w:rPr>
          <w:t>Appendix 7, Table 7.14</w:t>
        </w:r>
      </w:hyperlink>
      <w:r>
        <w:t xml:space="preserve"> for details.</w:t>
      </w:r>
    </w:p>
  </w:footnote>
  <w:footnote w:id="21">
    <w:p w14:paraId="44D38B38" w14:textId="77777777" w:rsidR="00B01DC6" w:rsidRDefault="00B01DC6" w:rsidP="002D2FC8">
      <w:pPr>
        <w:pStyle w:val="FootnoteText"/>
      </w:pPr>
      <w:r w:rsidRPr="002D2FC8">
        <w:rPr>
          <w:rStyle w:val="FootnoteReference"/>
          <w:rFonts w:eastAsia="MS Gothic"/>
        </w:rPr>
        <w:footnoteRef/>
      </w:r>
      <w:r>
        <w:tab/>
        <w:t xml:space="preserve">At time of publication this status had been updated to ‘seeking clinical advice’. See </w:t>
      </w:r>
      <w:hyperlink w:anchor="Appendix_7_Table_7point15" w:history="1">
        <w:r w:rsidRPr="00F047DF">
          <w:rPr>
            <w:rStyle w:val="Hyperlink"/>
          </w:rPr>
          <w:t>Appendix 7, Table 7.15</w:t>
        </w:r>
      </w:hyperlink>
      <w:r>
        <w:t xml:space="preserve"> for more details.</w:t>
      </w:r>
    </w:p>
  </w:footnote>
  <w:footnote w:id="22">
    <w:p w14:paraId="0290C248" w14:textId="77777777" w:rsidR="00B01DC6" w:rsidRDefault="00B01DC6" w:rsidP="00B537E2">
      <w:pPr>
        <w:pStyle w:val="FootnoteText"/>
      </w:pPr>
      <w:r w:rsidRPr="00B537E2">
        <w:rPr>
          <w:rStyle w:val="FootnoteReference"/>
          <w:rFonts w:eastAsia="MS Gothic"/>
        </w:rPr>
        <w:footnoteRef/>
      </w:r>
      <w:r>
        <w:tab/>
        <w:t xml:space="preserve">At time of publication this status had been updated to ‘under assessment’. See </w:t>
      </w:r>
      <w:hyperlink w:anchor="Appendix_7_Table_7point17" w:history="1">
        <w:r w:rsidRPr="00F047DF">
          <w:rPr>
            <w:rStyle w:val="Hyperlink"/>
          </w:rPr>
          <w:t>Appendix 7, Table 7.17</w:t>
        </w:r>
      </w:hyperlink>
      <w:r>
        <w:t xml:space="preserve"> for more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4043C" w14:textId="77777777" w:rsidR="00B01DC6" w:rsidRPr="005718A6" w:rsidRDefault="00B01DC6">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D1029" w14:textId="77777777" w:rsidR="00B01DC6" w:rsidRDefault="00B01DC6"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6399D" w14:textId="77777777" w:rsidR="00B01DC6" w:rsidRDefault="00B01DC6" w:rsidP="009001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76DF5" w14:textId="7222FECA" w:rsidR="00B01DC6" w:rsidRPr="00F72BDD" w:rsidRDefault="00B01DC6" w:rsidP="00F72B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E7462" w14:textId="77777777" w:rsidR="00B01DC6" w:rsidRDefault="00B01DC6"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EE6AB4"/>
    <w:multiLevelType w:val="hybridMultilevel"/>
    <w:tmpl w:val="73F292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3" w15:restartNumberingAfterBreak="0">
    <w:nsid w:val="2B191E6F"/>
    <w:multiLevelType w:val="hybridMultilevel"/>
    <w:tmpl w:val="87B0E3F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907DF9"/>
    <w:multiLevelType w:val="hybridMultilevel"/>
    <w:tmpl w:val="0BF2A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524618B"/>
    <w:multiLevelType w:val="hybridMultilevel"/>
    <w:tmpl w:val="AD9CE0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B77074C"/>
    <w:multiLevelType w:val="hybridMultilevel"/>
    <w:tmpl w:val="528AF4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9"/>
  </w:num>
  <w:num w:numId="2">
    <w:abstractNumId w:val="4"/>
  </w:num>
  <w:num w:numId="3">
    <w:abstractNumId w:val="5"/>
  </w:num>
  <w:num w:numId="4">
    <w:abstractNumId w:val="2"/>
  </w:num>
  <w:num w:numId="5">
    <w:abstractNumId w:val="0"/>
  </w:num>
  <w:num w:numId="6">
    <w:abstractNumId w:val="1"/>
  </w:num>
  <w:num w:numId="7">
    <w:abstractNumId w:val="8"/>
  </w:num>
  <w:num w:numId="8">
    <w:abstractNumId w:val="7"/>
  </w:num>
  <w:num w:numId="9">
    <w:abstractNumId w:val="3"/>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mirrorMargins/>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6F4"/>
    <w:rsid w:val="000057CE"/>
    <w:rsid w:val="00005BB5"/>
    <w:rsid w:val="0000701A"/>
    <w:rsid w:val="0001108C"/>
    <w:rsid w:val="000144DE"/>
    <w:rsid w:val="000160A2"/>
    <w:rsid w:val="0002011D"/>
    <w:rsid w:val="0002401E"/>
    <w:rsid w:val="00025A6F"/>
    <w:rsid w:val="0002618D"/>
    <w:rsid w:val="00030B26"/>
    <w:rsid w:val="00030E84"/>
    <w:rsid w:val="00032C0A"/>
    <w:rsid w:val="00034701"/>
    <w:rsid w:val="00035257"/>
    <w:rsid w:val="00035D68"/>
    <w:rsid w:val="00036027"/>
    <w:rsid w:val="000374A7"/>
    <w:rsid w:val="000405BF"/>
    <w:rsid w:val="000418FF"/>
    <w:rsid w:val="000419A9"/>
    <w:rsid w:val="00045613"/>
    <w:rsid w:val="00047899"/>
    <w:rsid w:val="00050805"/>
    <w:rsid w:val="00051722"/>
    <w:rsid w:val="00053921"/>
    <w:rsid w:val="00054B44"/>
    <w:rsid w:val="0006006B"/>
    <w:rsid w:val="000613BF"/>
    <w:rsid w:val="0006228D"/>
    <w:rsid w:val="000630B2"/>
    <w:rsid w:val="0006327E"/>
    <w:rsid w:val="00072BD6"/>
    <w:rsid w:val="0007376B"/>
    <w:rsid w:val="00075B78"/>
    <w:rsid w:val="000763E9"/>
    <w:rsid w:val="0008087B"/>
    <w:rsid w:val="00082CD6"/>
    <w:rsid w:val="0008330C"/>
    <w:rsid w:val="0008437D"/>
    <w:rsid w:val="000849F1"/>
    <w:rsid w:val="00085017"/>
    <w:rsid w:val="00085AFE"/>
    <w:rsid w:val="000861AF"/>
    <w:rsid w:val="00086395"/>
    <w:rsid w:val="00087D1B"/>
    <w:rsid w:val="00087F79"/>
    <w:rsid w:val="0009051A"/>
    <w:rsid w:val="000946E5"/>
    <w:rsid w:val="00094800"/>
    <w:rsid w:val="000A0158"/>
    <w:rsid w:val="000A07E7"/>
    <w:rsid w:val="000A08B7"/>
    <w:rsid w:val="000A0E7E"/>
    <w:rsid w:val="000A305C"/>
    <w:rsid w:val="000A373D"/>
    <w:rsid w:val="000A41ED"/>
    <w:rsid w:val="000A58CC"/>
    <w:rsid w:val="000B0730"/>
    <w:rsid w:val="000B21D4"/>
    <w:rsid w:val="000B349F"/>
    <w:rsid w:val="000C1356"/>
    <w:rsid w:val="000C4FBB"/>
    <w:rsid w:val="000D1035"/>
    <w:rsid w:val="000D19F4"/>
    <w:rsid w:val="000D58DD"/>
    <w:rsid w:val="000D707C"/>
    <w:rsid w:val="000D7966"/>
    <w:rsid w:val="000E08B1"/>
    <w:rsid w:val="000E0BD4"/>
    <w:rsid w:val="000E196D"/>
    <w:rsid w:val="000E214A"/>
    <w:rsid w:val="000E34F6"/>
    <w:rsid w:val="000E3A9B"/>
    <w:rsid w:val="000F0BFC"/>
    <w:rsid w:val="000F128A"/>
    <w:rsid w:val="000F1F42"/>
    <w:rsid w:val="000F2AE2"/>
    <w:rsid w:val="000F2BFF"/>
    <w:rsid w:val="001012C4"/>
    <w:rsid w:val="00101990"/>
    <w:rsid w:val="00101E16"/>
    <w:rsid w:val="00102063"/>
    <w:rsid w:val="00102EAC"/>
    <w:rsid w:val="00103072"/>
    <w:rsid w:val="0010541C"/>
    <w:rsid w:val="00105770"/>
    <w:rsid w:val="0010577A"/>
    <w:rsid w:val="00106F93"/>
    <w:rsid w:val="00111D50"/>
    <w:rsid w:val="00113B8E"/>
    <w:rsid w:val="00114465"/>
    <w:rsid w:val="00117F59"/>
    <w:rsid w:val="0012053C"/>
    <w:rsid w:val="00120C4C"/>
    <w:rsid w:val="001217D6"/>
    <w:rsid w:val="00122363"/>
    <w:rsid w:val="001236A0"/>
    <w:rsid w:val="00125D45"/>
    <w:rsid w:val="00126CA5"/>
    <w:rsid w:val="00127BAF"/>
    <w:rsid w:val="00127E59"/>
    <w:rsid w:val="001303D8"/>
    <w:rsid w:val="00133577"/>
    <w:rsid w:val="001342C7"/>
    <w:rsid w:val="001345AF"/>
    <w:rsid w:val="0013585C"/>
    <w:rsid w:val="00137A68"/>
    <w:rsid w:val="0014010C"/>
    <w:rsid w:val="00140808"/>
    <w:rsid w:val="00140C98"/>
    <w:rsid w:val="00142261"/>
    <w:rsid w:val="00142954"/>
    <w:rsid w:val="001431AF"/>
    <w:rsid w:val="00144BA1"/>
    <w:rsid w:val="001460E0"/>
    <w:rsid w:val="001465EA"/>
    <w:rsid w:val="00146705"/>
    <w:rsid w:val="0014708E"/>
    <w:rsid w:val="001472F0"/>
    <w:rsid w:val="001477A1"/>
    <w:rsid w:val="00147F71"/>
    <w:rsid w:val="00150A6E"/>
    <w:rsid w:val="00151328"/>
    <w:rsid w:val="0015586C"/>
    <w:rsid w:val="00160810"/>
    <w:rsid w:val="00160E9E"/>
    <w:rsid w:val="001629EF"/>
    <w:rsid w:val="0016304B"/>
    <w:rsid w:val="0016318F"/>
    <w:rsid w:val="0016468A"/>
    <w:rsid w:val="00165086"/>
    <w:rsid w:val="0016666A"/>
    <w:rsid w:val="0017070E"/>
    <w:rsid w:val="00174C8A"/>
    <w:rsid w:val="00174F02"/>
    <w:rsid w:val="00175BC4"/>
    <w:rsid w:val="001778A5"/>
    <w:rsid w:val="00181CD3"/>
    <w:rsid w:val="0018376C"/>
    <w:rsid w:val="00184030"/>
    <w:rsid w:val="0018662D"/>
    <w:rsid w:val="00187A54"/>
    <w:rsid w:val="00190A75"/>
    <w:rsid w:val="00197427"/>
    <w:rsid w:val="001A02CF"/>
    <w:rsid w:val="001A086A"/>
    <w:rsid w:val="001A0A93"/>
    <w:rsid w:val="001A1BC5"/>
    <w:rsid w:val="001A21B4"/>
    <w:rsid w:val="001A21DE"/>
    <w:rsid w:val="001A5CF5"/>
    <w:rsid w:val="001A729B"/>
    <w:rsid w:val="001A764D"/>
    <w:rsid w:val="001B0073"/>
    <w:rsid w:val="001B0308"/>
    <w:rsid w:val="001B289C"/>
    <w:rsid w:val="001B39D2"/>
    <w:rsid w:val="001B4BF8"/>
    <w:rsid w:val="001B55E4"/>
    <w:rsid w:val="001B66CA"/>
    <w:rsid w:val="001B69D7"/>
    <w:rsid w:val="001B7B14"/>
    <w:rsid w:val="001C0CCD"/>
    <w:rsid w:val="001C0D51"/>
    <w:rsid w:val="001C4326"/>
    <w:rsid w:val="001C665E"/>
    <w:rsid w:val="001C7B51"/>
    <w:rsid w:val="001D2410"/>
    <w:rsid w:val="001D3541"/>
    <w:rsid w:val="001D3E4E"/>
    <w:rsid w:val="001D6664"/>
    <w:rsid w:val="001E0AF7"/>
    <w:rsid w:val="001E254A"/>
    <w:rsid w:val="001E4338"/>
    <w:rsid w:val="001E7335"/>
    <w:rsid w:val="001E7386"/>
    <w:rsid w:val="001E76B6"/>
    <w:rsid w:val="001F00C4"/>
    <w:rsid w:val="001F45A7"/>
    <w:rsid w:val="001F5E27"/>
    <w:rsid w:val="001F7756"/>
    <w:rsid w:val="0020027C"/>
    <w:rsid w:val="00200906"/>
    <w:rsid w:val="00200D8A"/>
    <w:rsid w:val="00201A01"/>
    <w:rsid w:val="0020444B"/>
    <w:rsid w:val="00205FDC"/>
    <w:rsid w:val="0020754B"/>
    <w:rsid w:val="002104D3"/>
    <w:rsid w:val="0021071E"/>
    <w:rsid w:val="00213A33"/>
    <w:rsid w:val="00213A4D"/>
    <w:rsid w:val="002147D2"/>
    <w:rsid w:val="0021763B"/>
    <w:rsid w:val="00217D18"/>
    <w:rsid w:val="0022051B"/>
    <w:rsid w:val="00220FDE"/>
    <w:rsid w:val="00222063"/>
    <w:rsid w:val="00222857"/>
    <w:rsid w:val="00222AA7"/>
    <w:rsid w:val="00225FF1"/>
    <w:rsid w:val="002263A0"/>
    <w:rsid w:val="0023280E"/>
    <w:rsid w:val="00232E9F"/>
    <w:rsid w:val="00236109"/>
    <w:rsid w:val="002433AA"/>
    <w:rsid w:val="00244EE8"/>
    <w:rsid w:val="00245748"/>
    <w:rsid w:val="00246DB1"/>
    <w:rsid w:val="002476B5"/>
    <w:rsid w:val="002506E5"/>
    <w:rsid w:val="00251234"/>
    <w:rsid w:val="002520CC"/>
    <w:rsid w:val="0025243F"/>
    <w:rsid w:val="00252794"/>
    <w:rsid w:val="00253ECF"/>
    <w:rsid w:val="00254044"/>
    <w:rsid w:val="002546A1"/>
    <w:rsid w:val="00255291"/>
    <w:rsid w:val="00255E72"/>
    <w:rsid w:val="0025734B"/>
    <w:rsid w:val="002575E8"/>
    <w:rsid w:val="00257EF1"/>
    <w:rsid w:val="002611E6"/>
    <w:rsid w:val="00261820"/>
    <w:rsid w:val="002628F4"/>
    <w:rsid w:val="002635C9"/>
    <w:rsid w:val="0026411D"/>
    <w:rsid w:val="002669AD"/>
    <w:rsid w:val="0026757E"/>
    <w:rsid w:val="00272509"/>
    <w:rsid w:val="00275D08"/>
    <w:rsid w:val="002764BA"/>
    <w:rsid w:val="00282CBC"/>
    <w:rsid w:val="00283889"/>
    <w:rsid w:val="002839AF"/>
    <w:rsid w:val="00285080"/>
    <w:rsid w:val="00285350"/>
    <w:rsid w:val="002858E3"/>
    <w:rsid w:val="0028610C"/>
    <w:rsid w:val="002862F2"/>
    <w:rsid w:val="00286FF5"/>
    <w:rsid w:val="002909C4"/>
    <w:rsid w:val="00290AF3"/>
    <w:rsid w:val="0029190A"/>
    <w:rsid w:val="00292C5A"/>
    <w:rsid w:val="0029499E"/>
    <w:rsid w:val="00295241"/>
    <w:rsid w:val="002967E7"/>
    <w:rsid w:val="00296E11"/>
    <w:rsid w:val="002A3A61"/>
    <w:rsid w:val="002A4216"/>
    <w:rsid w:val="002A4DFC"/>
    <w:rsid w:val="002A723D"/>
    <w:rsid w:val="002A7A01"/>
    <w:rsid w:val="002B047D"/>
    <w:rsid w:val="002B2FF1"/>
    <w:rsid w:val="002B6313"/>
    <w:rsid w:val="002B732B"/>
    <w:rsid w:val="002B76A7"/>
    <w:rsid w:val="002B7BEC"/>
    <w:rsid w:val="002C124D"/>
    <w:rsid w:val="002C2219"/>
    <w:rsid w:val="002C2552"/>
    <w:rsid w:val="002C380A"/>
    <w:rsid w:val="002C417D"/>
    <w:rsid w:val="002C7955"/>
    <w:rsid w:val="002D0DF2"/>
    <w:rsid w:val="002D22E7"/>
    <w:rsid w:val="002D23BD"/>
    <w:rsid w:val="002D2FC8"/>
    <w:rsid w:val="002E0B47"/>
    <w:rsid w:val="002E421C"/>
    <w:rsid w:val="002E5CAA"/>
    <w:rsid w:val="002F0933"/>
    <w:rsid w:val="002F136F"/>
    <w:rsid w:val="002F35B9"/>
    <w:rsid w:val="002F3A0D"/>
    <w:rsid w:val="002F4685"/>
    <w:rsid w:val="002F5645"/>
    <w:rsid w:val="002F68E9"/>
    <w:rsid w:val="002F7213"/>
    <w:rsid w:val="002F762E"/>
    <w:rsid w:val="003034CD"/>
    <w:rsid w:val="0030382F"/>
    <w:rsid w:val="0030408D"/>
    <w:rsid w:val="00304C2B"/>
    <w:rsid w:val="003056FF"/>
    <w:rsid w:val="003060E4"/>
    <w:rsid w:val="00310574"/>
    <w:rsid w:val="003160E7"/>
    <w:rsid w:val="0031739E"/>
    <w:rsid w:val="00317DA3"/>
    <w:rsid w:val="00321347"/>
    <w:rsid w:val="00321381"/>
    <w:rsid w:val="00322195"/>
    <w:rsid w:val="003235C6"/>
    <w:rsid w:val="003309CA"/>
    <w:rsid w:val="003325AB"/>
    <w:rsid w:val="003332D1"/>
    <w:rsid w:val="00333F5A"/>
    <w:rsid w:val="003340F1"/>
    <w:rsid w:val="0033412B"/>
    <w:rsid w:val="0033448B"/>
    <w:rsid w:val="003348A5"/>
    <w:rsid w:val="00337F80"/>
    <w:rsid w:val="00341161"/>
    <w:rsid w:val="003424DA"/>
    <w:rsid w:val="00343365"/>
    <w:rsid w:val="003445F4"/>
    <w:rsid w:val="0034481B"/>
    <w:rsid w:val="00345651"/>
    <w:rsid w:val="00347916"/>
    <w:rsid w:val="00347962"/>
    <w:rsid w:val="00353501"/>
    <w:rsid w:val="00353734"/>
    <w:rsid w:val="003538D4"/>
    <w:rsid w:val="003573EF"/>
    <w:rsid w:val="003606F8"/>
    <w:rsid w:val="003639A0"/>
    <w:rsid w:val="00364742"/>
    <w:rsid w:val="003648EF"/>
    <w:rsid w:val="003673E6"/>
    <w:rsid w:val="00377115"/>
    <w:rsid w:val="00377264"/>
    <w:rsid w:val="003779D2"/>
    <w:rsid w:val="00382A4D"/>
    <w:rsid w:val="00383EE8"/>
    <w:rsid w:val="003848AC"/>
    <w:rsid w:val="00385E38"/>
    <w:rsid w:val="0038658B"/>
    <w:rsid w:val="00386819"/>
    <w:rsid w:val="00386855"/>
    <w:rsid w:val="003906B4"/>
    <w:rsid w:val="00392168"/>
    <w:rsid w:val="00394761"/>
    <w:rsid w:val="003952F9"/>
    <w:rsid w:val="00397613"/>
    <w:rsid w:val="003A26A5"/>
    <w:rsid w:val="003A2A85"/>
    <w:rsid w:val="003A3761"/>
    <w:rsid w:val="003A4C1F"/>
    <w:rsid w:val="003A4DFA"/>
    <w:rsid w:val="003A512D"/>
    <w:rsid w:val="003A5FDC"/>
    <w:rsid w:val="003A5FEA"/>
    <w:rsid w:val="003A710B"/>
    <w:rsid w:val="003A7303"/>
    <w:rsid w:val="003B0349"/>
    <w:rsid w:val="003B0D8F"/>
    <w:rsid w:val="003B1D10"/>
    <w:rsid w:val="003B4623"/>
    <w:rsid w:val="003B51F4"/>
    <w:rsid w:val="003B67CE"/>
    <w:rsid w:val="003C12F2"/>
    <w:rsid w:val="003C2408"/>
    <w:rsid w:val="003C310C"/>
    <w:rsid w:val="003C76D4"/>
    <w:rsid w:val="003C7D61"/>
    <w:rsid w:val="003D05FB"/>
    <w:rsid w:val="003D137D"/>
    <w:rsid w:val="003D2047"/>
    <w:rsid w:val="003D2CC5"/>
    <w:rsid w:val="003D3E5C"/>
    <w:rsid w:val="003D4C4A"/>
    <w:rsid w:val="003D59BB"/>
    <w:rsid w:val="003D6747"/>
    <w:rsid w:val="003E04C1"/>
    <w:rsid w:val="003E0887"/>
    <w:rsid w:val="003E1098"/>
    <w:rsid w:val="003E61B0"/>
    <w:rsid w:val="003E74C8"/>
    <w:rsid w:val="003E74E2"/>
    <w:rsid w:val="003E7C46"/>
    <w:rsid w:val="003F099E"/>
    <w:rsid w:val="003F2106"/>
    <w:rsid w:val="003F29C5"/>
    <w:rsid w:val="003F398F"/>
    <w:rsid w:val="003F3CB7"/>
    <w:rsid w:val="003F52A7"/>
    <w:rsid w:val="003F7013"/>
    <w:rsid w:val="003F7F6A"/>
    <w:rsid w:val="00401665"/>
    <w:rsid w:val="0040240C"/>
    <w:rsid w:val="00407372"/>
    <w:rsid w:val="00413021"/>
    <w:rsid w:val="00414C35"/>
    <w:rsid w:val="00415698"/>
    <w:rsid w:val="00415964"/>
    <w:rsid w:val="004171B7"/>
    <w:rsid w:val="004301C6"/>
    <w:rsid w:val="0043044C"/>
    <w:rsid w:val="00431244"/>
    <w:rsid w:val="00431844"/>
    <w:rsid w:val="00433424"/>
    <w:rsid w:val="004340B5"/>
    <w:rsid w:val="0043478F"/>
    <w:rsid w:val="00435604"/>
    <w:rsid w:val="00435A7D"/>
    <w:rsid w:val="00435EDB"/>
    <w:rsid w:val="0043602B"/>
    <w:rsid w:val="004367D2"/>
    <w:rsid w:val="004374D1"/>
    <w:rsid w:val="00440BE0"/>
    <w:rsid w:val="00442A06"/>
    <w:rsid w:val="00442C1C"/>
    <w:rsid w:val="00443DDA"/>
    <w:rsid w:val="0044584B"/>
    <w:rsid w:val="00447CB7"/>
    <w:rsid w:val="00450066"/>
    <w:rsid w:val="004513EF"/>
    <w:rsid w:val="00455CC9"/>
    <w:rsid w:val="00460826"/>
    <w:rsid w:val="00460B1E"/>
    <w:rsid w:val="00460EA7"/>
    <w:rsid w:val="0046195B"/>
    <w:rsid w:val="0046362D"/>
    <w:rsid w:val="0046596D"/>
    <w:rsid w:val="00465BD3"/>
    <w:rsid w:val="00472CED"/>
    <w:rsid w:val="00473593"/>
    <w:rsid w:val="00482805"/>
    <w:rsid w:val="00483F53"/>
    <w:rsid w:val="004852AB"/>
    <w:rsid w:val="00487C04"/>
    <w:rsid w:val="004907E1"/>
    <w:rsid w:val="00494A8B"/>
    <w:rsid w:val="00494C8E"/>
    <w:rsid w:val="00496C44"/>
    <w:rsid w:val="004A035B"/>
    <w:rsid w:val="004A2108"/>
    <w:rsid w:val="004A30F7"/>
    <w:rsid w:val="004A38D7"/>
    <w:rsid w:val="004A3C5A"/>
    <w:rsid w:val="004A470F"/>
    <w:rsid w:val="004A52E9"/>
    <w:rsid w:val="004A5B62"/>
    <w:rsid w:val="004A7308"/>
    <w:rsid w:val="004A778C"/>
    <w:rsid w:val="004B0C31"/>
    <w:rsid w:val="004B14DD"/>
    <w:rsid w:val="004B1C04"/>
    <w:rsid w:val="004B320E"/>
    <w:rsid w:val="004B48C7"/>
    <w:rsid w:val="004B6008"/>
    <w:rsid w:val="004B6C14"/>
    <w:rsid w:val="004C2212"/>
    <w:rsid w:val="004C27B5"/>
    <w:rsid w:val="004C2E6A"/>
    <w:rsid w:val="004C64B8"/>
    <w:rsid w:val="004C68BC"/>
    <w:rsid w:val="004C70CB"/>
    <w:rsid w:val="004D2A2D"/>
    <w:rsid w:val="004D479F"/>
    <w:rsid w:val="004D53B5"/>
    <w:rsid w:val="004D6689"/>
    <w:rsid w:val="004E05F5"/>
    <w:rsid w:val="004E1B9A"/>
    <w:rsid w:val="004E1D1D"/>
    <w:rsid w:val="004E3752"/>
    <w:rsid w:val="004E41E8"/>
    <w:rsid w:val="004E7049"/>
    <w:rsid w:val="004E7AC8"/>
    <w:rsid w:val="004F0340"/>
    <w:rsid w:val="004F05F4"/>
    <w:rsid w:val="004F0899"/>
    <w:rsid w:val="004F0C94"/>
    <w:rsid w:val="004F167A"/>
    <w:rsid w:val="004F5602"/>
    <w:rsid w:val="00500117"/>
    <w:rsid w:val="005019AE"/>
    <w:rsid w:val="00503749"/>
    <w:rsid w:val="00503D59"/>
    <w:rsid w:val="00504CF4"/>
    <w:rsid w:val="0050635B"/>
    <w:rsid w:val="005075B3"/>
    <w:rsid w:val="00510DC5"/>
    <w:rsid w:val="00513189"/>
    <w:rsid w:val="0051364F"/>
    <w:rsid w:val="00513A34"/>
    <w:rsid w:val="005151C2"/>
    <w:rsid w:val="005205B8"/>
    <w:rsid w:val="005205F5"/>
    <w:rsid w:val="005218B6"/>
    <w:rsid w:val="00524BB1"/>
    <w:rsid w:val="005275E8"/>
    <w:rsid w:val="005279FC"/>
    <w:rsid w:val="005309FE"/>
    <w:rsid w:val="00530E65"/>
    <w:rsid w:val="0053137E"/>
    <w:rsid w:val="0053199F"/>
    <w:rsid w:val="00531E12"/>
    <w:rsid w:val="00533B90"/>
    <w:rsid w:val="00540AC2"/>
    <w:rsid w:val="005410F8"/>
    <w:rsid w:val="00541E72"/>
    <w:rsid w:val="005448EC"/>
    <w:rsid w:val="00545963"/>
    <w:rsid w:val="00550256"/>
    <w:rsid w:val="005528D9"/>
    <w:rsid w:val="00552B1F"/>
    <w:rsid w:val="00553165"/>
    <w:rsid w:val="00553381"/>
    <w:rsid w:val="00553958"/>
    <w:rsid w:val="00556BB7"/>
    <w:rsid w:val="0055763D"/>
    <w:rsid w:val="00557C9D"/>
    <w:rsid w:val="00560399"/>
    <w:rsid w:val="00561516"/>
    <w:rsid w:val="00562018"/>
    <w:rsid w:val="005621F2"/>
    <w:rsid w:val="005641A4"/>
    <w:rsid w:val="0056499C"/>
    <w:rsid w:val="00567B58"/>
    <w:rsid w:val="00571223"/>
    <w:rsid w:val="005718A6"/>
    <w:rsid w:val="00573548"/>
    <w:rsid w:val="005763E0"/>
    <w:rsid w:val="00577E42"/>
    <w:rsid w:val="00581136"/>
    <w:rsid w:val="00581EB8"/>
    <w:rsid w:val="005839E7"/>
    <w:rsid w:val="0058437F"/>
    <w:rsid w:val="00584EEE"/>
    <w:rsid w:val="005852F2"/>
    <w:rsid w:val="005902D1"/>
    <w:rsid w:val="005909C0"/>
    <w:rsid w:val="00594CCE"/>
    <w:rsid w:val="005A27CA"/>
    <w:rsid w:val="005A43BD"/>
    <w:rsid w:val="005A45D4"/>
    <w:rsid w:val="005A759C"/>
    <w:rsid w:val="005A7669"/>
    <w:rsid w:val="005A79E5"/>
    <w:rsid w:val="005B4085"/>
    <w:rsid w:val="005C32EF"/>
    <w:rsid w:val="005D034C"/>
    <w:rsid w:val="005D2174"/>
    <w:rsid w:val="005D3E59"/>
    <w:rsid w:val="005D41CC"/>
    <w:rsid w:val="005E226E"/>
    <w:rsid w:val="005E2636"/>
    <w:rsid w:val="005E3793"/>
    <w:rsid w:val="005E3CE8"/>
    <w:rsid w:val="005E51C3"/>
    <w:rsid w:val="005E5456"/>
    <w:rsid w:val="005F0478"/>
    <w:rsid w:val="005F12CB"/>
    <w:rsid w:val="005F299B"/>
    <w:rsid w:val="005F47A5"/>
    <w:rsid w:val="00600DC6"/>
    <w:rsid w:val="006015D7"/>
    <w:rsid w:val="00601B21"/>
    <w:rsid w:val="006041F0"/>
    <w:rsid w:val="00605C6D"/>
    <w:rsid w:val="006069E1"/>
    <w:rsid w:val="00607890"/>
    <w:rsid w:val="0061058F"/>
    <w:rsid w:val="006120CA"/>
    <w:rsid w:val="0061443A"/>
    <w:rsid w:val="00624174"/>
    <w:rsid w:val="00625188"/>
    <w:rsid w:val="00626CF8"/>
    <w:rsid w:val="00630E6F"/>
    <w:rsid w:val="00631389"/>
    <w:rsid w:val="006314AF"/>
    <w:rsid w:val="00634003"/>
    <w:rsid w:val="00634ED8"/>
    <w:rsid w:val="00636D7D"/>
    <w:rsid w:val="00637408"/>
    <w:rsid w:val="006427DD"/>
    <w:rsid w:val="00642868"/>
    <w:rsid w:val="00646084"/>
    <w:rsid w:val="00647AFE"/>
    <w:rsid w:val="00650417"/>
    <w:rsid w:val="006512BC"/>
    <w:rsid w:val="00652775"/>
    <w:rsid w:val="00653A5A"/>
    <w:rsid w:val="0065478D"/>
    <w:rsid w:val="006554AC"/>
    <w:rsid w:val="0065629C"/>
    <w:rsid w:val="00656F28"/>
    <w:rsid w:val="006575F4"/>
    <w:rsid w:val="006579E6"/>
    <w:rsid w:val="00660682"/>
    <w:rsid w:val="00660F74"/>
    <w:rsid w:val="00662EBC"/>
    <w:rsid w:val="00663EDC"/>
    <w:rsid w:val="00663EF8"/>
    <w:rsid w:val="00670E78"/>
    <w:rsid w:val="00671078"/>
    <w:rsid w:val="0067152A"/>
    <w:rsid w:val="006758CA"/>
    <w:rsid w:val="00680651"/>
    <w:rsid w:val="00680A04"/>
    <w:rsid w:val="006814E2"/>
    <w:rsid w:val="00683BFE"/>
    <w:rsid w:val="0068532E"/>
    <w:rsid w:val="00686D80"/>
    <w:rsid w:val="0068799C"/>
    <w:rsid w:val="00691418"/>
    <w:rsid w:val="006921EE"/>
    <w:rsid w:val="00694895"/>
    <w:rsid w:val="00697E2E"/>
    <w:rsid w:val="006A25A2"/>
    <w:rsid w:val="006A3B87"/>
    <w:rsid w:val="006A7289"/>
    <w:rsid w:val="006B0A88"/>
    <w:rsid w:val="006B0E73"/>
    <w:rsid w:val="006B1605"/>
    <w:rsid w:val="006B1E3D"/>
    <w:rsid w:val="006B3143"/>
    <w:rsid w:val="006B4A4D"/>
    <w:rsid w:val="006B5695"/>
    <w:rsid w:val="006B62E6"/>
    <w:rsid w:val="006B6C91"/>
    <w:rsid w:val="006B7B2E"/>
    <w:rsid w:val="006C3758"/>
    <w:rsid w:val="006C58D2"/>
    <w:rsid w:val="006C5B05"/>
    <w:rsid w:val="006C78EB"/>
    <w:rsid w:val="006D1660"/>
    <w:rsid w:val="006D252D"/>
    <w:rsid w:val="006D2B22"/>
    <w:rsid w:val="006D445F"/>
    <w:rsid w:val="006D63E5"/>
    <w:rsid w:val="006D7F10"/>
    <w:rsid w:val="006E1753"/>
    <w:rsid w:val="006E2886"/>
    <w:rsid w:val="006E35B0"/>
    <w:rsid w:val="006E3911"/>
    <w:rsid w:val="006E54C0"/>
    <w:rsid w:val="006E60DC"/>
    <w:rsid w:val="006E69F4"/>
    <w:rsid w:val="006F0B1B"/>
    <w:rsid w:val="006F1A1B"/>
    <w:rsid w:val="006F1B67"/>
    <w:rsid w:val="006F1E47"/>
    <w:rsid w:val="006F2DA7"/>
    <w:rsid w:val="006F4D9C"/>
    <w:rsid w:val="006F5CEF"/>
    <w:rsid w:val="006F636F"/>
    <w:rsid w:val="006F66A9"/>
    <w:rsid w:val="0070091D"/>
    <w:rsid w:val="00702854"/>
    <w:rsid w:val="0070746B"/>
    <w:rsid w:val="00712249"/>
    <w:rsid w:val="007152BC"/>
    <w:rsid w:val="0071741C"/>
    <w:rsid w:val="0072116C"/>
    <w:rsid w:val="007228FF"/>
    <w:rsid w:val="00736237"/>
    <w:rsid w:val="007406C6"/>
    <w:rsid w:val="00740E82"/>
    <w:rsid w:val="00742B90"/>
    <w:rsid w:val="0074398A"/>
    <w:rsid w:val="0074434D"/>
    <w:rsid w:val="00746547"/>
    <w:rsid w:val="007511BA"/>
    <w:rsid w:val="00752E53"/>
    <w:rsid w:val="0075336B"/>
    <w:rsid w:val="007552A1"/>
    <w:rsid w:val="00756032"/>
    <w:rsid w:val="007570C4"/>
    <w:rsid w:val="007605B8"/>
    <w:rsid w:val="00760D6B"/>
    <w:rsid w:val="00762DE7"/>
    <w:rsid w:val="00765060"/>
    <w:rsid w:val="0077029C"/>
    <w:rsid w:val="00771B1E"/>
    <w:rsid w:val="00773C95"/>
    <w:rsid w:val="007807DB"/>
    <w:rsid w:val="00780D95"/>
    <w:rsid w:val="0078171E"/>
    <w:rsid w:val="007852B2"/>
    <w:rsid w:val="0078657E"/>
    <w:rsid w:val="0078658E"/>
    <w:rsid w:val="0079145E"/>
    <w:rsid w:val="00791CB9"/>
    <w:rsid w:val="007920E2"/>
    <w:rsid w:val="007927E4"/>
    <w:rsid w:val="0079566E"/>
    <w:rsid w:val="00795B34"/>
    <w:rsid w:val="007971EA"/>
    <w:rsid w:val="007979D9"/>
    <w:rsid w:val="00797D40"/>
    <w:rsid w:val="007A067F"/>
    <w:rsid w:val="007A52B3"/>
    <w:rsid w:val="007A6055"/>
    <w:rsid w:val="007A7479"/>
    <w:rsid w:val="007A7534"/>
    <w:rsid w:val="007B1486"/>
    <w:rsid w:val="007B1770"/>
    <w:rsid w:val="007B1C03"/>
    <w:rsid w:val="007B36AB"/>
    <w:rsid w:val="007B4BC9"/>
    <w:rsid w:val="007B4CC9"/>
    <w:rsid w:val="007B4D3E"/>
    <w:rsid w:val="007B6224"/>
    <w:rsid w:val="007B7C70"/>
    <w:rsid w:val="007B7DEB"/>
    <w:rsid w:val="007C0449"/>
    <w:rsid w:val="007C22BB"/>
    <w:rsid w:val="007C43B6"/>
    <w:rsid w:val="007C7352"/>
    <w:rsid w:val="007D2151"/>
    <w:rsid w:val="007D2157"/>
    <w:rsid w:val="007D2F9B"/>
    <w:rsid w:val="007D3B90"/>
    <w:rsid w:val="007D42CC"/>
    <w:rsid w:val="007D59F5"/>
    <w:rsid w:val="007D5DE4"/>
    <w:rsid w:val="007D7C3A"/>
    <w:rsid w:val="007E0777"/>
    <w:rsid w:val="007E1341"/>
    <w:rsid w:val="007E1B41"/>
    <w:rsid w:val="007E1EC4"/>
    <w:rsid w:val="007E30B9"/>
    <w:rsid w:val="007E5A76"/>
    <w:rsid w:val="007E74F1"/>
    <w:rsid w:val="007F0F0C"/>
    <w:rsid w:val="007F1288"/>
    <w:rsid w:val="007F3E11"/>
    <w:rsid w:val="007F4451"/>
    <w:rsid w:val="007F6A8E"/>
    <w:rsid w:val="00800A8A"/>
    <w:rsid w:val="0080155C"/>
    <w:rsid w:val="00803F4E"/>
    <w:rsid w:val="008052E1"/>
    <w:rsid w:val="00811EEB"/>
    <w:rsid w:val="0081488C"/>
    <w:rsid w:val="008150BB"/>
    <w:rsid w:val="0081682C"/>
    <w:rsid w:val="0082081A"/>
    <w:rsid w:val="0082271C"/>
    <w:rsid w:val="00822F2C"/>
    <w:rsid w:val="00823DEE"/>
    <w:rsid w:val="0082657C"/>
    <w:rsid w:val="00826CA0"/>
    <w:rsid w:val="008305E8"/>
    <w:rsid w:val="00831A78"/>
    <w:rsid w:val="008357DE"/>
    <w:rsid w:val="00836165"/>
    <w:rsid w:val="00836259"/>
    <w:rsid w:val="008365B2"/>
    <w:rsid w:val="00836D00"/>
    <w:rsid w:val="00843580"/>
    <w:rsid w:val="008435D3"/>
    <w:rsid w:val="00843F3C"/>
    <w:rsid w:val="008452B8"/>
    <w:rsid w:val="0084640C"/>
    <w:rsid w:val="008508CA"/>
    <w:rsid w:val="00852C5D"/>
    <w:rsid w:val="0085380A"/>
    <w:rsid w:val="00853FB6"/>
    <w:rsid w:val="00856088"/>
    <w:rsid w:val="008574A1"/>
    <w:rsid w:val="00860826"/>
    <w:rsid w:val="00860E21"/>
    <w:rsid w:val="00860F38"/>
    <w:rsid w:val="00863117"/>
    <w:rsid w:val="0086388B"/>
    <w:rsid w:val="008642E5"/>
    <w:rsid w:val="00864488"/>
    <w:rsid w:val="00867FDF"/>
    <w:rsid w:val="00870A36"/>
    <w:rsid w:val="00872976"/>
    <w:rsid w:val="00872D93"/>
    <w:rsid w:val="00873C04"/>
    <w:rsid w:val="00880470"/>
    <w:rsid w:val="00880D94"/>
    <w:rsid w:val="008814C7"/>
    <w:rsid w:val="008814E8"/>
    <w:rsid w:val="00882875"/>
    <w:rsid w:val="008828FC"/>
    <w:rsid w:val="00883746"/>
    <w:rsid w:val="00886F64"/>
    <w:rsid w:val="0088707A"/>
    <w:rsid w:val="0089085B"/>
    <w:rsid w:val="008915B4"/>
    <w:rsid w:val="008924DE"/>
    <w:rsid w:val="008A0C66"/>
    <w:rsid w:val="008A2C42"/>
    <w:rsid w:val="008A3755"/>
    <w:rsid w:val="008A566B"/>
    <w:rsid w:val="008B19DC"/>
    <w:rsid w:val="008B264F"/>
    <w:rsid w:val="008B3ECF"/>
    <w:rsid w:val="008B6F83"/>
    <w:rsid w:val="008B7FD8"/>
    <w:rsid w:val="008C11AC"/>
    <w:rsid w:val="008C2973"/>
    <w:rsid w:val="008C38CA"/>
    <w:rsid w:val="008C60B1"/>
    <w:rsid w:val="008C6324"/>
    <w:rsid w:val="008C64C4"/>
    <w:rsid w:val="008D10EA"/>
    <w:rsid w:val="008D10F0"/>
    <w:rsid w:val="008D1D30"/>
    <w:rsid w:val="008D2CDD"/>
    <w:rsid w:val="008D4A7C"/>
    <w:rsid w:val="008D74D5"/>
    <w:rsid w:val="008D7C9F"/>
    <w:rsid w:val="008E04BA"/>
    <w:rsid w:val="008E0ED1"/>
    <w:rsid w:val="008E2021"/>
    <w:rsid w:val="008E2083"/>
    <w:rsid w:val="008E222D"/>
    <w:rsid w:val="008E2A8C"/>
    <w:rsid w:val="008E3A07"/>
    <w:rsid w:val="008E537B"/>
    <w:rsid w:val="008E5E61"/>
    <w:rsid w:val="008E6381"/>
    <w:rsid w:val="008F1DD9"/>
    <w:rsid w:val="008F29BE"/>
    <w:rsid w:val="008F4AE5"/>
    <w:rsid w:val="008F51EB"/>
    <w:rsid w:val="008F71BA"/>
    <w:rsid w:val="00900197"/>
    <w:rsid w:val="00901481"/>
    <w:rsid w:val="00902F55"/>
    <w:rsid w:val="00905251"/>
    <w:rsid w:val="0090582B"/>
    <w:rsid w:val="009060C0"/>
    <w:rsid w:val="0091189C"/>
    <w:rsid w:val="00912F7E"/>
    <w:rsid w:val="009133F5"/>
    <w:rsid w:val="009136D8"/>
    <w:rsid w:val="009137D0"/>
    <w:rsid w:val="009171AE"/>
    <w:rsid w:val="0091756F"/>
    <w:rsid w:val="0092043E"/>
    <w:rsid w:val="00920A27"/>
    <w:rsid w:val="00921216"/>
    <w:rsid w:val="009216CC"/>
    <w:rsid w:val="00922E41"/>
    <w:rsid w:val="00924F0B"/>
    <w:rsid w:val="00925892"/>
    <w:rsid w:val="00926083"/>
    <w:rsid w:val="00926333"/>
    <w:rsid w:val="00926D08"/>
    <w:rsid w:val="00927EBE"/>
    <w:rsid w:val="00930D08"/>
    <w:rsid w:val="00931016"/>
    <w:rsid w:val="00931466"/>
    <w:rsid w:val="00931A93"/>
    <w:rsid w:val="00931F6B"/>
    <w:rsid w:val="00932700"/>
    <w:rsid w:val="00932D69"/>
    <w:rsid w:val="009354FD"/>
    <w:rsid w:val="00935589"/>
    <w:rsid w:val="00937408"/>
    <w:rsid w:val="00937EDC"/>
    <w:rsid w:val="009427FA"/>
    <w:rsid w:val="00944647"/>
    <w:rsid w:val="00945BA0"/>
    <w:rsid w:val="009469E2"/>
    <w:rsid w:val="00952995"/>
    <w:rsid w:val="0095565C"/>
    <w:rsid w:val="00961179"/>
    <w:rsid w:val="00964AB6"/>
    <w:rsid w:val="00966F9A"/>
    <w:rsid w:val="009716B3"/>
    <w:rsid w:val="0097281B"/>
    <w:rsid w:val="009755E8"/>
    <w:rsid w:val="009759DA"/>
    <w:rsid w:val="00977B8A"/>
    <w:rsid w:val="0098250B"/>
    <w:rsid w:val="00982971"/>
    <w:rsid w:val="009845AD"/>
    <w:rsid w:val="00984695"/>
    <w:rsid w:val="00984835"/>
    <w:rsid w:val="00991179"/>
    <w:rsid w:val="009933EF"/>
    <w:rsid w:val="009938D4"/>
    <w:rsid w:val="00995053"/>
    <w:rsid w:val="00995BA0"/>
    <w:rsid w:val="009A3240"/>
    <w:rsid w:val="009A418B"/>
    <w:rsid w:val="009A426F"/>
    <w:rsid w:val="009A42D5"/>
    <w:rsid w:val="009A4473"/>
    <w:rsid w:val="009A6872"/>
    <w:rsid w:val="009A76CB"/>
    <w:rsid w:val="009B05C9"/>
    <w:rsid w:val="009B13F7"/>
    <w:rsid w:val="009B1845"/>
    <w:rsid w:val="009B1CBC"/>
    <w:rsid w:val="009B286C"/>
    <w:rsid w:val="009B320B"/>
    <w:rsid w:val="009B6B07"/>
    <w:rsid w:val="009B7439"/>
    <w:rsid w:val="009C151C"/>
    <w:rsid w:val="009C3FDF"/>
    <w:rsid w:val="009C440A"/>
    <w:rsid w:val="009C4DEA"/>
    <w:rsid w:val="009D5125"/>
    <w:rsid w:val="009D5F19"/>
    <w:rsid w:val="009D60B8"/>
    <w:rsid w:val="009D7D4B"/>
    <w:rsid w:val="009E36ED"/>
    <w:rsid w:val="009E3B47"/>
    <w:rsid w:val="009E3C8C"/>
    <w:rsid w:val="009E6B77"/>
    <w:rsid w:val="009E7E00"/>
    <w:rsid w:val="009F2B02"/>
    <w:rsid w:val="009F4124"/>
    <w:rsid w:val="009F4372"/>
    <w:rsid w:val="009F460A"/>
    <w:rsid w:val="009F4C28"/>
    <w:rsid w:val="009F6865"/>
    <w:rsid w:val="00A00C23"/>
    <w:rsid w:val="00A043FB"/>
    <w:rsid w:val="00A04686"/>
    <w:rsid w:val="00A04E14"/>
    <w:rsid w:val="00A06BE4"/>
    <w:rsid w:val="00A0729C"/>
    <w:rsid w:val="00A073CF"/>
    <w:rsid w:val="00A07779"/>
    <w:rsid w:val="00A1166A"/>
    <w:rsid w:val="00A11998"/>
    <w:rsid w:val="00A15F1A"/>
    <w:rsid w:val="00A2003B"/>
    <w:rsid w:val="00A206CA"/>
    <w:rsid w:val="00A20B2E"/>
    <w:rsid w:val="00A216FB"/>
    <w:rsid w:val="00A24B79"/>
    <w:rsid w:val="00A24F33"/>
    <w:rsid w:val="00A25069"/>
    <w:rsid w:val="00A252BD"/>
    <w:rsid w:val="00A26E6B"/>
    <w:rsid w:val="00A300A0"/>
    <w:rsid w:val="00A3068F"/>
    <w:rsid w:val="00A3145B"/>
    <w:rsid w:val="00A322C5"/>
    <w:rsid w:val="00A339D0"/>
    <w:rsid w:val="00A3415C"/>
    <w:rsid w:val="00A359A2"/>
    <w:rsid w:val="00A41002"/>
    <w:rsid w:val="00A416F5"/>
    <w:rsid w:val="00A4201A"/>
    <w:rsid w:val="00A5123C"/>
    <w:rsid w:val="00A51933"/>
    <w:rsid w:val="00A5465D"/>
    <w:rsid w:val="00A553CE"/>
    <w:rsid w:val="00A553DE"/>
    <w:rsid w:val="00A5560D"/>
    <w:rsid w:val="00A55CD3"/>
    <w:rsid w:val="00A5677A"/>
    <w:rsid w:val="00A56DCC"/>
    <w:rsid w:val="00A56E89"/>
    <w:rsid w:val="00A57BBF"/>
    <w:rsid w:val="00A602F9"/>
    <w:rsid w:val="00A60ED1"/>
    <w:rsid w:val="00A61772"/>
    <w:rsid w:val="00A625E8"/>
    <w:rsid w:val="00A63DFF"/>
    <w:rsid w:val="00A64496"/>
    <w:rsid w:val="00A6490D"/>
    <w:rsid w:val="00A66575"/>
    <w:rsid w:val="00A6678E"/>
    <w:rsid w:val="00A67033"/>
    <w:rsid w:val="00A72627"/>
    <w:rsid w:val="00A7415D"/>
    <w:rsid w:val="00A748F9"/>
    <w:rsid w:val="00A764B1"/>
    <w:rsid w:val="00A80363"/>
    <w:rsid w:val="00A80939"/>
    <w:rsid w:val="00A83E9D"/>
    <w:rsid w:val="00A87C05"/>
    <w:rsid w:val="00A9169D"/>
    <w:rsid w:val="00A93598"/>
    <w:rsid w:val="00A93E39"/>
    <w:rsid w:val="00A94FE0"/>
    <w:rsid w:val="00A97A3A"/>
    <w:rsid w:val="00AA0B86"/>
    <w:rsid w:val="00AA14EC"/>
    <w:rsid w:val="00AA240C"/>
    <w:rsid w:val="00AB0332"/>
    <w:rsid w:val="00AB141F"/>
    <w:rsid w:val="00AB2B41"/>
    <w:rsid w:val="00AB3E61"/>
    <w:rsid w:val="00AB4D05"/>
    <w:rsid w:val="00AC101C"/>
    <w:rsid w:val="00AC3339"/>
    <w:rsid w:val="00AC781D"/>
    <w:rsid w:val="00AD05D5"/>
    <w:rsid w:val="00AD36D8"/>
    <w:rsid w:val="00AD4CF1"/>
    <w:rsid w:val="00AD5988"/>
    <w:rsid w:val="00AD6293"/>
    <w:rsid w:val="00AD7B21"/>
    <w:rsid w:val="00AE1643"/>
    <w:rsid w:val="00AE16AF"/>
    <w:rsid w:val="00AE1A38"/>
    <w:rsid w:val="00AE30F8"/>
    <w:rsid w:val="00AE42BA"/>
    <w:rsid w:val="00AF1A99"/>
    <w:rsid w:val="00AF372E"/>
    <w:rsid w:val="00AF3B21"/>
    <w:rsid w:val="00AF7800"/>
    <w:rsid w:val="00B004AC"/>
    <w:rsid w:val="00B00CF5"/>
    <w:rsid w:val="00B0135A"/>
    <w:rsid w:val="00B01DC6"/>
    <w:rsid w:val="00B072E0"/>
    <w:rsid w:val="00B1007E"/>
    <w:rsid w:val="00B12E4F"/>
    <w:rsid w:val="00B135E7"/>
    <w:rsid w:val="00B13C0B"/>
    <w:rsid w:val="00B13D41"/>
    <w:rsid w:val="00B155FD"/>
    <w:rsid w:val="00B15851"/>
    <w:rsid w:val="00B15D78"/>
    <w:rsid w:val="00B16581"/>
    <w:rsid w:val="00B23D87"/>
    <w:rsid w:val="00B24CD4"/>
    <w:rsid w:val="00B253F6"/>
    <w:rsid w:val="00B26675"/>
    <w:rsid w:val="00B305DB"/>
    <w:rsid w:val="00B32D78"/>
    <w:rsid w:val="00B332F8"/>
    <w:rsid w:val="00B3492B"/>
    <w:rsid w:val="00B354B3"/>
    <w:rsid w:val="00B356AF"/>
    <w:rsid w:val="00B40A65"/>
    <w:rsid w:val="00B40BC5"/>
    <w:rsid w:val="00B4213A"/>
    <w:rsid w:val="00B44C72"/>
    <w:rsid w:val="00B4646F"/>
    <w:rsid w:val="00B46E52"/>
    <w:rsid w:val="00B47C82"/>
    <w:rsid w:val="00B50A43"/>
    <w:rsid w:val="00B521E2"/>
    <w:rsid w:val="00B53333"/>
    <w:rsid w:val="00B537E2"/>
    <w:rsid w:val="00B55C7D"/>
    <w:rsid w:val="00B6044B"/>
    <w:rsid w:val="00B63038"/>
    <w:rsid w:val="00B641F2"/>
    <w:rsid w:val="00B64BD8"/>
    <w:rsid w:val="00B64C47"/>
    <w:rsid w:val="00B701D1"/>
    <w:rsid w:val="00B70DA3"/>
    <w:rsid w:val="00B722CA"/>
    <w:rsid w:val="00B73AF2"/>
    <w:rsid w:val="00B73D79"/>
    <w:rsid w:val="00B74D71"/>
    <w:rsid w:val="00B7551A"/>
    <w:rsid w:val="00B75FD5"/>
    <w:rsid w:val="00B773F1"/>
    <w:rsid w:val="00B81992"/>
    <w:rsid w:val="00B8224C"/>
    <w:rsid w:val="00B83E44"/>
    <w:rsid w:val="00B8652E"/>
    <w:rsid w:val="00B86AB1"/>
    <w:rsid w:val="00B87726"/>
    <w:rsid w:val="00B91B22"/>
    <w:rsid w:val="00B92116"/>
    <w:rsid w:val="00B9539D"/>
    <w:rsid w:val="00B97349"/>
    <w:rsid w:val="00B97BE8"/>
    <w:rsid w:val="00BA0E5C"/>
    <w:rsid w:val="00BA7EBA"/>
    <w:rsid w:val="00BB2A06"/>
    <w:rsid w:val="00BB2CBB"/>
    <w:rsid w:val="00BB4198"/>
    <w:rsid w:val="00BC030E"/>
    <w:rsid w:val="00BC03EE"/>
    <w:rsid w:val="00BC3598"/>
    <w:rsid w:val="00BC3F9A"/>
    <w:rsid w:val="00BC59F1"/>
    <w:rsid w:val="00BC7877"/>
    <w:rsid w:val="00BD3644"/>
    <w:rsid w:val="00BD488E"/>
    <w:rsid w:val="00BD61EF"/>
    <w:rsid w:val="00BE398C"/>
    <w:rsid w:val="00BF18F4"/>
    <w:rsid w:val="00BF32E3"/>
    <w:rsid w:val="00BF3DE1"/>
    <w:rsid w:val="00BF4843"/>
    <w:rsid w:val="00BF5205"/>
    <w:rsid w:val="00C05132"/>
    <w:rsid w:val="00C05714"/>
    <w:rsid w:val="00C0745D"/>
    <w:rsid w:val="00C117CA"/>
    <w:rsid w:val="00C12508"/>
    <w:rsid w:val="00C1286A"/>
    <w:rsid w:val="00C14603"/>
    <w:rsid w:val="00C151DF"/>
    <w:rsid w:val="00C17A6D"/>
    <w:rsid w:val="00C2299B"/>
    <w:rsid w:val="00C23728"/>
    <w:rsid w:val="00C242D7"/>
    <w:rsid w:val="00C25681"/>
    <w:rsid w:val="00C26014"/>
    <w:rsid w:val="00C3026C"/>
    <w:rsid w:val="00C313A9"/>
    <w:rsid w:val="00C3362E"/>
    <w:rsid w:val="00C338E8"/>
    <w:rsid w:val="00C347C8"/>
    <w:rsid w:val="00C358E4"/>
    <w:rsid w:val="00C418EE"/>
    <w:rsid w:val="00C441CF"/>
    <w:rsid w:val="00C45AA2"/>
    <w:rsid w:val="00C4792C"/>
    <w:rsid w:val="00C47965"/>
    <w:rsid w:val="00C55BEF"/>
    <w:rsid w:val="00C55EFA"/>
    <w:rsid w:val="00C564ED"/>
    <w:rsid w:val="00C56A35"/>
    <w:rsid w:val="00C57C00"/>
    <w:rsid w:val="00C57CF1"/>
    <w:rsid w:val="00C601AF"/>
    <w:rsid w:val="00C61A63"/>
    <w:rsid w:val="00C63067"/>
    <w:rsid w:val="00C66296"/>
    <w:rsid w:val="00C6634C"/>
    <w:rsid w:val="00C7093C"/>
    <w:rsid w:val="00C70E7F"/>
    <w:rsid w:val="00C737DD"/>
    <w:rsid w:val="00C7394D"/>
    <w:rsid w:val="00C75369"/>
    <w:rsid w:val="00C756B7"/>
    <w:rsid w:val="00C77282"/>
    <w:rsid w:val="00C84DE5"/>
    <w:rsid w:val="00C84F23"/>
    <w:rsid w:val="00C86248"/>
    <w:rsid w:val="00C868F4"/>
    <w:rsid w:val="00C87065"/>
    <w:rsid w:val="00C8762B"/>
    <w:rsid w:val="00C90B31"/>
    <w:rsid w:val="00C91B6C"/>
    <w:rsid w:val="00C94CC1"/>
    <w:rsid w:val="00C97383"/>
    <w:rsid w:val="00CA0D6F"/>
    <w:rsid w:val="00CA4C33"/>
    <w:rsid w:val="00CA6CDD"/>
    <w:rsid w:val="00CA6F4A"/>
    <w:rsid w:val="00CA7268"/>
    <w:rsid w:val="00CA7AD6"/>
    <w:rsid w:val="00CB047A"/>
    <w:rsid w:val="00CB3483"/>
    <w:rsid w:val="00CB3915"/>
    <w:rsid w:val="00CB6427"/>
    <w:rsid w:val="00CC0BED"/>
    <w:rsid w:val="00CC0FBE"/>
    <w:rsid w:val="00CC2220"/>
    <w:rsid w:val="00CC2C63"/>
    <w:rsid w:val="00CC2E8A"/>
    <w:rsid w:val="00CC345D"/>
    <w:rsid w:val="00CC37B9"/>
    <w:rsid w:val="00CC6EA4"/>
    <w:rsid w:val="00CC79AB"/>
    <w:rsid w:val="00CD06EF"/>
    <w:rsid w:val="00CD077C"/>
    <w:rsid w:val="00CD2119"/>
    <w:rsid w:val="00CD237A"/>
    <w:rsid w:val="00CD2654"/>
    <w:rsid w:val="00CD36AC"/>
    <w:rsid w:val="00CD5D33"/>
    <w:rsid w:val="00CD7344"/>
    <w:rsid w:val="00CE0E77"/>
    <w:rsid w:val="00CE13A3"/>
    <w:rsid w:val="00CE1F24"/>
    <w:rsid w:val="00CE2409"/>
    <w:rsid w:val="00CE36BC"/>
    <w:rsid w:val="00CE5715"/>
    <w:rsid w:val="00CF0FBF"/>
    <w:rsid w:val="00CF1747"/>
    <w:rsid w:val="00CF60ED"/>
    <w:rsid w:val="00CF6D57"/>
    <w:rsid w:val="00D02083"/>
    <w:rsid w:val="00D02B4A"/>
    <w:rsid w:val="00D05D74"/>
    <w:rsid w:val="00D10141"/>
    <w:rsid w:val="00D11274"/>
    <w:rsid w:val="00D11341"/>
    <w:rsid w:val="00D143EE"/>
    <w:rsid w:val="00D20C59"/>
    <w:rsid w:val="00D23323"/>
    <w:rsid w:val="00D2392A"/>
    <w:rsid w:val="00D25F36"/>
    <w:rsid w:val="00D25FFE"/>
    <w:rsid w:val="00D26BED"/>
    <w:rsid w:val="00D27922"/>
    <w:rsid w:val="00D27A64"/>
    <w:rsid w:val="00D318FD"/>
    <w:rsid w:val="00D34911"/>
    <w:rsid w:val="00D37D80"/>
    <w:rsid w:val="00D4035C"/>
    <w:rsid w:val="00D405BC"/>
    <w:rsid w:val="00D40B56"/>
    <w:rsid w:val="00D42A68"/>
    <w:rsid w:val="00D43059"/>
    <w:rsid w:val="00D43155"/>
    <w:rsid w:val="00D4390E"/>
    <w:rsid w:val="00D44278"/>
    <w:rsid w:val="00D442F3"/>
    <w:rsid w:val="00D44483"/>
    <w:rsid w:val="00D4476F"/>
    <w:rsid w:val="00D45F68"/>
    <w:rsid w:val="00D47753"/>
    <w:rsid w:val="00D50573"/>
    <w:rsid w:val="00D53103"/>
    <w:rsid w:val="00D54D50"/>
    <w:rsid w:val="00D560B4"/>
    <w:rsid w:val="00D636D1"/>
    <w:rsid w:val="00D650CE"/>
    <w:rsid w:val="00D661F6"/>
    <w:rsid w:val="00D662F8"/>
    <w:rsid w:val="00D66797"/>
    <w:rsid w:val="00D67312"/>
    <w:rsid w:val="00D7087C"/>
    <w:rsid w:val="00D70C3C"/>
    <w:rsid w:val="00D7141B"/>
    <w:rsid w:val="00D71DF7"/>
    <w:rsid w:val="00D72BE5"/>
    <w:rsid w:val="00D72FE1"/>
    <w:rsid w:val="00D7388F"/>
    <w:rsid w:val="00D76014"/>
    <w:rsid w:val="00D8006E"/>
    <w:rsid w:val="00D802F2"/>
    <w:rsid w:val="00D81462"/>
    <w:rsid w:val="00D8167D"/>
    <w:rsid w:val="00D82431"/>
    <w:rsid w:val="00D82F26"/>
    <w:rsid w:val="00D85651"/>
    <w:rsid w:val="00D863D0"/>
    <w:rsid w:val="00D86B00"/>
    <w:rsid w:val="00D86FB9"/>
    <w:rsid w:val="00D87C87"/>
    <w:rsid w:val="00D90BB4"/>
    <w:rsid w:val="00D90E07"/>
    <w:rsid w:val="00D932C2"/>
    <w:rsid w:val="00DA0232"/>
    <w:rsid w:val="00DA12FD"/>
    <w:rsid w:val="00DA1C61"/>
    <w:rsid w:val="00DA7F9E"/>
    <w:rsid w:val="00DB39CF"/>
    <w:rsid w:val="00DB6B4A"/>
    <w:rsid w:val="00DB7256"/>
    <w:rsid w:val="00DC0401"/>
    <w:rsid w:val="00DC20BD"/>
    <w:rsid w:val="00DC5EAE"/>
    <w:rsid w:val="00DD0BCD"/>
    <w:rsid w:val="00DD0C73"/>
    <w:rsid w:val="00DD22E3"/>
    <w:rsid w:val="00DD3818"/>
    <w:rsid w:val="00DD447A"/>
    <w:rsid w:val="00DD789A"/>
    <w:rsid w:val="00DE2860"/>
    <w:rsid w:val="00DE3B20"/>
    <w:rsid w:val="00DE613A"/>
    <w:rsid w:val="00DE6C94"/>
    <w:rsid w:val="00DE6FD7"/>
    <w:rsid w:val="00DE75CB"/>
    <w:rsid w:val="00DF0C7C"/>
    <w:rsid w:val="00DF2F52"/>
    <w:rsid w:val="00DF6F20"/>
    <w:rsid w:val="00E00EE2"/>
    <w:rsid w:val="00E02D24"/>
    <w:rsid w:val="00E04E01"/>
    <w:rsid w:val="00E04EC4"/>
    <w:rsid w:val="00E109F6"/>
    <w:rsid w:val="00E10B18"/>
    <w:rsid w:val="00E16089"/>
    <w:rsid w:val="00E228A4"/>
    <w:rsid w:val="00E23271"/>
    <w:rsid w:val="00E24F80"/>
    <w:rsid w:val="00E259F3"/>
    <w:rsid w:val="00E2722C"/>
    <w:rsid w:val="00E27560"/>
    <w:rsid w:val="00E30985"/>
    <w:rsid w:val="00E323A8"/>
    <w:rsid w:val="00E3322C"/>
    <w:rsid w:val="00E33238"/>
    <w:rsid w:val="00E33934"/>
    <w:rsid w:val="00E376B7"/>
    <w:rsid w:val="00E37FAA"/>
    <w:rsid w:val="00E4256B"/>
    <w:rsid w:val="00E42BB4"/>
    <w:rsid w:val="00E42D94"/>
    <w:rsid w:val="00E42F5D"/>
    <w:rsid w:val="00E4486C"/>
    <w:rsid w:val="00E4522E"/>
    <w:rsid w:val="00E460B6"/>
    <w:rsid w:val="00E511D5"/>
    <w:rsid w:val="00E5192F"/>
    <w:rsid w:val="00E52321"/>
    <w:rsid w:val="00E53043"/>
    <w:rsid w:val="00E53A9F"/>
    <w:rsid w:val="00E57268"/>
    <w:rsid w:val="00E57349"/>
    <w:rsid w:val="00E601A1"/>
    <w:rsid w:val="00E60249"/>
    <w:rsid w:val="00E62238"/>
    <w:rsid w:val="00E6233E"/>
    <w:rsid w:val="00E64219"/>
    <w:rsid w:val="00E65269"/>
    <w:rsid w:val="00E76D66"/>
    <w:rsid w:val="00E77F9C"/>
    <w:rsid w:val="00E96310"/>
    <w:rsid w:val="00EA1B86"/>
    <w:rsid w:val="00EA3AC1"/>
    <w:rsid w:val="00EA5DF1"/>
    <w:rsid w:val="00EA796A"/>
    <w:rsid w:val="00EB1731"/>
    <w:rsid w:val="00EB1856"/>
    <w:rsid w:val="00EB1D1A"/>
    <w:rsid w:val="00EB2EAC"/>
    <w:rsid w:val="00EB3164"/>
    <w:rsid w:val="00EB4AA3"/>
    <w:rsid w:val="00EB5826"/>
    <w:rsid w:val="00EB7A42"/>
    <w:rsid w:val="00EC188E"/>
    <w:rsid w:val="00EC2914"/>
    <w:rsid w:val="00EC2EFB"/>
    <w:rsid w:val="00EC50CE"/>
    <w:rsid w:val="00EC5466"/>
    <w:rsid w:val="00EC5B34"/>
    <w:rsid w:val="00ED021E"/>
    <w:rsid w:val="00ED323C"/>
    <w:rsid w:val="00ED5E03"/>
    <w:rsid w:val="00EE2D5C"/>
    <w:rsid w:val="00EE4ADE"/>
    <w:rsid w:val="00EE4DE8"/>
    <w:rsid w:val="00EE5CB7"/>
    <w:rsid w:val="00EE6ABF"/>
    <w:rsid w:val="00EE723A"/>
    <w:rsid w:val="00EF3CB8"/>
    <w:rsid w:val="00EF5CEE"/>
    <w:rsid w:val="00F000BF"/>
    <w:rsid w:val="00F01812"/>
    <w:rsid w:val="00F024FE"/>
    <w:rsid w:val="00F047DF"/>
    <w:rsid w:val="00F05AD4"/>
    <w:rsid w:val="00F05FF7"/>
    <w:rsid w:val="00F0661F"/>
    <w:rsid w:val="00F103BE"/>
    <w:rsid w:val="00F10CF0"/>
    <w:rsid w:val="00F10EB6"/>
    <w:rsid w:val="00F13F07"/>
    <w:rsid w:val="00F140B2"/>
    <w:rsid w:val="00F14B70"/>
    <w:rsid w:val="00F16595"/>
    <w:rsid w:val="00F1758B"/>
    <w:rsid w:val="00F25970"/>
    <w:rsid w:val="00F27FD5"/>
    <w:rsid w:val="00F311A9"/>
    <w:rsid w:val="00F31343"/>
    <w:rsid w:val="00F34187"/>
    <w:rsid w:val="00F34351"/>
    <w:rsid w:val="00F358CE"/>
    <w:rsid w:val="00F358EC"/>
    <w:rsid w:val="00F37381"/>
    <w:rsid w:val="00F37DC9"/>
    <w:rsid w:val="00F41E5F"/>
    <w:rsid w:val="00F42C6C"/>
    <w:rsid w:val="00F44F09"/>
    <w:rsid w:val="00F475B0"/>
    <w:rsid w:val="00F5180D"/>
    <w:rsid w:val="00F53CD0"/>
    <w:rsid w:val="00F54E74"/>
    <w:rsid w:val="00F5600A"/>
    <w:rsid w:val="00F572E4"/>
    <w:rsid w:val="00F57F4D"/>
    <w:rsid w:val="00F62F6D"/>
    <w:rsid w:val="00F63781"/>
    <w:rsid w:val="00F63F0F"/>
    <w:rsid w:val="00F64599"/>
    <w:rsid w:val="00F656FD"/>
    <w:rsid w:val="00F67052"/>
    <w:rsid w:val="00F67496"/>
    <w:rsid w:val="00F67848"/>
    <w:rsid w:val="00F717F4"/>
    <w:rsid w:val="00F71FCD"/>
    <w:rsid w:val="00F72BDD"/>
    <w:rsid w:val="00F7421E"/>
    <w:rsid w:val="00F7495B"/>
    <w:rsid w:val="00F801BA"/>
    <w:rsid w:val="00F807AD"/>
    <w:rsid w:val="00F82F18"/>
    <w:rsid w:val="00F8353F"/>
    <w:rsid w:val="00F9366A"/>
    <w:rsid w:val="00F946C9"/>
    <w:rsid w:val="00F97005"/>
    <w:rsid w:val="00FA0EA5"/>
    <w:rsid w:val="00FA3392"/>
    <w:rsid w:val="00FA4813"/>
    <w:rsid w:val="00FA66F0"/>
    <w:rsid w:val="00FA68C7"/>
    <w:rsid w:val="00FA74EE"/>
    <w:rsid w:val="00FA7EAA"/>
    <w:rsid w:val="00FB0A5B"/>
    <w:rsid w:val="00FB1B8E"/>
    <w:rsid w:val="00FC196E"/>
    <w:rsid w:val="00FC3711"/>
    <w:rsid w:val="00FC4364"/>
    <w:rsid w:val="00FC46E7"/>
    <w:rsid w:val="00FC5D25"/>
    <w:rsid w:val="00FC6064"/>
    <w:rsid w:val="00FD0A3F"/>
    <w:rsid w:val="00FD0D7E"/>
    <w:rsid w:val="00FD16C4"/>
    <w:rsid w:val="00FD362F"/>
    <w:rsid w:val="00FD4789"/>
    <w:rsid w:val="00FD47FE"/>
    <w:rsid w:val="00FD4FFB"/>
    <w:rsid w:val="00FE022F"/>
    <w:rsid w:val="00FE1139"/>
    <w:rsid w:val="00FE120C"/>
    <w:rsid w:val="00FE3810"/>
    <w:rsid w:val="00FE6E13"/>
    <w:rsid w:val="00FE7D38"/>
    <w:rsid w:val="00FE7FCB"/>
    <w:rsid w:val="00FF15F6"/>
    <w:rsid w:val="00FF26F8"/>
    <w:rsid w:val="00FF45A8"/>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00A4C"/>
  <w15:docId w15:val="{C8862C96-0219-4233-9DA8-20BCE804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E5F"/>
    <w:pPr>
      <w:spacing w:line="264" w:lineRule="auto"/>
    </w:pPr>
    <w:rPr>
      <w:rFonts w:ascii="Fira Sans" w:hAnsi="Fira Sans"/>
      <w:lang w:eastAsia="en-GB"/>
    </w:rPr>
  </w:style>
  <w:style w:type="paragraph" w:styleId="Heading1">
    <w:name w:val="heading 1"/>
    <w:basedOn w:val="Normal"/>
    <w:next w:val="Normal"/>
    <w:link w:val="Heading1Char"/>
    <w:uiPriority w:val="9"/>
    <w:qFormat/>
    <w:rsid w:val="00D34911"/>
    <w:pPr>
      <w:pageBreakBefore/>
      <w:spacing w:after="360"/>
      <w:outlineLvl w:val="0"/>
    </w:pPr>
    <w:rPr>
      <w:b/>
      <w:caps/>
      <w:color w:val="2C463B"/>
      <w:spacing w:val="-10"/>
      <w:sz w:val="58"/>
    </w:rPr>
  </w:style>
  <w:style w:type="paragraph" w:styleId="Heading2">
    <w:name w:val="heading 2"/>
    <w:basedOn w:val="Normal"/>
    <w:next w:val="Normal"/>
    <w:link w:val="Heading2Char"/>
    <w:uiPriority w:val="9"/>
    <w:qFormat/>
    <w:rsid w:val="005A759C"/>
    <w:pPr>
      <w:keepNext/>
      <w:spacing w:before="480" w:after="180"/>
      <w:outlineLvl w:val="1"/>
    </w:pPr>
    <w:rPr>
      <w:rFonts w:ascii="Montserrat" w:hAnsi="Montserrat"/>
      <w:b/>
      <w:color w:val="2C463B"/>
      <w:spacing w:val="-5"/>
      <w:sz w:val="40"/>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4911"/>
    <w:rPr>
      <w:rFonts w:ascii="Fira Sans" w:hAnsi="Fira Sans"/>
      <w:b/>
      <w:caps/>
      <w:color w:val="2C463B"/>
      <w:spacing w:val="-10"/>
      <w:sz w:val="58"/>
      <w:lang w:eastAsia="en-GB"/>
    </w:rPr>
  </w:style>
  <w:style w:type="character" w:customStyle="1" w:styleId="Heading2Char">
    <w:name w:val="Heading 2 Char"/>
    <w:link w:val="Heading2"/>
    <w:uiPriority w:val="9"/>
    <w:rsid w:val="005A759C"/>
    <w:rPr>
      <w:rFonts w:ascii="Montserrat" w:hAnsi="Montserrat"/>
      <w:b/>
      <w:color w:val="2C463B"/>
      <w:spacing w:val="-5"/>
      <w:sz w:val="40"/>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uiPriority w:val="99"/>
    <w:qFormat/>
    <w:rsid w:val="00FA0EA5"/>
    <w:pPr>
      <w:numPr>
        <w:numId w:val="1"/>
      </w:numPr>
      <w:tabs>
        <w:tab w:val="clear" w:pos="284"/>
      </w:tabs>
      <w:spacing w:before="90"/>
    </w:pPr>
  </w:style>
  <w:style w:type="character" w:customStyle="1" w:styleId="BulletChar">
    <w:name w:val="Bullet Char"/>
    <w:link w:val="Bullet"/>
    <w:uiPriority w:val="99"/>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184030"/>
    <w:pPr>
      <w:spacing w:before="80"/>
      <w:ind w:left="284" w:hanging="284"/>
    </w:pPr>
    <w:rPr>
      <w:sz w:val="17"/>
    </w:rPr>
  </w:style>
  <w:style w:type="character" w:customStyle="1" w:styleId="NoteChar">
    <w:name w:val="Note Char"/>
    <w:link w:val="Note"/>
    <w:rsid w:val="00184030"/>
    <w:rPr>
      <w:rFonts w:ascii="Fira Sans" w:hAnsi="Fira Sans"/>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uiPriority w:val="3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customStyle="1" w:styleId="Part">
    <w:name w:val="Part"/>
    <w:basedOn w:val="Normal"/>
    <w:qFormat/>
    <w:rsid w:val="0067152A"/>
    <w:pPr>
      <w:spacing w:before="360"/>
    </w:pPr>
    <w:rPr>
      <w:color w:val="2C463B"/>
      <w:sz w:val="46"/>
      <w:lang w:eastAsia="en-NZ"/>
    </w:rPr>
  </w:style>
  <w:style w:type="character" w:styleId="FollowedHyperlink">
    <w:name w:val="FollowedHyperlink"/>
    <w:basedOn w:val="DefaultParagraphFont"/>
    <w:uiPriority w:val="99"/>
    <w:semiHidden/>
    <w:unhideWhenUsed/>
    <w:rsid w:val="00F41E5F"/>
    <w:rPr>
      <w:b/>
      <w:color w:val="595959" w:themeColor="text1" w:themeTint="A6"/>
      <w:u w:val="none"/>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Fira Sans" w:hAnsi="Fira Sans"/>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E54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56"/>
    <w:rPr>
      <w:rFonts w:ascii="Tahoma" w:hAnsi="Tahoma" w:cs="Tahoma"/>
      <w:sz w:val="16"/>
      <w:szCs w:val="16"/>
      <w:lang w:eastAsia="en-GB"/>
    </w:rPr>
  </w:style>
  <w:style w:type="paragraph" w:styleId="CommentSubject">
    <w:name w:val="annotation subject"/>
    <w:basedOn w:val="CommentText"/>
    <w:next w:val="CommentText"/>
    <w:link w:val="CommentSubjectChar"/>
    <w:uiPriority w:val="99"/>
    <w:semiHidden/>
    <w:unhideWhenUsed/>
    <w:rsid w:val="00472CED"/>
    <w:rPr>
      <w:b/>
      <w:bCs/>
    </w:rPr>
  </w:style>
  <w:style w:type="character" w:customStyle="1" w:styleId="CommentSubjectChar">
    <w:name w:val="Comment Subject Char"/>
    <w:basedOn w:val="CommentTextChar"/>
    <w:link w:val="CommentSubject"/>
    <w:uiPriority w:val="99"/>
    <w:semiHidden/>
    <w:rsid w:val="00472CED"/>
    <w:rPr>
      <w:rFonts w:ascii="Fira Sans" w:hAnsi="Fira Sans"/>
      <w:b/>
      <w:bCs/>
      <w:lang w:eastAsia="en-GB"/>
    </w:rPr>
  </w:style>
  <w:style w:type="character" w:styleId="UnresolvedMention">
    <w:name w:val="Unresolved Mention"/>
    <w:basedOn w:val="DefaultParagraphFont"/>
    <w:uiPriority w:val="99"/>
    <w:unhideWhenUsed/>
    <w:rsid w:val="00472CED"/>
    <w:rPr>
      <w:color w:val="605E5C"/>
      <w:shd w:val="clear" w:color="auto" w:fill="E1DFDD"/>
    </w:rPr>
  </w:style>
  <w:style w:type="character" w:styleId="Mention">
    <w:name w:val="Mention"/>
    <w:basedOn w:val="DefaultParagraphFont"/>
    <w:uiPriority w:val="99"/>
    <w:unhideWhenUsed/>
    <w:rsid w:val="00472C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hyperlink" Target="http://www.esmo.org/guidelines/esmo-mcbs/esmo-mcbs-scorecards/scorecard-174-1" TargetMode="External"/><Relationship Id="rId21" Type="http://schemas.openxmlformats.org/officeDocument/2006/relationships/footer" Target="footer3.xml"/><Relationship Id="rId42" Type="http://schemas.openxmlformats.org/officeDocument/2006/relationships/hyperlink" Target="https://nzf.org.nz/regimens" TargetMode="External"/><Relationship Id="rId47" Type="http://schemas.openxmlformats.org/officeDocument/2006/relationships/hyperlink" Target="https://connect.pharmac.govt.nz/apptracker/s/application-public/a102P00000BLLor/p001721" TargetMode="External"/><Relationship Id="rId63" Type="http://schemas.openxmlformats.org/officeDocument/2006/relationships/hyperlink" Target="https://connect.pharmac.govt.nz/apptracker/s/application-public/a102P000008pua9/p001248" TargetMode="External"/><Relationship Id="rId68" Type="http://schemas.openxmlformats.org/officeDocument/2006/relationships/hyperlink" Target="https://connect.pharmac.govt.nz/apptracker/s/application-public/a102P000009sDbV/p001524" TargetMode="External"/><Relationship Id="rId84" Type="http://schemas.openxmlformats.org/officeDocument/2006/relationships/hyperlink" Target="http://www.esmo.org/guidelines/esmo-mcbs/esmo-mcbs-scorecards/scorecard-126-1" TargetMode="External"/><Relationship Id="rId89" Type="http://schemas.openxmlformats.org/officeDocument/2006/relationships/hyperlink" Target="https://connect.pharmac.govt.nz/apptracker/s/application-public/a102P000009sG55/p001526" TargetMode="External"/><Relationship Id="rId112" Type="http://schemas.openxmlformats.org/officeDocument/2006/relationships/hyperlink" Target="http://www.esmo.org/guidelines/esmo-mcbs/esmo-mcbs-scorecards/scorecard-144-1" TargetMode="External"/><Relationship Id="rId133" Type="http://schemas.openxmlformats.org/officeDocument/2006/relationships/hyperlink" Target="https://pharmac.govt.nz/assets/2021-07-Catsop_record.pdf" TargetMode="External"/><Relationship Id="rId138" Type="http://schemas.openxmlformats.org/officeDocument/2006/relationships/hyperlink" Target="https://ihe.se/en/publicering/cancer-drug-spending-in-asia-pacific/" TargetMode="External"/><Relationship Id="rId154" Type="http://schemas.openxmlformats.org/officeDocument/2006/relationships/hyperlink" Target="https://pharmac.govt.nz/medicine-funding-and-supply/the-funding-process/priority-lists/" TargetMode="External"/><Relationship Id="rId159" Type="http://schemas.openxmlformats.org/officeDocument/2006/relationships/hyperlink" Target="https://doi.org/10.1056/NEJMp048143" TargetMode="External"/><Relationship Id="rId170" Type="http://schemas.openxmlformats.org/officeDocument/2006/relationships/footer" Target="footer10.xml"/><Relationship Id="rId16" Type="http://schemas.openxmlformats.org/officeDocument/2006/relationships/footer" Target="footer1.xml"/><Relationship Id="rId107" Type="http://schemas.openxmlformats.org/officeDocument/2006/relationships/hyperlink" Target="https://connect.pharmac.govt.nz/apptracker/s/application-public/a102P000008pu4I/p000543" TargetMode="External"/><Relationship Id="rId11" Type="http://schemas.openxmlformats.org/officeDocument/2006/relationships/image" Target="media/image1.jpeg"/><Relationship Id="rId32" Type="http://schemas.openxmlformats.org/officeDocument/2006/relationships/hyperlink" Target="https://schedule.pharmac.govt.nz/ScheduleOnline.php" TargetMode="External"/><Relationship Id="rId37" Type="http://schemas.openxmlformats.org/officeDocument/2006/relationships/hyperlink" Target="http://www.eviq.org.au/" TargetMode="External"/><Relationship Id="rId53" Type="http://schemas.openxmlformats.org/officeDocument/2006/relationships/hyperlink" Target="https://connect.pharmac.govt.nz/apptracker/s/application-public/a102P000008puET/p000806" TargetMode="External"/><Relationship Id="rId58" Type="http://schemas.openxmlformats.org/officeDocument/2006/relationships/hyperlink" Target="https://connect.pharmac.govt.nz/apptracker/s/application-public/a102P00000AaVR6/p001598" TargetMode="External"/><Relationship Id="rId74" Type="http://schemas.openxmlformats.org/officeDocument/2006/relationships/hyperlink" Target="https://connect.pharmac.govt.nz/apptracker/s/application-public/a102P000009sDbV/p001524" TargetMode="External"/><Relationship Id="rId79" Type="http://schemas.openxmlformats.org/officeDocument/2006/relationships/hyperlink" Target="http://www.esmo.org/guidelines/esmo-mcbs/esmo-mcbs-scorecards/scorecard-155-1" TargetMode="External"/><Relationship Id="rId102" Type="http://schemas.openxmlformats.org/officeDocument/2006/relationships/hyperlink" Target="https://connect.pharmac.govt.nz/apptracker/s/application-public/a102P000008pttC/p000175" TargetMode="External"/><Relationship Id="rId123" Type="http://schemas.openxmlformats.org/officeDocument/2006/relationships/hyperlink" Target="http://www.esmo.org/guidelines/esmo-mcbs/esmo-mcbs-scorecards/scorecard-88-1" TargetMode="External"/><Relationship Id="rId128" Type="http://schemas.openxmlformats.org/officeDocument/2006/relationships/hyperlink" Target="http://www.eviq.org.au/search?searchtext=cyclophosphamide" TargetMode="External"/><Relationship Id="rId144" Type="http://schemas.openxmlformats.org/officeDocument/2006/relationships/hyperlink" Target="http://www.health.govt.nz/about-ministry/what-we-do/work-programme-2019-20/achieving-equity" TargetMode="External"/><Relationship Id="rId149" Type="http://schemas.openxmlformats.org/officeDocument/2006/relationships/hyperlink" Target="https://doi.org/10.1158/1078-0432.Ccr-09-0344" TargetMode="External"/><Relationship Id="rId5" Type="http://schemas.openxmlformats.org/officeDocument/2006/relationships/numbering" Target="numbering.xml"/><Relationship Id="rId90" Type="http://schemas.openxmlformats.org/officeDocument/2006/relationships/hyperlink" Target="http://www.esmo.org/guidelines/esmo-mcbs/esmo-mcbs-scorecards/scorecard-123-1" TargetMode="External"/><Relationship Id="rId95" Type="http://schemas.openxmlformats.org/officeDocument/2006/relationships/hyperlink" Target="https://connect.pharmac.govt.nz/apptracker/s/application-public/a102P00000AlzxU/p001618" TargetMode="External"/><Relationship Id="rId160" Type="http://schemas.openxmlformats.org/officeDocument/2006/relationships/hyperlink" Target="http://www.health.govt.nz/system/files/documents/publications/cancer-trends-survival-ethnic-socioeconomic-1991-2004_1.pdf" TargetMode="External"/><Relationship Id="rId165" Type="http://schemas.openxmlformats.org/officeDocument/2006/relationships/hyperlink" Target="https://forms.justice.govt.nz/search/Documents/WT/wt_DOC_152801817/Hauora%20W.pdf" TargetMode="External"/><Relationship Id="rId22" Type="http://schemas.openxmlformats.org/officeDocument/2006/relationships/footer" Target="footer4.xml"/><Relationship Id="rId27" Type="http://schemas.openxmlformats.org/officeDocument/2006/relationships/footer" Target="footer7.xml"/><Relationship Id="rId43" Type="http://schemas.openxmlformats.org/officeDocument/2006/relationships/hyperlink" Target="http://www.eviq.org.au/" TargetMode="External"/><Relationship Id="rId48" Type="http://schemas.openxmlformats.org/officeDocument/2006/relationships/hyperlink" Target="https://connect.pharmac.govt.nz/apptracker/s/application-public/a102P00000BEvHl/p001678" TargetMode="External"/><Relationship Id="rId64" Type="http://schemas.openxmlformats.org/officeDocument/2006/relationships/hyperlink" Target="https://connect.pharmac.govt.nz/apptracker/s/application-public/a102P000008ptqe/p000072" TargetMode="External"/><Relationship Id="rId69" Type="http://schemas.openxmlformats.org/officeDocument/2006/relationships/hyperlink" Target="https://connect.pharmac.govt.nz/apptracker/s/application-public/a102P00000BLKJl/p001718" TargetMode="External"/><Relationship Id="rId113" Type="http://schemas.openxmlformats.org/officeDocument/2006/relationships/hyperlink" Target="https://connect.pharmac.govt.nz/apptracker/s/application-public/a102P000008pufP/p001366" TargetMode="External"/><Relationship Id="rId118" Type="http://schemas.openxmlformats.org/officeDocument/2006/relationships/hyperlink" Target="http://www.esmo.org/guidelines/esmo-mcbs/esmo-mcbs-scorecards/scorecard-173-1" TargetMode="External"/><Relationship Id="rId134" Type="http://schemas.openxmlformats.org/officeDocument/2006/relationships/hyperlink" Target="http://www.cdc.gov/nchs/data/nhis/earlyrelease/insur202108-508.pdf" TargetMode="External"/><Relationship Id="rId139" Type="http://schemas.openxmlformats.org/officeDocument/2006/relationships/hyperlink" Target="http://www.fmhs.auckland.ac.nz/assets/fmhs/sms/ctnz/docs/THE%20PIPER%20PROJECT%20Final%20deliverable%20report%207%20August%202015%20(HRC%2011_764%20FINDLAY).pdf" TargetMode="External"/><Relationship Id="rId80" Type="http://schemas.openxmlformats.org/officeDocument/2006/relationships/hyperlink" Target="http://www.esmo.org/guidelines/esmo-mcbs/esmo-mcbs-scorecards/scorecard-257-1" TargetMode="External"/><Relationship Id="rId85" Type="http://schemas.openxmlformats.org/officeDocument/2006/relationships/hyperlink" Target="http://www.esmo.org/guidelines/esmo-mcbs/esmo-mcbs-scorecards/scorecard-56-1" TargetMode="External"/><Relationship Id="rId150" Type="http://schemas.openxmlformats.org/officeDocument/2006/relationships/hyperlink" Target="https://pharmac.govt.nz/medicine-funding-and-supply/the-funding-process/from-application-to-funded-medicine-how-we-fund-a-medicine/cancer-medicine-funding-parallel-assessment/" TargetMode="External"/><Relationship Id="rId155" Type="http://schemas.openxmlformats.org/officeDocument/2006/relationships/hyperlink" Target="https://pharmac.govt.nz/medicine-funding-and-supply/the-funding-process/setting-and-managing-the-combined-pharmaceutical-budget-cpb/" TargetMode="External"/><Relationship Id="rId171"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footer" Target="footer2.xml"/><Relationship Id="rId33" Type="http://schemas.openxmlformats.org/officeDocument/2006/relationships/hyperlink" Target="https://schedule.pharmac.govt.nz/HMLOnline.php" TargetMode="External"/><Relationship Id="rId38" Type="http://schemas.openxmlformats.org/officeDocument/2006/relationships/hyperlink" Target="http://www.medsafe.govt.nz/Medicines/infoSearch.asp" TargetMode="External"/><Relationship Id="rId59" Type="http://schemas.openxmlformats.org/officeDocument/2006/relationships/hyperlink" Target="https://connect.pharmac.govt.nz/apptracker/s/application-public/a102P00000AaVRQ/p001599" TargetMode="External"/><Relationship Id="rId103" Type="http://schemas.openxmlformats.org/officeDocument/2006/relationships/hyperlink" Target="http://www.esmo.org/guidelines/esmo-mcbs/esmo-mcbs-scorecards/scorecard-18-1" TargetMode="External"/><Relationship Id="rId108" Type="http://schemas.openxmlformats.org/officeDocument/2006/relationships/hyperlink" Target="http://www.esmo.org/guidelines/esmo-mcbs/esmo-mcbs-scorecards/scorecard-104-1" TargetMode="External"/><Relationship Id="rId124" Type="http://schemas.openxmlformats.org/officeDocument/2006/relationships/hyperlink" Target="http://www.pbs.gov.au/pbs/home" TargetMode="External"/><Relationship Id="rId129" Type="http://schemas.openxmlformats.org/officeDocument/2006/relationships/hyperlink" Target="http://www.eviq.org.au/medical-oncology/melanoma/non-melanoma/3410-basal-cell-carcinoma-locally-advanced-or-meta" TargetMode="External"/><Relationship Id="rId54" Type="http://schemas.openxmlformats.org/officeDocument/2006/relationships/hyperlink" Target="https://connect.pharmac.govt.nz/apptracker/s/application-public/a102P000008pug4" TargetMode="External"/><Relationship Id="rId70" Type="http://schemas.openxmlformats.org/officeDocument/2006/relationships/hyperlink" Target="https://connect.pharmac.govt.nz/apptracker/s/application-public/a102P00000BLKJv/p001719" TargetMode="External"/><Relationship Id="rId75" Type="http://schemas.openxmlformats.org/officeDocument/2006/relationships/hyperlink" Target="http://www.health.gov.on.ca/en/pro/programs/drugs/funded_drug/funded_drug.aspx" TargetMode="External"/><Relationship Id="rId91" Type="http://schemas.openxmlformats.org/officeDocument/2006/relationships/hyperlink" Target="https://connect.pharmac.govt.nz/apptracker/s/application-public/a102P000008ptxm/p000329" TargetMode="External"/><Relationship Id="rId96" Type="http://schemas.openxmlformats.org/officeDocument/2006/relationships/hyperlink" Target="http://www.esmo.org/guidelines/esmo-mcbs/esmo-mcbs-scorecards/scorecard-215-1" TargetMode="External"/><Relationship Id="rId140" Type="http://schemas.openxmlformats.org/officeDocument/2006/relationships/hyperlink" Target="https://doi.org/%2010.1136/esmoopen-2019-000611" TargetMode="External"/><Relationship Id="rId145" Type="http://schemas.openxmlformats.org/officeDocument/2006/relationships/hyperlink" Target="http://www.health.govt.nz/system/files/documents/publications/longer-healthier-lives-new-zealands-health-1990-2017.pdf" TargetMode="External"/><Relationship Id="rId161" Type="http://schemas.openxmlformats.org/officeDocument/2006/relationships/hyperlink" Target="https://doi.org/10.1093/annonc/mds590" TargetMode="External"/><Relationship Id="rId166" Type="http://schemas.openxmlformats.org/officeDocument/2006/relationships/hyperlink" Target="https://apps.who.int/iris/bitstream/handle/10665/277190/9789241515115-eng.pdf?ua=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8.xml"/><Relationship Id="rId36" Type="http://schemas.openxmlformats.org/officeDocument/2006/relationships/hyperlink" Target="http://www.ebs.tga.gov.au/" TargetMode="External"/><Relationship Id="rId49" Type="http://schemas.openxmlformats.org/officeDocument/2006/relationships/hyperlink" Target="https://connect.pharmac.govt.nz/apptracker/s/application-public/a102P00000BHli7" TargetMode="External"/><Relationship Id="rId57" Type="http://schemas.openxmlformats.org/officeDocument/2006/relationships/hyperlink" Target="https://connect.pharmac.govt.nz/apptracker/s/application-public/a102P00000BD0yw/p001671" TargetMode="External"/><Relationship Id="rId106" Type="http://schemas.openxmlformats.org/officeDocument/2006/relationships/hyperlink" Target="http://www.esmo.org/guidelines/esmo-mcbs/esmo-mcbs-scorecards/scorecard-103-1" TargetMode="External"/><Relationship Id="rId114" Type="http://schemas.openxmlformats.org/officeDocument/2006/relationships/hyperlink" Target="http://www.esmo.org/guidelines/esmo-mcbs/esmo-mcbs-scorecards/scorecard-37-1" TargetMode="External"/><Relationship Id="rId119" Type="http://schemas.openxmlformats.org/officeDocument/2006/relationships/hyperlink" Target="http://www.esmo.org/guidelines/esmo-mcbs/esmo-mcbs-scorecards/scorecard-172-1" TargetMode="External"/><Relationship Id="rId127" Type="http://schemas.openxmlformats.org/officeDocument/2006/relationships/hyperlink" Target="http://www.eviq.org.au/pages/about-us" TargetMode="External"/><Relationship Id="rId10" Type="http://schemas.openxmlformats.org/officeDocument/2006/relationships/endnotes" Target="endnotes.xml"/><Relationship Id="rId31" Type="http://schemas.openxmlformats.org/officeDocument/2006/relationships/image" Target="media/image7.jpeg"/><Relationship Id="rId44" Type="http://schemas.openxmlformats.org/officeDocument/2006/relationships/hyperlink" Target="https://nzf.org.nz/regimens" TargetMode="External"/><Relationship Id="rId52" Type="http://schemas.openxmlformats.org/officeDocument/2006/relationships/hyperlink" Target="https://connect.pharmac.govt.nz/apptracker/s/application-public/a102P000008puiq" TargetMode="External"/><Relationship Id="rId60" Type="http://schemas.openxmlformats.org/officeDocument/2006/relationships/hyperlink" Target="https://connect.pharmac.govt.nz/apptracker/s/application-public/a102P00000AaVR6/p001598" TargetMode="External"/><Relationship Id="rId65" Type="http://schemas.openxmlformats.org/officeDocument/2006/relationships/hyperlink" Target="https://connect.pharmac.govt.nz/apptracker/s/application-public/a102P00000BIsBt/p001695" TargetMode="External"/><Relationship Id="rId73" Type="http://schemas.openxmlformats.org/officeDocument/2006/relationships/hyperlink" Target="https://connect.pharmac.govt.nz/apptracker/s/application-public/a102P00000BIsCc/p001700" TargetMode="External"/><Relationship Id="rId78" Type="http://schemas.openxmlformats.org/officeDocument/2006/relationships/hyperlink" Target="https://connect.pharmac.govt.nz/apptracker/s/application-public/a102P000008puL2/p000911" TargetMode="External"/><Relationship Id="rId81" Type="http://schemas.openxmlformats.org/officeDocument/2006/relationships/hyperlink" Target="http://www.esmo.org/guidelines/esmo-mcbs/esmo-mcbs-scorecards/scorecard-68-1" TargetMode="External"/><Relationship Id="rId86" Type="http://schemas.openxmlformats.org/officeDocument/2006/relationships/hyperlink" Target="http://www.esmo.org/guidelines/esmo-mcbs/esmo-mcbs-scorecards/scorecard-55-1" TargetMode="External"/><Relationship Id="rId94" Type="http://schemas.openxmlformats.org/officeDocument/2006/relationships/hyperlink" Target="https://pubmed.ncbi.nlm.nih.gov/30516102/" TargetMode="External"/><Relationship Id="rId99" Type="http://schemas.openxmlformats.org/officeDocument/2006/relationships/hyperlink" Target="https://connect.pharmac.govt.nz/apptracker/s/application-public/a102P000008puV2/p001111" TargetMode="External"/><Relationship Id="rId101" Type="http://schemas.openxmlformats.org/officeDocument/2006/relationships/hyperlink" Target="http://www.esmo.org/guidelines/esmo-mcbs/esmo-mcbs-scorecards/scorecard-15-1" TargetMode="External"/><Relationship Id="rId122" Type="http://schemas.openxmlformats.org/officeDocument/2006/relationships/hyperlink" Target="http://www.esmo.org/guidelines/esmo-mcbs/esmo-mcbs-scorecards/scorecard-238-1" TargetMode="External"/><Relationship Id="rId130" Type="http://schemas.openxmlformats.org/officeDocument/2006/relationships/hyperlink" Target="http://www.eviq.org.au/medical-oncology/melanoma/non-melanoma/1918-basal-cell-carcinoma-locally-advanced-or-meta" TargetMode="External"/><Relationship Id="rId135" Type="http://schemas.openxmlformats.org/officeDocument/2006/relationships/hyperlink" Target="http://www.esmo.org/content/download/288502/5736211/1/ESMO-MCBS-Booklet.pdf" TargetMode="External"/><Relationship Id="rId143" Type="http://schemas.openxmlformats.org/officeDocument/2006/relationships/hyperlink" Target="http://www.health.govt.nz/our-work/populations/maori-health/he-korowai-oranga/key-threads/rangatiratanga" TargetMode="External"/><Relationship Id="rId148" Type="http://schemas.openxmlformats.org/officeDocument/2006/relationships/hyperlink" Target="https://www.legislation.govt.nz/act/public/2000/0091/latest/DLM80878.html" TargetMode="External"/><Relationship Id="rId151" Type="http://schemas.openxmlformats.org/officeDocument/2006/relationships/hyperlink" Target="https://pharmac.govt.nz/medicine-funding-and-supply/the-funding-process/policies-manuals-and-processes/factors-for-consideration/" TargetMode="External"/><Relationship Id="rId156" Type="http://schemas.openxmlformats.org/officeDocument/2006/relationships/hyperlink" Target="https://pharmac.govt.nz/news-and-resources/consultations-and-decisions/2022-03-16-decision-to-fund-treatments-for-cancer-and-asthma/" TargetMode="External"/><Relationship Id="rId164" Type="http://schemas.openxmlformats.org/officeDocument/2006/relationships/hyperlink" Target="https://doi.org/10.1056/NEJMoa1814017" TargetMode="External"/><Relationship Id="rId169"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theme" Target="theme/theme1.xml"/><Relationship Id="rId13" Type="http://schemas.openxmlformats.org/officeDocument/2006/relationships/hyperlink" Target="http://www.teaho.govt.nz" TargetMode="External"/><Relationship Id="rId18" Type="http://schemas.openxmlformats.org/officeDocument/2006/relationships/image" Target="media/image4.png"/><Relationship Id="rId39" Type="http://schemas.openxmlformats.org/officeDocument/2006/relationships/hyperlink" Target="http://www.esmo.org/guidelines/esmo-mcbs/esmo-mcbs-scorecards" TargetMode="External"/><Relationship Id="rId109" Type="http://schemas.openxmlformats.org/officeDocument/2006/relationships/hyperlink" Target="https://connect.pharmac.govt.nz/apptracker/s/application-public/a102P000008pu1w/p000485" TargetMode="External"/><Relationship Id="rId34" Type="http://schemas.openxmlformats.org/officeDocument/2006/relationships/hyperlink" Target="file:///C:/Users/elsaunde/AppData/Local/Microsoft/Windows/INetCache/Content.Outlook/98LJSFZ1/www.pbs.gov.au/browse/body-system" TargetMode="External"/><Relationship Id="rId50" Type="http://schemas.openxmlformats.org/officeDocument/2006/relationships/hyperlink" Target="https://connect.pharmac.govt.nz/apptracker/s/application-public/a102P000008pu9I" TargetMode="External"/><Relationship Id="rId55" Type="http://schemas.openxmlformats.org/officeDocument/2006/relationships/hyperlink" Target="https://connect.pharmac.govt.nz/apptracker/s/application-public/a102P00000BIsC8" TargetMode="External"/><Relationship Id="rId76" Type="http://schemas.openxmlformats.org/officeDocument/2006/relationships/hyperlink" Target="https://connect.pharmac.govt.nz/apptracker/s/application-public/a102P000008puFH/p000836" TargetMode="External"/><Relationship Id="rId97" Type="http://schemas.openxmlformats.org/officeDocument/2006/relationships/hyperlink" Target="https://connect.pharmac.govt.nz/apptracker/s/application-public/a102P000008ptyE/p000352" TargetMode="External"/><Relationship Id="rId104" Type="http://schemas.openxmlformats.org/officeDocument/2006/relationships/hyperlink" Target="http://www.esmo.org/guidelines/esmo-mcbs/esmo-mcbs-scorecards/scorecard-117-1" TargetMode="External"/><Relationship Id="rId120" Type="http://schemas.openxmlformats.org/officeDocument/2006/relationships/hyperlink" Target="https://connect.pharmac.govt.nz/apptracker/s/application-public/a102P000008puXS/p001176" TargetMode="External"/><Relationship Id="rId125" Type="http://schemas.openxmlformats.org/officeDocument/2006/relationships/hyperlink" Target="http://www.pbs.gov.au/browse/body-system" TargetMode="External"/><Relationship Id="rId141" Type="http://schemas.openxmlformats.org/officeDocument/2006/relationships/hyperlink" Target="http://www.medsafe.govt.nz/profs/Datasheet/i/imfinziinf.pdf" TargetMode="External"/><Relationship Id="rId146" Type="http://schemas.openxmlformats.org/officeDocument/2006/relationships/hyperlink" Target="https://www.cancer.gov/pediatric-adult-rare-tumor/rare-tumors/rare-kidney-tumors/clear-cell-renal-cell-carcinoma" TargetMode="External"/><Relationship Id="rId167" Type="http://schemas.openxmlformats.org/officeDocument/2006/relationships/hyperlink" Target="https://apps.who.int/iris/handle/10665/330668" TargetMode="External"/><Relationship Id="rId7" Type="http://schemas.openxmlformats.org/officeDocument/2006/relationships/settings" Target="settings.xml"/><Relationship Id="rId71" Type="http://schemas.openxmlformats.org/officeDocument/2006/relationships/hyperlink" Target="https://connect.pharmac.govt.nz/apptracker/s/application-public/a102P000008pu3x/p000527" TargetMode="External"/><Relationship Id="rId92" Type="http://schemas.openxmlformats.org/officeDocument/2006/relationships/hyperlink" Target="http://www.esmo.org/guidelines/esmo-mcbs/esmo-mcbs-scorecards/scorecard-123-1" TargetMode="External"/><Relationship Id="rId162" Type="http://schemas.openxmlformats.org/officeDocument/2006/relationships/hyperlink" Target="https://teaho.govt.nz/static/reports/state-of-cancer-in-new-zealand-2020%20(revised%20March%202021).pdf" TargetMode="External"/><Relationship Id="rId2" Type="http://schemas.openxmlformats.org/officeDocument/2006/relationships/customXml" Target="../customXml/item2.xml"/><Relationship Id="rId29" Type="http://schemas.openxmlformats.org/officeDocument/2006/relationships/image" Target="media/image6.jpeg"/><Relationship Id="rId24" Type="http://schemas.openxmlformats.org/officeDocument/2006/relationships/header" Target="header5.xml"/><Relationship Id="rId40" Type="http://schemas.openxmlformats.org/officeDocument/2006/relationships/hyperlink" Target="http://www.cancercareontario.ca/en/drugformulary/drugs" TargetMode="External"/><Relationship Id="rId45" Type="http://schemas.openxmlformats.org/officeDocument/2006/relationships/hyperlink" Target="http://www.eviq.org.au/" TargetMode="External"/><Relationship Id="rId66" Type="http://schemas.openxmlformats.org/officeDocument/2006/relationships/hyperlink" Target="https://connect.pharmac.govt.nz/apptracker/s/application-public/a102P000008ptwH/p000276" TargetMode="External"/><Relationship Id="rId87" Type="http://schemas.openxmlformats.org/officeDocument/2006/relationships/hyperlink" Target="https://connect.pharmac.govt.nz/apptracker/s/application-public/a102P000009kZDh/p001500" TargetMode="External"/><Relationship Id="rId110" Type="http://schemas.openxmlformats.org/officeDocument/2006/relationships/hyperlink" Target="http://www.esmo.org/guidelines/esmo-mcbs/esmo-mcbs-scorecards/scorecard-278-1" TargetMode="External"/><Relationship Id="rId115" Type="http://schemas.openxmlformats.org/officeDocument/2006/relationships/hyperlink" Target="http://www.esmo.org/guidelines/esmo-mcbs/esmo-mcbs-scorecards/scorecard-189-1" TargetMode="External"/><Relationship Id="rId131" Type="http://schemas.openxmlformats.org/officeDocument/2006/relationships/hyperlink" Target="https://pharmac.govt.nz/assets/ptac-cancer-treatment-subcommittee-record-2019-04.pdf" TargetMode="External"/><Relationship Id="rId136" Type="http://schemas.openxmlformats.org/officeDocument/2006/relationships/hyperlink" Target="http://www.esmo.org/content/download/117394/2059186/1/ESMO-MCBS-Version-1-1-Instructions.pdf" TargetMode="External"/><Relationship Id="rId157" Type="http://schemas.openxmlformats.org/officeDocument/2006/relationships/hyperlink" Target="https://pharmac.govt.nz/about/what-we-do/how-pharmac-works/" TargetMode="External"/><Relationship Id="rId61" Type="http://schemas.openxmlformats.org/officeDocument/2006/relationships/hyperlink" Target="https://connect.pharmac.govt.nz/apptracker/s/application-public/a102P00000BK0rY/p001711" TargetMode="External"/><Relationship Id="rId82" Type="http://schemas.openxmlformats.org/officeDocument/2006/relationships/hyperlink" Target="https://connect.pharmac.govt.nz/apptracker/s/application-public/a102P000008ptuw/p000243" TargetMode="External"/><Relationship Id="rId152" Type="http://schemas.openxmlformats.org/officeDocument/2006/relationships/hyperlink" Target="https://pharmac.govt.nz/news-and-resources/news/2021-07-28-media-release-pharmac-commits-to-being-more-transparent" TargetMode="External"/><Relationship Id="rId19" Type="http://schemas.openxmlformats.org/officeDocument/2006/relationships/header" Target="header2.xml"/><Relationship Id="rId14" Type="http://schemas.openxmlformats.org/officeDocument/2006/relationships/image" Target="media/image3.png"/><Relationship Id="rId30" Type="http://schemas.openxmlformats.org/officeDocument/2006/relationships/hyperlink" Target="http://www.esmo.org/guidelines/esmo-mcbs" TargetMode="External"/><Relationship Id="rId35" Type="http://schemas.openxmlformats.org/officeDocument/2006/relationships/hyperlink" Target="http://www.who.int/publications/i/item/WHOMVPEMPIAU2019.06" TargetMode="External"/><Relationship Id="rId56" Type="http://schemas.openxmlformats.org/officeDocument/2006/relationships/hyperlink" Target="https://connect.pharmac.govt.nz/apptracker/s/application-public/a102P00000BIsCD" TargetMode="External"/><Relationship Id="rId77" Type="http://schemas.openxmlformats.org/officeDocument/2006/relationships/hyperlink" Target="https://connect.pharmac.govt.nz/apptracker/s/application-public/a102P000008pu56/p000583" TargetMode="External"/><Relationship Id="rId100" Type="http://schemas.openxmlformats.org/officeDocument/2006/relationships/hyperlink" Target="http://www.esmo.org/guidelines/esmo-mcbs/esmo-mcbs-scorecards/scorecard-17-1" TargetMode="External"/><Relationship Id="rId105" Type="http://schemas.openxmlformats.org/officeDocument/2006/relationships/hyperlink" Target="https://connect.pharmac.govt.nz/apptracker/s/application-public/a102P000008puZW/p001229" TargetMode="External"/><Relationship Id="rId126" Type="http://schemas.openxmlformats.org/officeDocument/2006/relationships/hyperlink" Target="http://www.cancercareontario.ca/en/drugformulary/drugs" TargetMode="External"/><Relationship Id="rId147" Type="http://schemas.openxmlformats.org/officeDocument/2006/relationships/hyperlink" Target="https://www.govt.nz/browse/health/gps-and-prescriptions/prescription-subsidy-scheme/" TargetMode="External"/><Relationship Id="rId168" Type="http://schemas.openxmlformats.org/officeDocument/2006/relationships/hyperlink" Target="https://doi.org/10.1186/s13014-021-01903-5" TargetMode="External"/><Relationship Id="rId8" Type="http://schemas.openxmlformats.org/officeDocument/2006/relationships/webSettings" Target="webSettings.xml"/><Relationship Id="rId51" Type="http://schemas.openxmlformats.org/officeDocument/2006/relationships/hyperlink" Target="https://connect.pharmac.govt.nz/apptracker/s/application-public/a102P00000BHli7" TargetMode="External"/><Relationship Id="rId72" Type="http://schemas.openxmlformats.org/officeDocument/2006/relationships/hyperlink" Target="https://connect.pharmac.govt.nz/apptracker/s/application-public/a102P00000BIsCh/p001701" TargetMode="External"/><Relationship Id="rId93" Type="http://schemas.openxmlformats.org/officeDocument/2006/relationships/hyperlink" Target="https://connect.pharmac.govt.nz/apptracker/s/application-public/a102P000009rn2n/p001522" TargetMode="External"/><Relationship Id="rId98" Type="http://schemas.openxmlformats.org/officeDocument/2006/relationships/hyperlink" Target="https://connect.pharmac.govt.nz/apptracker/s/application-public/a102P000008ptuD/p000218" TargetMode="External"/><Relationship Id="rId121" Type="http://schemas.openxmlformats.org/officeDocument/2006/relationships/hyperlink" Target="http://www.esmo.org/guidelines/esmo-mcbs/esmo-mcbs-scorecards/scorecard-87-1" TargetMode="External"/><Relationship Id="rId142" Type="http://schemas.openxmlformats.org/officeDocument/2006/relationships/hyperlink" Target="https://doi.org/10.1007/s10552-012-9986-x" TargetMode="External"/><Relationship Id="rId163" Type="http://schemas.openxmlformats.org/officeDocument/2006/relationships/hyperlink" Target="https://hcmsitesstorage.blob.core.windows.net/cca/assets/Lung_QPI_Action_Plan_FINAL_94ee771158.pdf" TargetMode="Externa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hyperlink" Target="http://www.medsafe.govt.nz/Medicines/infoSearch.asp" TargetMode="External"/><Relationship Id="rId67" Type="http://schemas.openxmlformats.org/officeDocument/2006/relationships/hyperlink" Target="https://connect.pharmac.govt.nz/apptracker/s/application-public/a102P000008puZn/p001236" TargetMode="External"/><Relationship Id="rId116" Type="http://schemas.openxmlformats.org/officeDocument/2006/relationships/hyperlink" Target="https://connect.pharmac.govt.nz/apptracker/s/application-public/a102P000008ptx2/p000298" TargetMode="External"/><Relationship Id="rId137" Type="http://schemas.openxmlformats.org/officeDocument/2006/relationships/hyperlink" Target="https://perspectives.esmo.org/news/seven-steps-to-take-assessment-of-clinical-benefit-of-anticancer-medicines-to-the-next-level" TargetMode="External"/><Relationship Id="rId158" Type="http://schemas.openxmlformats.org/officeDocument/2006/relationships/hyperlink" Target="https://www.health.govt.nz/system/files/documents/publications/unequal-impact-ii.pdf" TargetMode="External"/><Relationship Id="rId20" Type="http://schemas.openxmlformats.org/officeDocument/2006/relationships/header" Target="header3.xml"/><Relationship Id="rId41" Type="http://schemas.openxmlformats.org/officeDocument/2006/relationships/hyperlink" Target="https://connect.pharmac.govt.nz/apptracker/s/" TargetMode="External"/><Relationship Id="rId62" Type="http://schemas.openxmlformats.org/officeDocument/2006/relationships/hyperlink" Target="https://connect.pharmac.govt.nz/apptracker/s/application-public/a102P00000BQ7JF/p001762" TargetMode="External"/><Relationship Id="rId83" Type="http://schemas.openxmlformats.org/officeDocument/2006/relationships/hyperlink" Target="https://connect.pharmac.govt.nz/apptracker/s/application-public/a102P000008puDw/p000793" TargetMode="External"/><Relationship Id="rId88" Type="http://schemas.openxmlformats.org/officeDocument/2006/relationships/hyperlink" Target="http://www.esmo.org/guidelines/esmo-mcbs/esmo-mcbs-scorecards/scorecard-170-1" TargetMode="External"/><Relationship Id="rId111" Type="http://schemas.openxmlformats.org/officeDocument/2006/relationships/hyperlink" Target="https://connect.pharmac.govt.nz/apptracker/s/application-public/a102P00000AHK3i/p001558" TargetMode="External"/><Relationship Id="rId132" Type="http://schemas.openxmlformats.org/officeDocument/2006/relationships/hyperlink" Target="https://pharmac.govt.nz/assets/2020-10-Cancer-Treatment-Subcommittee-Record-published-25-February-2021.pdf" TargetMode="External"/><Relationship Id="rId153" Type="http://schemas.openxmlformats.org/officeDocument/2006/relationships/hyperlink" Target="https://pharmac.govt.nz/medicine-funding-and-supply/the-funding-process/priority-lists/"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pharmac.govt.nz/medicine-funding-and-supply/the-funding-process/" TargetMode="External"/><Relationship Id="rId1" Type="http://schemas.openxmlformats.org/officeDocument/2006/relationships/hyperlink" Target="http://www.who.int/groups/expert-committee-on-selection-and-use-of-essential-medicines/essential-medicines-li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66BBFF82759F488643FBA3C49367F4" ma:contentTypeVersion="4" ma:contentTypeDescription="Create a new document." ma:contentTypeScope="" ma:versionID="51e18dbb3cbe4b53f05da4a1433cca9d">
  <xsd:schema xmlns:xsd="http://www.w3.org/2001/XMLSchema" xmlns:xs="http://www.w3.org/2001/XMLSchema" xmlns:p="http://schemas.microsoft.com/office/2006/metadata/properties" xmlns:ns2="c02cffbe-180e-4030-8c1b-c6f4d70bb013" targetNamespace="http://schemas.microsoft.com/office/2006/metadata/properties" ma:root="true" ma:fieldsID="11601da31bb4a00208b02c3ca2e0f6b3" ns2:_="">
    <xsd:import namespace="c02cffbe-180e-4030-8c1b-c6f4d70bb0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cffbe-180e-4030-8c1b-c6f4d70b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367B1B-8E99-4CA3-986A-C329FE5A9A4D}">
  <ds:schemaRefs>
    <ds:schemaRef ds:uri="http://schemas.microsoft.com/sharepoint/v3/contenttype/forms"/>
  </ds:schemaRefs>
</ds:datastoreItem>
</file>

<file path=customXml/itemProps2.xml><?xml version="1.0" encoding="utf-8"?>
<ds:datastoreItem xmlns:ds="http://schemas.openxmlformats.org/officeDocument/2006/customXml" ds:itemID="{8DF7718A-DC9F-47B6-928C-D74C27ACD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cffbe-180e-4030-8c1b-c6f4d70bb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8F32E-CC0D-46BF-83B1-D46B475AAC9B}">
  <ds:schemaRefs>
    <ds:schemaRef ds:uri="http://schemas.openxmlformats.org/officeDocument/2006/bibliography"/>
  </ds:schemaRefs>
</ds:datastoreItem>
</file>

<file path=customXml/itemProps4.xml><?xml version="1.0" encoding="utf-8"?>
<ds:datastoreItem xmlns:ds="http://schemas.openxmlformats.org/officeDocument/2006/customXml" ds:itemID="{8CE23965-5252-43A4-99AE-FAEBD041A4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1059</TotalTime>
  <Pages>163</Pages>
  <Words>53527</Words>
  <Characters>305104</Characters>
  <Application>Microsoft Office Word</Application>
  <DocSecurity>0</DocSecurity>
  <Lines>2542</Lines>
  <Paragraphs>715</Paragraphs>
  <ScaleCrop>false</ScaleCrop>
  <HeadingPairs>
    <vt:vector size="2" baseType="variant">
      <vt:variant>
        <vt:lpstr>Title</vt:lpstr>
      </vt:variant>
      <vt:variant>
        <vt:i4>1</vt:i4>
      </vt:variant>
    </vt:vector>
  </HeadingPairs>
  <TitlesOfParts>
    <vt:vector size="1" baseType="lpstr">
      <vt:lpstr>Understanding the Gap: an analysis of the availability of cancer medicines in Aotearoa</vt:lpstr>
    </vt:vector>
  </TitlesOfParts>
  <Company>Microsoft</Company>
  <LinksUpToDate>false</LinksUpToDate>
  <CharactersWithSpaces>357916</CharactersWithSpaces>
  <SharedDoc>false</SharedDoc>
  <HLinks>
    <vt:vector size="1896" baseType="variant">
      <vt:variant>
        <vt:i4>2097202</vt:i4>
      </vt:variant>
      <vt:variant>
        <vt:i4>1209</vt:i4>
      </vt:variant>
      <vt:variant>
        <vt:i4>0</vt:i4>
      </vt:variant>
      <vt:variant>
        <vt:i4>5</vt:i4>
      </vt:variant>
      <vt:variant>
        <vt:lpwstr>https://doi.org/10.1186/s13014-021-01903-5</vt:lpwstr>
      </vt:variant>
      <vt:variant>
        <vt:lpwstr/>
      </vt:variant>
      <vt:variant>
        <vt:i4>6225936</vt:i4>
      </vt:variant>
      <vt:variant>
        <vt:i4>1206</vt:i4>
      </vt:variant>
      <vt:variant>
        <vt:i4>0</vt:i4>
      </vt:variant>
      <vt:variant>
        <vt:i4>5</vt:i4>
      </vt:variant>
      <vt:variant>
        <vt:lpwstr>https://apps.who.int/iris/handle/10665/330668</vt:lpwstr>
      </vt:variant>
      <vt:variant>
        <vt:lpwstr/>
      </vt:variant>
      <vt:variant>
        <vt:i4>3276834</vt:i4>
      </vt:variant>
      <vt:variant>
        <vt:i4>1203</vt:i4>
      </vt:variant>
      <vt:variant>
        <vt:i4>0</vt:i4>
      </vt:variant>
      <vt:variant>
        <vt:i4>5</vt:i4>
      </vt:variant>
      <vt:variant>
        <vt:lpwstr>https://apps.who.int/iris/bitstream/handle/10665/277190/9789241515115-eng.pdf?ua=1</vt:lpwstr>
      </vt:variant>
      <vt:variant>
        <vt:lpwstr/>
      </vt:variant>
      <vt:variant>
        <vt:i4>3211307</vt:i4>
      </vt:variant>
      <vt:variant>
        <vt:i4>1200</vt:i4>
      </vt:variant>
      <vt:variant>
        <vt:i4>0</vt:i4>
      </vt:variant>
      <vt:variant>
        <vt:i4>5</vt:i4>
      </vt:variant>
      <vt:variant>
        <vt:lpwstr>https://forms.justice.govt.nz/search/Documents/WT/wt_DOC_152801817/Hauora W.pdf</vt:lpwstr>
      </vt:variant>
      <vt:variant>
        <vt:lpwstr/>
      </vt:variant>
      <vt:variant>
        <vt:i4>4325383</vt:i4>
      </vt:variant>
      <vt:variant>
        <vt:i4>1197</vt:i4>
      </vt:variant>
      <vt:variant>
        <vt:i4>0</vt:i4>
      </vt:variant>
      <vt:variant>
        <vt:i4>5</vt:i4>
      </vt:variant>
      <vt:variant>
        <vt:lpwstr>https://doi.org/10.1056/NEJMoa1814017</vt:lpwstr>
      </vt:variant>
      <vt:variant>
        <vt:lpwstr/>
      </vt:variant>
      <vt:variant>
        <vt:i4>3735616</vt:i4>
      </vt:variant>
      <vt:variant>
        <vt:i4>1194</vt:i4>
      </vt:variant>
      <vt:variant>
        <vt:i4>0</vt:i4>
      </vt:variant>
      <vt:variant>
        <vt:i4>5</vt:i4>
      </vt:variant>
      <vt:variant>
        <vt:lpwstr>https://hcmsitesstorage.blob.core.windows.net/cca/assets/Lung_QPI_Action_Plan_FINAL_94ee771158.pdf</vt:lpwstr>
      </vt:variant>
      <vt:variant>
        <vt:lpwstr/>
      </vt:variant>
      <vt:variant>
        <vt:i4>196608</vt:i4>
      </vt:variant>
      <vt:variant>
        <vt:i4>1191</vt:i4>
      </vt:variant>
      <vt:variant>
        <vt:i4>0</vt:i4>
      </vt:variant>
      <vt:variant>
        <vt:i4>5</vt:i4>
      </vt:variant>
      <vt:variant>
        <vt:lpwstr>https://teaho.govt.nz/static/reports/state-of-cancer-in-new-zealand-2020 (revised March 2021).pdf</vt:lpwstr>
      </vt:variant>
      <vt:variant>
        <vt:lpwstr/>
      </vt:variant>
      <vt:variant>
        <vt:i4>6225990</vt:i4>
      </vt:variant>
      <vt:variant>
        <vt:i4>1188</vt:i4>
      </vt:variant>
      <vt:variant>
        <vt:i4>0</vt:i4>
      </vt:variant>
      <vt:variant>
        <vt:i4>5</vt:i4>
      </vt:variant>
      <vt:variant>
        <vt:lpwstr>https://doi.org/10.1093/annonc/mds590</vt:lpwstr>
      </vt:variant>
      <vt:variant>
        <vt:lpwstr/>
      </vt:variant>
      <vt:variant>
        <vt:i4>4063296</vt:i4>
      </vt:variant>
      <vt:variant>
        <vt:i4>1185</vt:i4>
      </vt:variant>
      <vt:variant>
        <vt:i4>0</vt:i4>
      </vt:variant>
      <vt:variant>
        <vt:i4>5</vt:i4>
      </vt:variant>
      <vt:variant>
        <vt:lpwstr>http://www.health.govt.nz/system/files/documents/publications/cancer-trends-survival-ethnic-socioeconomic-1991-2004_1.pdf</vt:lpwstr>
      </vt:variant>
      <vt:variant>
        <vt:lpwstr/>
      </vt:variant>
      <vt:variant>
        <vt:i4>2228269</vt:i4>
      </vt:variant>
      <vt:variant>
        <vt:i4>1182</vt:i4>
      </vt:variant>
      <vt:variant>
        <vt:i4>0</vt:i4>
      </vt:variant>
      <vt:variant>
        <vt:i4>5</vt:i4>
      </vt:variant>
      <vt:variant>
        <vt:lpwstr>https://doi.org/10.1056/NEJMp048143</vt:lpwstr>
      </vt:variant>
      <vt:variant>
        <vt:lpwstr/>
      </vt:variant>
      <vt:variant>
        <vt:i4>1179677</vt:i4>
      </vt:variant>
      <vt:variant>
        <vt:i4>1179</vt:i4>
      </vt:variant>
      <vt:variant>
        <vt:i4>0</vt:i4>
      </vt:variant>
      <vt:variant>
        <vt:i4>5</vt:i4>
      </vt:variant>
      <vt:variant>
        <vt:lpwstr>https://www.health.govt.nz/system/files/documents/publications/unequal-impact-ii.pdf</vt:lpwstr>
      </vt:variant>
      <vt:variant>
        <vt:lpwstr/>
      </vt:variant>
      <vt:variant>
        <vt:i4>7929957</vt:i4>
      </vt:variant>
      <vt:variant>
        <vt:i4>1176</vt:i4>
      </vt:variant>
      <vt:variant>
        <vt:i4>0</vt:i4>
      </vt:variant>
      <vt:variant>
        <vt:i4>5</vt:i4>
      </vt:variant>
      <vt:variant>
        <vt:lpwstr>https://pharmac.govt.nz/about/what-we-do/how-pharmac-works/</vt:lpwstr>
      </vt:variant>
      <vt:variant>
        <vt:lpwstr/>
      </vt:variant>
      <vt:variant>
        <vt:i4>1572957</vt:i4>
      </vt:variant>
      <vt:variant>
        <vt:i4>1173</vt:i4>
      </vt:variant>
      <vt:variant>
        <vt:i4>0</vt:i4>
      </vt:variant>
      <vt:variant>
        <vt:i4>5</vt:i4>
      </vt:variant>
      <vt:variant>
        <vt:lpwstr>https://pharmac.govt.nz/news-and-resources/consultations-and-decisions/2022-03-16-decision-to-fund-treatments-for-cancer-and-asthma/</vt:lpwstr>
      </vt:variant>
      <vt:variant>
        <vt:lpwstr/>
      </vt:variant>
      <vt:variant>
        <vt:i4>5373953</vt:i4>
      </vt:variant>
      <vt:variant>
        <vt:i4>1170</vt:i4>
      </vt:variant>
      <vt:variant>
        <vt:i4>0</vt:i4>
      </vt:variant>
      <vt:variant>
        <vt:i4>5</vt:i4>
      </vt:variant>
      <vt:variant>
        <vt:lpwstr>https://pharmac.govt.nz/medicine-funding-and-supply/the-funding-process/setting-and-managing-the-combined-pharmaceutical-budget-cpb/</vt:lpwstr>
      </vt:variant>
      <vt:variant>
        <vt:lpwstr/>
      </vt:variant>
      <vt:variant>
        <vt:i4>6684783</vt:i4>
      </vt:variant>
      <vt:variant>
        <vt:i4>1167</vt:i4>
      </vt:variant>
      <vt:variant>
        <vt:i4>0</vt:i4>
      </vt:variant>
      <vt:variant>
        <vt:i4>5</vt:i4>
      </vt:variant>
      <vt:variant>
        <vt:lpwstr>https://pharmac.govt.nz/medicine-funding-and-supply/the-funding-process/priority-lists/</vt:lpwstr>
      </vt:variant>
      <vt:variant>
        <vt:lpwstr/>
      </vt:variant>
      <vt:variant>
        <vt:i4>6684783</vt:i4>
      </vt:variant>
      <vt:variant>
        <vt:i4>1164</vt:i4>
      </vt:variant>
      <vt:variant>
        <vt:i4>0</vt:i4>
      </vt:variant>
      <vt:variant>
        <vt:i4>5</vt:i4>
      </vt:variant>
      <vt:variant>
        <vt:lpwstr>https://pharmac.govt.nz/medicine-funding-and-supply/the-funding-process/priority-lists/</vt:lpwstr>
      </vt:variant>
      <vt:variant>
        <vt:lpwstr/>
      </vt:variant>
      <vt:variant>
        <vt:i4>6357119</vt:i4>
      </vt:variant>
      <vt:variant>
        <vt:i4>1161</vt:i4>
      </vt:variant>
      <vt:variant>
        <vt:i4>0</vt:i4>
      </vt:variant>
      <vt:variant>
        <vt:i4>5</vt:i4>
      </vt:variant>
      <vt:variant>
        <vt:lpwstr>https://pharmac.govt.nz/news-and-resources/news/2021-07-28-media-release-pharmac-commits-to-being-more-transparent</vt:lpwstr>
      </vt:variant>
      <vt:variant>
        <vt:lpwstr/>
      </vt:variant>
      <vt:variant>
        <vt:i4>2031696</vt:i4>
      </vt:variant>
      <vt:variant>
        <vt:i4>1158</vt:i4>
      </vt:variant>
      <vt:variant>
        <vt:i4>0</vt:i4>
      </vt:variant>
      <vt:variant>
        <vt:i4>5</vt:i4>
      </vt:variant>
      <vt:variant>
        <vt:lpwstr>https://pharmac.govt.nz/medicine-funding-and-supply/the-funding-process/policies-manuals-and-processes/factors-for-consideration/</vt:lpwstr>
      </vt:variant>
      <vt:variant>
        <vt:lpwstr/>
      </vt:variant>
      <vt:variant>
        <vt:i4>3997813</vt:i4>
      </vt:variant>
      <vt:variant>
        <vt:i4>1155</vt:i4>
      </vt:variant>
      <vt:variant>
        <vt:i4>0</vt:i4>
      </vt:variant>
      <vt:variant>
        <vt:i4>5</vt:i4>
      </vt:variant>
      <vt:variant>
        <vt:lpwstr>https://pharmac.govt.nz/medicine-funding-and-supply/the-funding-process/from-application-to-funded-medicine-how-we-fund-a-medicine/cancer-medicine-funding-parallel-assessment/</vt:lpwstr>
      </vt:variant>
      <vt:variant>
        <vt:lpwstr/>
      </vt:variant>
      <vt:variant>
        <vt:i4>4194369</vt:i4>
      </vt:variant>
      <vt:variant>
        <vt:i4>1152</vt:i4>
      </vt:variant>
      <vt:variant>
        <vt:i4>0</vt:i4>
      </vt:variant>
      <vt:variant>
        <vt:i4>5</vt:i4>
      </vt:variant>
      <vt:variant>
        <vt:lpwstr>https://doi.org/10.1158/1078-0432.Ccr-09-0344</vt:lpwstr>
      </vt:variant>
      <vt:variant>
        <vt:lpwstr/>
      </vt:variant>
      <vt:variant>
        <vt:i4>4718680</vt:i4>
      </vt:variant>
      <vt:variant>
        <vt:i4>1149</vt:i4>
      </vt:variant>
      <vt:variant>
        <vt:i4>0</vt:i4>
      </vt:variant>
      <vt:variant>
        <vt:i4>5</vt:i4>
      </vt:variant>
      <vt:variant>
        <vt:lpwstr>https://www.legislation.govt.nz/act/public/2000/0091/latest/DLM80878.html</vt:lpwstr>
      </vt:variant>
      <vt:variant>
        <vt:lpwstr/>
      </vt:variant>
      <vt:variant>
        <vt:i4>4784214</vt:i4>
      </vt:variant>
      <vt:variant>
        <vt:i4>1146</vt:i4>
      </vt:variant>
      <vt:variant>
        <vt:i4>0</vt:i4>
      </vt:variant>
      <vt:variant>
        <vt:i4>5</vt:i4>
      </vt:variant>
      <vt:variant>
        <vt:lpwstr>https://www.govt.nz/browse/health/gps-and-prescriptions/prescription-subsidy-scheme/</vt:lpwstr>
      </vt:variant>
      <vt:variant>
        <vt:lpwstr/>
      </vt:variant>
      <vt:variant>
        <vt:i4>6225945</vt:i4>
      </vt:variant>
      <vt:variant>
        <vt:i4>1143</vt:i4>
      </vt:variant>
      <vt:variant>
        <vt:i4>0</vt:i4>
      </vt:variant>
      <vt:variant>
        <vt:i4>5</vt:i4>
      </vt:variant>
      <vt:variant>
        <vt:lpwstr>https://www.cancer.gov/pediatric-adult-rare-tumor/rare-tumors/rare-kidney-tumors/clear-cell-renal-cell-carcinoma</vt:lpwstr>
      </vt:variant>
      <vt:variant>
        <vt:lpwstr/>
      </vt:variant>
      <vt:variant>
        <vt:i4>6946930</vt:i4>
      </vt:variant>
      <vt:variant>
        <vt:i4>1140</vt:i4>
      </vt:variant>
      <vt:variant>
        <vt:i4>0</vt:i4>
      </vt:variant>
      <vt:variant>
        <vt:i4>5</vt:i4>
      </vt:variant>
      <vt:variant>
        <vt:lpwstr>http://www.health.govt.nz/about-ministry/what-we-do/budget-2021-vote-healthwork-programme-2019-20/achieving-equity</vt:lpwstr>
      </vt:variant>
      <vt:variant>
        <vt:lpwstr/>
      </vt:variant>
      <vt:variant>
        <vt:i4>7602213</vt:i4>
      </vt:variant>
      <vt:variant>
        <vt:i4>1137</vt:i4>
      </vt:variant>
      <vt:variant>
        <vt:i4>0</vt:i4>
      </vt:variant>
      <vt:variant>
        <vt:i4>5</vt:i4>
      </vt:variant>
      <vt:variant>
        <vt:lpwstr>http://www.health.govt.nz/system/files/documents/publications/longer-healthier-lives-new-zealands-health-1990-2017.pdf</vt:lpwstr>
      </vt:variant>
      <vt:variant>
        <vt:lpwstr/>
      </vt:variant>
      <vt:variant>
        <vt:i4>7929893</vt:i4>
      </vt:variant>
      <vt:variant>
        <vt:i4>1134</vt:i4>
      </vt:variant>
      <vt:variant>
        <vt:i4>0</vt:i4>
      </vt:variant>
      <vt:variant>
        <vt:i4>5</vt:i4>
      </vt:variant>
      <vt:variant>
        <vt:lpwstr>http://www.health.govt.nz/about-ministry/what-we-do/work-programme-2019-20/achieving-equity</vt:lpwstr>
      </vt:variant>
      <vt:variant>
        <vt:lpwstr/>
      </vt:variant>
      <vt:variant>
        <vt:i4>1179726</vt:i4>
      </vt:variant>
      <vt:variant>
        <vt:i4>1131</vt:i4>
      </vt:variant>
      <vt:variant>
        <vt:i4>0</vt:i4>
      </vt:variant>
      <vt:variant>
        <vt:i4>5</vt:i4>
      </vt:variant>
      <vt:variant>
        <vt:lpwstr>http://www.health.govt.nz/our-work/populations/maori-health/he-korowai-oranga/key-threads/rangatiratanga</vt:lpwstr>
      </vt:variant>
      <vt:variant>
        <vt:lpwstr/>
      </vt:variant>
      <vt:variant>
        <vt:i4>720917</vt:i4>
      </vt:variant>
      <vt:variant>
        <vt:i4>1128</vt:i4>
      </vt:variant>
      <vt:variant>
        <vt:i4>0</vt:i4>
      </vt:variant>
      <vt:variant>
        <vt:i4>5</vt:i4>
      </vt:variant>
      <vt:variant>
        <vt:lpwstr>https://doi.org/10.1007/s10552-012-9986-x</vt:lpwstr>
      </vt:variant>
      <vt:variant>
        <vt:lpwstr/>
      </vt:variant>
      <vt:variant>
        <vt:i4>3670115</vt:i4>
      </vt:variant>
      <vt:variant>
        <vt:i4>1125</vt:i4>
      </vt:variant>
      <vt:variant>
        <vt:i4>0</vt:i4>
      </vt:variant>
      <vt:variant>
        <vt:i4>5</vt:i4>
      </vt:variant>
      <vt:variant>
        <vt:lpwstr>http://www.medsafe.govt.nz/profs/Datasheet/i/imfinziinf.pdf</vt:lpwstr>
      </vt:variant>
      <vt:variant>
        <vt:lpwstr/>
      </vt:variant>
      <vt:variant>
        <vt:i4>131154</vt:i4>
      </vt:variant>
      <vt:variant>
        <vt:i4>1122</vt:i4>
      </vt:variant>
      <vt:variant>
        <vt:i4>0</vt:i4>
      </vt:variant>
      <vt:variant>
        <vt:i4>5</vt:i4>
      </vt:variant>
      <vt:variant>
        <vt:lpwstr>https://doi.org/ 10.1136/esmoopen-2019-000611</vt:lpwstr>
      </vt:variant>
      <vt:variant>
        <vt:lpwstr/>
      </vt:variant>
      <vt:variant>
        <vt:i4>4784183</vt:i4>
      </vt:variant>
      <vt:variant>
        <vt:i4>1119</vt:i4>
      </vt:variant>
      <vt:variant>
        <vt:i4>0</vt:i4>
      </vt:variant>
      <vt:variant>
        <vt:i4>5</vt:i4>
      </vt:variant>
      <vt:variant>
        <vt:lpwstr>http://www.fmhs.auckland.ac.nz/assets/fmhs/sms/ctnz/docs/THE PIPER PROJECT Final deliverable report 7 August 2015 (HRC 11_764 FINDLAY).pdf</vt:lpwstr>
      </vt:variant>
      <vt:variant>
        <vt:lpwstr/>
      </vt:variant>
      <vt:variant>
        <vt:i4>2949157</vt:i4>
      </vt:variant>
      <vt:variant>
        <vt:i4>1116</vt:i4>
      </vt:variant>
      <vt:variant>
        <vt:i4>0</vt:i4>
      </vt:variant>
      <vt:variant>
        <vt:i4>5</vt:i4>
      </vt:variant>
      <vt:variant>
        <vt:lpwstr>https://ihe.se/en/publicering/cancer-drug-spending-in-asia-pacific/</vt:lpwstr>
      </vt:variant>
      <vt:variant>
        <vt:lpwstr/>
      </vt:variant>
      <vt:variant>
        <vt:i4>3211384</vt:i4>
      </vt:variant>
      <vt:variant>
        <vt:i4>1113</vt:i4>
      </vt:variant>
      <vt:variant>
        <vt:i4>0</vt:i4>
      </vt:variant>
      <vt:variant>
        <vt:i4>5</vt:i4>
      </vt:variant>
      <vt:variant>
        <vt:lpwstr>https://perspectives.esmo.org/news/seven-steps-to-take-assessment-of-clinical-benefit-of-anticancer-medicines-to-the-next-level</vt:lpwstr>
      </vt:variant>
      <vt:variant>
        <vt:lpwstr/>
      </vt:variant>
      <vt:variant>
        <vt:i4>5898270</vt:i4>
      </vt:variant>
      <vt:variant>
        <vt:i4>1110</vt:i4>
      </vt:variant>
      <vt:variant>
        <vt:i4>0</vt:i4>
      </vt:variant>
      <vt:variant>
        <vt:i4>5</vt:i4>
      </vt:variant>
      <vt:variant>
        <vt:lpwstr>http://www.esmo.org/content/download/117394/2059186/1/ESMO-MCBS-Version-1-1-Instructions.pdf</vt:lpwstr>
      </vt:variant>
      <vt:variant>
        <vt:lpwstr/>
      </vt:variant>
      <vt:variant>
        <vt:i4>3145778</vt:i4>
      </vt:variant>
      <vt:variant>
        <vt:i4>1107</vt:i4>
      </vt:variant>
      <vt:variant>
        <vt:i4>0</vt:i4>
      </vt:variant>
      <vt:variant>
        <vt:i4>5</vt:i4>
      </vt:variant>
      <vt:variant>
        <vt:lpwstr>http://www.esmo.org/content/download/288502/5736211/1/ESMO-MCBS-Booklet.pdf</vt:lpwstr>
      </vt:variant>
      <vt:variant>
        <vt:lpwstr/>
      </vt:variant>
      <vt:variant>
        <vt:i4>6684704</vt:i4>
      </vt:variant>
      <vt:variant>
        <vt:i4>1104</vt:i4>
      </vt:variant>
      <vt:variant>
        <vt:i4>0</vt:i4>
      </vt:variant>
      <vt:variant>
        <vt:i4>5</vt:i4>
      </vt:variant>
      <vt:variant>
        <vt:lpwstr>http://www.cdc.gov/nchs/data/nhis/earlyrelease/insur202108-508.pdf</vt:lpwstr>
      </vt:variant>
      <vt:variant>
        <vt:lpwstr/>
      </vt:variant>
      <vt:variant>
        <vt:i4>4063236</vt:i4>
      </vt:variant>
      <vt:variant>
        <vt:i4>1101</vt:i4>
      </vt:variant>
      <vt:variant>
        <vt:i4>0</vt:i4>
      </vt:variant>
      <vt:variant>
        <vt:i4>5</vt:i4>
      </vt:variant>
      <vt:variant>
        <vt:lpwstr>https://pharmac.govt.nz/assets/2021-07-Catsop_record.pdf</vt:lpwstr>
      </vt:variant>
      <vt:variant>
        <vt:lpwstr/>
      </vt:variant>
      <vt:variant>
        <vt:i4>8192039</vt:i4>
      </vt:variant>
      <vt:variant>
        <vt:i4>1098</vt:i4>
      </vt:variant>
      <vt:variant>
        <vt:i4>0</vt:i4>
      </vt:variant>
      <vt:variant>
        <vt:i4>5</vt:i4>
      </vt:variant>
      <vt:variant>
        <vt:lpwstr>https://pharmac.govt.nz/assets/2020-10-Cancer-Treatment-Subcommittee-Record-published-25-February-2021.pdf</vt:lpwstr>
      </vt:variant>
      <vt:variant>
        <vt:lpwstr/>
      </vt:variant>
      <vt:variant>
        <vt:i4>917506</vt:i4>
      </vt:variant>
      <vt:variant>
        <vt:i4>1095</vt:i4>
      </vt:variant>
      <vt:variant>
        <vt:i4>0</vt:i4>
      </vt:variant>
      <vt:variant>
        <vt:i4>5</vt:i4>
      </vt:variant>
      <vt:variant>
        <vt:lpwstr>https://pharmac.govt.nz/assets/ptac-cancer-treatment-subcommittee-record-2019-04.pdf</vt:lpwstr>
      </vt:variant>
      <vt:variant>
        <vt:lpwstr/>
      </vt:variant>
      <vt:variant>
        <vt:i4>4784150</vt:i4>
      </vt:variant>
      <vt:variant>
        <vt:i4>1092</vt:i4>
      </vt:variant>
      <vt:variant>
        <vt:i4>0</vt:i4>
      </vt:variant>
      <vt:variant>
        <vt:i4>5</vt:i4>
      </vt:variant>
      <vt:variant>
        <vt:lpwstr>http://www.eviq.org.au/medical-oncology/melanoma/non-melanoma/1918-basal-cell-carcinoma-locally-advanced-or-meta</vt:lpwstr>
      </vt:variant>
      <vt:variant>
        <vt:lpwstr>evidence</vt:lpwstr>
      </vt:variant>
      <vt:variant>
        <vt:i4>4980756</vt:i4>
      </vt:variant>
      <vt:variant>
        <vt:i4>1089</vt:i4>
      </vt:variant>
      <vt:variant>
        <vt:i4>0</vt:i4>
      </vt:variant>
      <vt:variant>
        <vt:i4>5</vt:i4>
      </vt:variant>
      <vt:variant>
        <vt:lpwstr>http://www.eviq.org.au/medical-oncology/melanoma/non-melanoma/3410-basal-cell-carcinoma-locally-advanced-or-meta</vt:lpwstr>
      </vt:variant>
      <vt:variant>
        <vt:lpwstr>evidence</vt:lpwstr>
      </vt:variant>
      <vt:variant>
        <vt:i4>1376348</vt:i4>
      </vt:variant>
      <vt:variant>
        <vt:i4>1086</vt:i4>
      </vt:variant>
      <vt:variant>
        <vt:i4>0</vt:i4>
      </vt:variant>
      <vt:variant>
        <vt:i4>5</vt:i4>
      </vt:variant>
      <vt:variant>
        <vt:lpwstr>http://www.eviq.org.au/search?searchtext=cyclophosphamide</vt:lpwstr>
      </vt:variant>
      <vt:variant>
        <vt:lpwstr/>
      </vt:variant>
      <vt:variant>
        <vt:i4>4915200</vt:i4>
      </vt:variant>
      <vt:variant>
        <vt:i4>1083</vt:i4>
      </vt:variant>
      <vt:variant>
        <vt:i4>0</vt:i4>
      </vt:variant>
      <vt:variant>
        <vt:i4>5</vt:i4>
      </vt:variant>
      <vt:variant>
        <vt:lpwstr>http://www.eviq.org.au/pages/about-us</vt:lpwstr>
      </vt:variant>
      <vt:variant>
        <vt:lpwstr/>
      </vt:variant>
      <vt:variant>
        <vt:i4>8126580</vt:i4>
      </vt:variant>
      <vt:variant>
        <vt:i4>1080</vt:i4>
      </vt:variant>
      <vt:variant>
        <vt:i4>0</vt:i4>
      </vt:variant>
      <vt:variant>
        <vt:i4>5</vt:i4>
      </vt:variant>
      <vt:variant>
        <vt:lpwstr>http://www.cancercareontario.ca/en/drugformulary/drugs</vt:lpwstr>
      </vt:variant>
      <vt:variant>
        <vt:lpwstr/>
      </vt:variant>
      <vt:variant>
        <vt:i4>6029322</vt:i4>
      </vt:variant>
      <vt:variant>
        <vt:i4>1077</vt:i4>
      </vt:variant>
      <vt:variant>
        <vt:i4>0</vt:i4>
      </vt:variant>
      <vt:variant>
        <vt:i4>5</vt:i4>
      </vt:variant>
      <vt:variant>
        <vt:lpwstr>http://www.pbs.gov.au/browse/body-system</vt:lpwstr>
      </vt:variant>
      <vt:variant>
        <vt:lpwstr/>
      </vt:variant>
      <vt:variant>
        <vt:i4>3145774</vt:i4>
      </vt:variant>
      <vt:variant>
        <vt:i4>1074</vt:i4>
      </vt:variant>
      <vt:variant>
        <vt:i4>0</vt:i4>
      </vt:variant>
      <vt:variant>
        <vt:i4>5</vt:i4>
      </vt:variant>
      <vt:variant>
        <vt:lpwstr>http://www.pbs.gov.au/pbs/home</vt:lpwstr>
      </vt:variant>
      <vt:variant>
        <vt:lpwstr/>
      </vt:variant>
      <vt:variant>
        <vt:i4>4849705</vt:i4>
      </vt:variant>
      <vt:variant>
        <vt:i4>1071</vt:i4>
      </vt:variant>
      <vt:variant>
        <vt:i4>0</vt:i4>
      </vt:variant>
      <vt:variant>
        <vt:i4>5</vt:i4>
      </vt:variant>
      <vt:variant>
        <vt:lpwstr/>
      </vt:variant>
      <vt:variant>
        <vt:lpwstr>Appendix_7_Table_7point19</vt:lpwstr>
      </vt:variant>
      <vt:variant>
        <vt:i4>4653076</vt:i4>
      </vt:variant>
      <vt:variant>
        <vt:i4>1068</vt:i4>
      </vt:variant>
      <vt:variant>
        <vt:i4>0</vt:i4>
      </vt:variant>
      <vt:variant>
        <vt:i4>5</vt:i4>
      </vt:variant>
      <vt:variant>
        <vt:lpwstr>http://www.esmo.org/guidelines/esmo-mcbs/esmo-mcbs-scorecards/scorecard-88-1</vt:lpwstr>
      </vt:variant>
      <vt:variant>
        <vt:lpwstr/>
      </vt:variant>
      <vt:variant>
        <vt:i4>5242891</vt:i4>
      </vt:variant>
      <vt:variant>
        <vt:i4>1065</vt:i4>
      </vt:variant>
      <vt:variant>
        <vt:i4>0</vt:i4>
      </vt:variant>
      <vt:variant>
        <vt:i4>5</vt:i4>
      </vt:variant>
      <vt:variant>
        <vt:lpwstr>http://www.esmo.org/guidelines/esmo-mcbs/esmo-mcbs-scorecards/scorecard-238-1</vt:lpwstr>
      </vt:variant>
      <vt:variant>
        <vt:lpwstr/>
      </vt:variant>
      <vt:variant>
        <vt:i4>4718612</vt:i4>
      </vt:variant>
      <vt:variant>
        <vt:i4>1062</vt:i4>
      </vt:variant>
      <vt:variant>
        <vt:i4>0</vt:i4>
      </vt:variant>
      <vt:variant>
        <vt:i4>5</vt:i4>
      </vt:variant>
      <vt:variant>
        <vt:lpwstr>http://www.esmo.org/guidelines/esmo-mcbs/esmo-mcbs-scorecards/scorecard-87-1</vt:lpwstr>
      </vt:variant>
      <vt:variant>
        <vt:lpwstr/>
      </vt:variant>
      <vt:variant>
        <vt:i4>11</vt:i4>
      </vt:variant>
      <vt:variant>
        <vt:i4>1059</vt:i4>
      </vt:variant>
      <vt:variant>
        <vt:i4>0</vt:i4>
      </vt:variant>
      <vt:variant>
        <vt:i4>5</vt:i4>
      </vt:variant>
      <vt:variant>
        <vt:lpwstr/>
      </vt:variant>
      <vt:variant>
        <vt:lpwstr>Epidemiology</vt:lpwstr>
      </vt:variant>
      <vt:variant>
        <vt:i4>3473470</vt:i4>
      </vt:variant>
      <vt:variant>
        <vt:i4>1056</vt:i4>
      </vt:variant>
      <vt:variant>
        <vt:i4>0</vt:i4>
      </vt:variant>
      <vt:variant>
        <vt:i4>5</vt:i4>
      </vt:variant>
      <vt:variant>
        <vt:lpwstr>https://connect.pharmac.govt.nz/apptracker/s/application-public/a102P000008puXS/p001176</vt:lpwstr>
      </vt:variant>
      <vt:variant>
        <vt:lpwstr/>
      </vt:variant>
      <vt:variant>
        <vt:i4>4849705</vt:i4>
      </vt:variant>
      <vt:variant>
        <vt:i4>1053</vt:i4>
      </vt:variant>
      <vt:variant>
        <vt:i4>0</vt:i4>
      </vt:variant>
      <vt:variant>
        <vt:i4>5</vt:i4>
      </vt:variant>
      <vt:variant>
        <vt:lpwstr/>
      </vt:variant>
      <vt:variant>
        <vt:lpwstr>Appendix_7_Table_7point17</vt:lpwstr>
      </vt:variant>
      <vt:variant>
        <vt:i4>5505026</vt:i4>
      </vt:variant>
      <vt:variant>
        <vt:i4>1050</vt:i4>
      </vt:variant>
      <vt:variant>
        <vt:i4>0</vt:i4>
      </vt:variant>
      <vt:variant>
        <vt:i4>5</vt:i4>
      </vt:variant>
      <vt:variant>
        <vt:lpwstr>http://www.esmo.org/guidelines/esmo-mcbs/esmo-mcbs-scorecards/scorecard-172-1</vt:lpwstr>
      </vt:variant>
      <vt:variant>
        <vt:lpwstr/>
      </vt:variant>
      <vt:variant>
        <vt:i4>11</vt:i4>
      </vt:variant>
      <vt:variant>
        <vt:i4>1047</vt:i4>
      </vt:variant>
      <vt:variant>
        <vt:i4>0</vt:i4>
      </vt:variant>
      <vt:variant>
        <vt:i4>5</vt:i4>
      </vt:variant>
      <vt:variant>
        <vt:lpwstr/>
      </vt:variant>
      <vt:variant>
        <vt:lpwstr>Epidemiology</vt:lpwstr>
      </vt:variant>
      <vt:variant>
        <vt:i4>5505027</vt:i4>
      </vt:variant>
      <vt:variant>
        <vt:i4>1044</vt:i4>
      </vt:variant>
      <vt:variant>
        <vt:i4>0</vt:i4>
      </vt:variant>
      <vt:variant>
        <vt:i4>5</vt:i4>
      </vt:variant>
      <vt:variant>
        <vt:lpwstr>http://www.esmo.org/guidelines/esmo-mcbs/esmo-mcbs-scorecards/scorecard-173-1</vt:lpwstr>
      </vt:variant>
      <vt:variant>
        <vt:lpwstr/>
      </vt:variant>
      <vt:variant>
        <vt:i4>5505028</vt:i4>
      </vt:variant>
      <vt:variant>
        <vt:i4>1041</vt:i4>
      </vt:variant>
      <vt:variant>
        <vt:i4>0</vt:i4>
      </vt:variant>
      <vt:variant>
        <vt:i4>5</vt:i4>
      </vt:variant>
      <vt:variant>
        <vt:lpwstr>http://www.esmo.org/guidelines/esmo-mcbs/esmo-mcbs-scorecards/scorecard-174-1</vt:lpwstr>
      </vt:variant>
      <vt:variant>
        <vt:lpwstr/>
      </vt:variant>
      <vt:variant>
        <vt:i4>3801213</vt:i4>
      </vt:variant>
      <vt:variant>
        <vt:i4>1038</vt:i4>
      </vt:variant>
      <vt:variant>
        <vt:i4>0</vt:i4>
      </vt:variant>
      <vt:variant>
        <vt:i4>5</vt:i4>
      </vt:variant>
      <vt:variant>
        <vt:lpwstr>https://connect.pharmac.govt.nz/apptracker/s/application-public/a102P000008ptx2/p000298</vt:lpwstr>
      </vt:variant>
      <vt:variant>
        <vt:lpwstr/>
      </vt:variant>
      <vt:variant>
        <vt:i4>5963785</vt:i4>
      </vt:variant>
      <vt:variant>
        <vt:i4>1035</vt:i4>
      </vt:variant>
      <vt:variant>
        <vt:i4>0</vt:i4>
      </vt:variant>
      <vt:variant>
        <vt:i4>5</vt:i4>
      </vt:variant>
      <vt:variant>
        <vt:lpwstr>http://www.esmo.org/guidelines/esmo-mcbs/esmo-mcbs-scorecards/scorecard-189-1</vt:lpwstr>
      </vt:variant>
      <vt:variant>
        <vt:lpwstr/>
      </vt:variant>
      <vt:variant>
        <vt:i4>4718623</vt:i4>
      </vt:variant>
      <vt:variant>
        <vt:i4>1032</vt:i4>
      </vt:variant>
      <vt:variant>
        <vt:i4>0</vt:i4>
      </vt:variant>
      <vt:variant>
        <vt:i4>5</vt:i4>
      </vt:variant>
      <vt:variant>
        <vt:lpwstr>http://www.esmo.org/guidelines/esmo-mcbs/esmo-mcbs-scorecards/scorecard-37-1</vt:lpwstr>
      </vt:variant>
      <vt:variant>
        <vt:lpwstr/>
      </vt:variant>
      <vt:variant>
        <vt:i4>2752575</vt:i4>
      </vt:variant>
      <vt:variant>
        <vt:i4>1029</vt:i4>
      </vt:variant>
      <vt:variant>
        <vt:i4>0</vt:i4>
      </vt:variant>
      <vt:variant>
        <vt:i4>5</vt:i4>
      </vt:variant>
      <vt:variant>
        <vt:lpwstr>https://connect.pharmac.govt.nz/apptracker/s/application-public/a102P000008pufP/p001366</vt:lpwstr>
      </vt:variant>
      <vt:variant>
        <vt:lpwstr/>
      </vt:variant>
      <vt:variant>
        <vt:i4>5701636</vt:i4>
      </vt:variant>
      <vt:variant>
        <vt:i4>1026</vt:i4>
      </vt:variant>
      <vt:variant>
        <vt:i4>0</vt:i4>
      </vt:variant>
      <vt:variant>
        <vt:i4>5</vt:i4>
      </vt:variant>
      <vt:variant>
        <vt:lpwstr>http://www.esmo.org/guidelines/esmo-mcbs/esmo-mcbs-scorecards/scorecard-144-1</vt:lpwstr>
      </vt:variant>
      <vt:variant>
        <vt:lpwstr/>
      </vt:variant>
      <vt:variant>
        <vt:i4>6553703</vt:i4>
      </vt:variant>
      <vt:variant>
        <vt:i4>1023</vt:i4>
      </vt:variant>
      <vt:variant>
        <vt:i4>0</vt:i4>
      </vt:variant>
      <vt:variant>
        <vt:i4>5</vt:i4>
      </vt:variant>
      <vt:variant>
        <vt:lpwstr>https://connect.pharmac.govt.nz/apptracker/s/application-public/a102P00000AHK3i/p001558</vt:lpwstr>
      </vt:variant>
      <vt:variant>
        <vt:lpwstr/>
      </vt:variant>
      <vt:variant>
        <vt:i4>5505035</vt:i4>
      </vt:variant>
      <vt:variant>
        <vt:i4>1020</vt:i4>
      </vt:variant>
      <vt:variant>
        <vt:i4>0</vt:i4>
      </vt:variant>
      <vt:variant>
        <vt:i4>5</vt:i4>
      </vt:variant>
      <vt:variant>
        <vt:lpwstr>http://www.esmo.org/guidelines/esmo-mcbs/esmo-mcbs-scorecards/scorecard-278-1</vt:lpwstr>
      </vt:variant>
      <vt:variant>
        <vt:lpwstr/>
      </vt:variant>
      <vt:variant>
        <vt:i4>7471167</vt:i4>
      </vt:variant>
      <vt:variant>
        <vt:i4>1017</vt:i4>
      </vt:variant>
      <vt:variant>
        <vt:i4>0</vt:i4>
      </vt:variant>
      <vt:variant>
        <vt:i4>5</vt:i4>
      </vt:variant>
      <vt:variant>
        <vt:lpwstr>https://connect.pharmac.govt.nz/apptracker/s/application-public/a102P000008pu1w/p000485</vt:lpwstr>
      </vt:variant>
      <vt:variant>
        <vt:lpwstr/>
      </vt:variant>
      <vt:variant>
        <vt:i4>4849705</vt:i4>
      </vt:variant>
      <vt:variant>
        <vt:i4>1014</vt:i4>
      </vt:variant>
      <vt:variant>
        <vt:i4>0</vt:i4>
      </vt:variant>
      <vt:variant>
        <vt:i4>5</vt:i4>
      </vt:variant>
      <vt:variant>
        <vt:lpwstr/>
      </vt:variant>
      <vt:variant>
        <vt:lpwstr>Appendix_7_Table_7point10</vt:lpwstr>
      </vt:variant>
      <vt:variant>
        <vt:i4>5439492</vt:i4>
      </vt:variant>
      <vt:variant>
        <vt:i4>1011</vt:i4>
      </vt:variant>
      <vt:variant>
        <vt:i4>0</vt:i4>
      </vt:variant>
      <vt:variant>
        <vt:i4>5</vt:i4>
      </vt:variant>
      <vt:variant>
        <vt:lpwstr>http://www.esmo.org/guidelines/esmo-mcbs/esmo-mcbs-scorecards/scorecard-104-1</vt:lpwstr>
      </vt:variant>
      <vt:variant>
        <vt:lpwstr/>
      </vt:variant>
      <vt:variant>
        <vt:i4>8060960</vt:i4>
      </vt:variant>
      <vt:variant>
        <vt:i4>1008</vt:i4>
      </vt:variant>
      <vt:variant>
        <vt:i4>0</vt:i4>
      </vt:variant>
      <vt:variant>
        <vt:i4>5</vt:i4>
      </vt:variant>
      <vt:variant>
        <vt:lpwstr>https://connect.pharmac.govt.nz/apptracker/s/application-public/a102P000008pu4I/p000543</vt:lpwstr>
      </vt:variant>
      <vt:variant>
        <vt:lpwstr/>
      </vt:variant>
      <vt:variant>
        <vt:i4>4849705</vt:i4>
      </vt:variant>
      <vt:variant>
        <vt:i4>1005</vt:i4>
      </vt:variant>
      <vt:variant>
        <vt:i4>0</vt:i4>
      </vt:variant>
      <vt:variant>
        <vt:i4>5</vt:i4>
      </vt:variant>
      <vt:variant>
        <vt:lpwstr/>
      </vt:variant>
      <vt:variant>
        <vt:lpwstr>Appendix_7_Table_7point10</vt:lpwstr>
      </vt:variant>
      <vt:variant>
        <vt:i4>5439491</vt:i4>
      </vt:variant>
      <vt:variant>
        <vt:i4>1002</vt:i4>
      </vt:variant>
      <vt:variant>
        <vt:i4>0</vt:i4>
      </vt:variant>
      <vt:variant>
        <vt:i4>5</vt:i4>
      </vt:variant>
      <vt:variant>
        <vt:lpwstr>http://www.esmo.org/guidelines/esmo-mcbs/esmo-mcbs-scorecards/scorecard-103-1</vt:lpwstr>
      </vt:variant>
      <vt:variant>
        <vt:lpwstr/>
      </vt:variant>
      <vt:variant>
        <vt:i4>3276857</vt:i4>
      </vt:variant>
      <vt:variant>
        <vt:i4>999</vt:i4>
      </vt:variant>
      <vt:variant>
        <vt:i4>0</vt:i4>
      </vt:variant>
      <vt:variant>
        <vt:i4>5</vt:i4>
      </vt:variant>
      <vt:variant>
        <vt:lpwstr>https://connect.pharmac.govt.nz/apptracker/s/application-public/a102P000008puZW/p001229</vt:lpwstr>
      </vt:variant>
      <vt:variant>
        <vt:lpwstr/>
      </vt:variant>
      <vt:variant>
        <vt:i4>5373959</vt:i4>
      </vt:variant>
      <vt:variant>
        <vt:i4>996</vt:i4>
      </vt:variant>
      <vt:variant>
        <vt:i4>0</vt:i4>
      </vt:variant>
      <vt:variant>
        <vt:i4>5</vt:i4>
      </vt:variant>
      <vt:variant>
        <vt:lpwstr>http://www.esmo.org/guidelines/esmo-mcbs/esmo-mcbs-scorecards/scorecard-117-1</vt:lpwstr>
      </vt:variant>
      <vt:variant>
        <vt:lpwstr/>
      </vt:variant>
      <vt:variant>
        <vt:i4>4390953</vt:i4>
      </vt:variant>
      <vt:variant>
        <vt:i4>993</vt:i4>
      </vt:variant>
      <vt:variant>
        <vt:i4>0</vt:i4>
      </vt:variant>
      <vt:variant>
        <vt:i4>5</vt:i4>
      </vt:variant>
      <vt:variant>
        <vt:lpwstr/>
      </vt:variant>
      <vt:variant>
        <vt:lpwstr>Appendix_7_Table_7point8</vt:lpwstr>
      </vt:variant>
      <vt:variant>
        <vt:i4>4653085</vt:i4>
      </vt:variant>
      <vt:variant>
        <vt:i4>990</vt:i4>
      </vt:variant>
      <vt:variant>
        <vt:i4>0</vt:i4>
      </vt:variant>
      <vt:variant>
        <vt:i4>5</vt:i4>
      </vt:variant>
      <vt:variant>
        <vt:lpwstr>http://www.esmo.org/guidelines/esmo-mcbs/esmo-mcbs-scorecards/scorecard-18-1</vt:lpwstr>
      </vt:variant>
      <vt:variant>
        <vt:lpwstr/>
      </vt:variant>
      <vt:variant>
        <vt:i4>3670063</vt:i4>
      </vt:variant>
      <vt:variant>
        <vt:i4>987</vt:i4>
      </vt:variant>
      <vt:variant>
        <vt:i4>0</vt:i4>
      </vt:variant>
      <vt:variant>
        <vt:i4>5</vt:i4>
      </vt:variant>
      <vt:variant>
        <vt:lpwstr>https://connect.pharmac.govt.nz/apptracker/s/application-public/a102P000008pttC/p000175</vt:lpwstr>
      </vt:variant>
      <vt:variant>
        <vt:lpwstr/>
      </vt:variant>
      <vt:variant>
        <vt:i4>4849693</vt:i4>
      </vt:variant>
      <vt:variant>
        <vt:i4>984</vt:i4>
      </vt:variant>
      <vt:variant>
        <vt:i4>0</vt:i4>
      </vt:variant>
      <vt:variant>
        <vt:i4>5</vt:i4>
      </vt:variant>
      <vt:variant>
        <vt:lpwstr>http://www.esmo.org/guidelines/esmo-mcbs/esmo-mcbs-scorecards/scorecard-15-1</vt:lpwstr>
      </vt:variant>
      <vt:variant>
        <vt:lpwstr/>
      </vt:variant>
      <vt:variant>
        <vt:i4>4718621</vt:i4>
      </vt:variant>
      <vt:variant>
        <vt:i4>981</vt:i4>
      </vt:variant>
      <vt:variant>
        <vt:i4>0</vt:i4>
      </vt:variant>
      <vt:variant>
        <vt:i4>5</vt:i4>
      </vt:variant>
      <vt:variant>
        <vt:lpwstr>http://www.esmo.org/guidelines/esmo-mcbs/esmo-mcbs-scorecards/scorecard-17-1</vt:lpwstr>
      </vt:variant>
      <vt:variant>
        <vt:lpwstr/>
      </vt:variant>
      <vt:variant>
        <vt:i4>3997823</vt:i4>
      </vt:variant>
      <vt:variant>
        <vt:i4>978</vt:i4>
      </vt:variant>
      <vt:variant>
        <vt:i4>0</vt:i4>
      </vt:variant>
      <vt:variant>
        <vt:i4>5</vt:i4>
      </vt:variant>
      <vt:variant>
        <vt:lpwstr>https://connect.pharmac.govt.nz/apptracker/s/application-public/a102P000008puV2/p001111</vt:lpwstr>
      </vt:variant>
      <vt:variant>
        <vt:lpwstr/>
      </vt:variant>
      <vt:variant>
        <vt:i4>4128811</vt:i4>
      </vt:variant>
      <vt:variant>
        <vt:i4>975</vt:i4>
      </vt:variant>
      <vt:variant>
        <vt:i4>0</vt:i4>
      </vt:variant>
      <vt:variant>
        <vt:i4>5</vt:i4>
      </vt:variant>
      <vt:variant>
        <vt:lpwstr>https://connect.pharmac.govt.nz/apptracker/s/application-public/a102P000008ptuD/p000218</vt:lpwstr>
      </vt:variant>
      <vt:variant>
        <vt:lpwstr/>
      </vt:variant>
      <vt:variant>
        <vt:i4>3604523</vt:i4>
      </vt:variant>
      <vt:variant>
        <vt:i4>972</vt:i4>
      </vt:variant>
      <vt:variant>
        <vt:i4>0</vt:i4>
      </vt:variant>
      <vt:variant>
        <vt:i4>5</vt:i4>
      </vt:variant>
      <vt:variant>
        <vt:lpwstr>https://connect.pharmac.govt.nz/apptracker/s/application-public/a102P000008ptyE/p000352</vt:lpwstr>
      </vt:variant>
      <vt:variant>
        <vt:lpwstr/>
      </vt:variant>
      <vt:variant>
        <vt:i4>5373958</vt:i4>
      </vt:variant>
      <vt:variant>
        <vt:i4>969</vt:i4>
      </vt:variant>
      <vt:variant>
        <vt:i4>0</vt:i4>
      </vt:variant>
      <vt:variant>
        <vt:i4>5</vt:i4>
      </vt:variant>
      <vt:variant>
        <vt:lpwstr>http://www.esmo.org/guidelines/esmo-mcbs/esmo-mcbs-scorecards/scorecard-215-1</vt:lpwstr>
      </vt:variant>
      <vt:variant>
        <vt:lpwstr/>
      </vt:variant>
      <vt:variant>
        <vt:i4>3080297</vt:i4>
      </vt:variant>
      <vt:variant>
        <vt:i4>966</vt:i4>
      </vt:variant>
      <vt:variant>
        <vt:i4>0</vt:i4>
      </vt:variant>
      <vt:variant>
        <vt:i4>5</vt:i4>
      </vt:variant>
      <vt:variant>
        <vt:lpwstr>https://connect.pharmac.govt.nz/apptracker/s/application-public/a102P00000AlzxU/p001618</vt:lpwstr>
      </vt:variant>
      <vt:variant>
        <vt:lpwstr/>
      </vt:variant>
      <vt:variant>
        <vt:i4>524295</vt:i4>
      </vt:variant>
      <vt:variant>
        <vt:i4>963</vt:i4>
      </vt:variant>
      <vt:variant>
        <vt:i4>0</vt:i4>
      </vt:variant>
      <vt:variant>
        <vt:i4>5</vt:i4>
      </vt:variant>
      <vt:variant>
        <vt:lpwstr>https://pubmed.ncbi.nlm.nih.gov/30516102/</vt:lpwstr>
      </vt:variant>
      <vt:variant>
        <vt:lpwstr/>
      </vt:variant>
      <vt:variant>
        <vt:i4>7864381</vt:i4>
      </vt:variant>
      <vt:variant>
        <vt:i4>960</vt:i4>
      </vt:variant>
      <vt:variant>
        <vt:i4>0</vt:i4>
      </vt:variant>
      <vt:variant>
        <vt:i4>5</vt:i4>
      </vt:variant>
      <vt:variant>
        <vt:lpwstr>https://connect.pharmac.govt.nz/apptracker/s/application-public/a102P000009rn2n/p001522</vt:lpwstr>
      </vt:variant>
      <vt:variant>
        <vt:lpwstr/>
      </vt:variant>
      <vt:variant>
        <vt:i4>5177385</vt:i4>
      </vt:variant>
      <vt:variant>
        <vt:i4>957</vt:i4>
      </vt:variant>
      <vt:variant>
        <vt:i4>0</vt:i4>
      </vt:variant>
      <vt:variant>
        <vt:i4>5</vt:i4>
      </vt:variant>
      <vt:variant>
        <vt:lpwstr/>
      </vt:variant>
      <vt:variant>
        <vt:lpwstr>Appendix_7_Table_7point4</vt:lpwstr>
      </vt:variant>
      <vt:variant>
        <vt:i4>5308419</vt:i4>
      </vt:variant>
      <vt:variant>
        <vt:i4>954</vt:i4>
      </vt:variant>
      <vt:variant>
        <vt:i4>0</vt:i4>
      </vt:variant>
      <vt:variant>
        <vt:i4>5</vt:i4>
      </vt:variant>
      <vt:variant>
        <vt:lpwstr>http://www.esmo.org/guidelines/esmo-mcbs/esmo-mcbs-scorecards/scorecard-123-1</vt:lpwstr>
      </vt:variant>
      <vt:variant>
        <vt:lpwstr/>
      </vt:variant>
      <vt:variant>
        <vt:i4>3211299</vt:i4>
      </vt:variant>
      <vt:variant>
        <vt:i4>951</vt:i4>
      </vt:variant>
      <vt:variant>
        <vt:i4>0</vt:i4>
      </vt:variant>
      <vt:variant>
        <vt:i4>5</vt:i4>
      </vt:variant>
      <vt:variant>
        <vt:lpwstr>https://connect.pharmac.govt.nz/apptracker/s/application-public/a102P000008ptxm/p000329</vt:lpwstr>
      </vt:variant>
      <vt:variant>
        <vt:lpwstr/>
      </vt:variant>
      <vt:variant>
        <vt:i4>5308419</vt:i4>
      </vt:variant>
      <vt:variant>
        <vt:i4>948</vt:i4>
      </vt:variant>
      <vt:variant>
        <vt:i4>0</vt:i4>
      </vt:variant>
      <vt:variant>
        <vt:i4>5</vt:i4>
      </vt:variant>
      <vt:variant>
        <vt:lpwstr>http://www.esmo.org/guidelines/esmo-mcbs/esmo-mcbs-scorecards/scorecard-123-1</vt:lpwstr>
      </vt:variant>
      <vt:variant>
        <vt:lpwstr/>
      </vt:variant>
      <vt:variant>
        <vt:i4>8257647</vt:i4>
      </vt:variant>
      <vt:variant>
        <vt:i4>945</vt:i4>
      </vt:variant>
      <vt:variant>
        <vt:i4>0</vt:i4>
      </vt:variant>
      <vt:variant>
        <vt:i4>5</vt:i4>
      </vt:variant>
      <vt:variant>
        <vt:lpwstr>https://connect.pharmac.govt.nz/apptracker/s/application-public/a102P000009sG55/p001526</vt:lpwstr>
      </vt:variant>
      <vt:variant>
        <vt:lpwstr/>
      </vt:variant>
      <vt:variant>
        <vt:i4>5505024</vt:i4>
      </vt:variant>
      <vt:variant>
        <vt:i4>942</vt:i4>
      </vt:variant>
      <vt:variant>
        <vt:i4>0</vt:i4>
      </vt:variant>
      <vt:variant>
        <vt:i4>5</vt:i4>
      </vt:variant>
      <vt:variant>
        <vt:lpwstr>http://www.esmo.org/guidelines/esmo-mcbs/esmo-mcbs-scorecards/scorecard-170-1</vt:lpwstr>
      </vt:variant>
      <vt:variant>
        <vt:lpwstr/>
      </vt:variant>
      <vt:variant>
        <vt:i4>3473455</vt:i4>
      </vt:variant>
      <vt:variant>
        <vt:i4>939</vt:i4>
      </vt:variant>
      <vt:variant>
        <vt:i4>0</vt:i4>
      </vt:variant>
      <vt:variant>
        <vt:i4>5</vt:i4>
      </vt:variant>
      <vt:variant>
        <vt:lpwstr>https://connect.pharmac.govt.nz/apptracker/s/application-public/a102P000009kZDh/p001500</vt:lpwstr>
      </vt:variant>
      <vt:variant>
        <vt:lpwstr/>
      </vt:variant>
      <vt:variant>
        <vt:i4>4849705</vt:i4>
      </vt:variant>
      <vt:variant>
        <vt:i4>936</vt:i4>
      </vt:variant>
      <vt:variant>
        <vt:i4>0</vt:i4>
      </vt:variant>
      <vt:variant>
        <vt:i4>5</vt:i4>
      </vt:variant>
      <vt:variant>
        <vt:lpwstr/>
      </vt:variant>
      <vt:variant>
        <vt:lpwstr>Appendix_7_Table_7point1</vt:lpwstr>
      </vt:variant>
      <vt:variant>
        <vt:i4>4849689</vt:i4>
      </vt:variant>
      <vt:variant>
        <vt:i4>933</vt:i4>
      </vt:variant>
      <vt:variant>
        <vt:i4>0</vt:i4>
      </vt:variant>
      <vt:variant>
        <vt:i4>5</vt:i4>
      </vt:variant>
      <vt:variant>
        <vt:lpwstr>http://www.esmo.org/guidelines/esmo-mcbs/esmo-mcbs-scorecards/scorecard-55-1</vt:lpwstr>
      </vt:variant>
      <vt:variant>
        <vt:lpwstr/>
      </vt:variant>
      <vt:variant>
        <vt:i4>4784153</vt:i4>
      </vt:variant>
      <vt:variant>
        <vt:i4>930</vt:i4>
      </vt:variant>
      <vt:variant>
        <vt:i4>0</vt:i4>
      </vt:variant>
      <vt:variant>
        <vt:i4>5</vt:i4>
      </vt:variant>
      <vt:variant>
        <vt:lpwstr>http://www.esmo.org/guidelines/esmo-mcbs/esmo-mcbs-scorecards/scorecard-56-1</vt:lpwstr>
      </vt:variant>
      <vt:variant>
        <vt:lpwstr/>
      </vt:variant>
      <vt:variant>
        <vt:i4>5308422</vt:i4>
      </vt:variant>
      <vt:variant>
        <vt:i4>927</vt:i4>
      </vt:variant>
      <vt:variant>
        <vt:i4>0</vt:i4>
      </vt:variant>
      <vt:variant>
        <vt:i4>5</vt:i4>
      </vt:variant>
      <vt:variant>
        <vt:lpwstr>http://www.esmo.org/guidelines/esmo-mcbs/esmo-mcbs-scorecards/scorecard-126-1</vt:lpwstr>
      </vt:variant>
      <vt:variant>
        <vt:lpwstr/>
      </vt:variant>
      <vt:variant>
        <vt:i4>2490428</vt:i4>
      </vt:variant>
      <vt:variant>
        <vt:i4>924</vt:i4>
      </vt:variant>
      <vt:variant>
        <vt:i4>0</vt:i4>
      </vt:variant>
      <vt:variant>
        <vt:i4>5</vt:i4>
      </vt:variant>
      <vt:variant>
        <vt:lpwstr>https://connect.pharmac.govt.nz/apptracker/s/application-public/a102P000008puDw/p000793</vt:lpwstr>
      </vt:variant>
      <vt:variant>
        <vt:lpwstr/>
      </vt:variant>
      <vt:variant>
        <vt:i4>3801144</vt:i4>
      </vt:variant>
      <vt:variant>
        <vt:i4>921</vt:i4>
      </vt:variant>
      <vt:variant>
        <vt:i4>0</vt:i4>
      </vt:variant>
      <vt:variant>
        <vt:i4>5</vt:i4>
      </vt:variant>
      <vt:variant>
        <vt:lpwstr>https://connect.pharmac.govt.nz/apptracker/s/application-public/a102P000008ptuw/p000243</vt:lpwstr>
      </vt:variant>
      <vt:variant>
        <vt:lpwstr/>
      </vt:variant>
      <vt:variant>
        <vt:i4>4653082</vt:i4>
      </vt:variant>
      <vt:variant>
        <vt:i4>918</vt:i4>
      </vt:variant>
      <vt:variant>
        <vt:i4>0</vt:i4>
      </vt:variant>
      <vt:variant>
        <vt:i4>5</vt:i4>
      </vt:variant>
      <vt:variant>
        <vt:lpwstr>http://www.esmo.org/guidelines/esmo-mcbs/esmo-mcbs-scorecards/scorecard-68-1</vt:lpwstr>
      </vt:variant>
      <vt:variant>
        <vt:lpwstr/>
      </vt:variant>
      <vt:variant>
        <vt:i4>5636100</vt:i4>
      </vt:variant>
      <vt:variant>
        <vt:i4>915</vt:i4>
      </vt:variant>
      <vt:variant>
        <vt:i4>0</vt:i4>
      </vt:variant>
      <vt:variant>
        <vt:i4>5</vt:i4>
      </vt:variant>
      <vt:variant>
        <vt:lpwstr>http://www.esmo.org/guidelines/esmo-mcbs/esmo-mcbs-scorecards/scorecard-257-1</vt:lpwstr>
      </vt:variant>
      <vt:variant>
        <vt:lpwstr/>
      </vt:variant>
      <vt:variant>
        <vt:i4>5636101</vt:i4>
      </vt:variant>
      <vt:variant>
        <vt:i4>912</vt:i4>
      </vt:variant>
      <vt:variant>
        <vt:i4>0</vt:i4>
      </vt:variant>
      <vt:variant>
        <vt:i4>5</vt:i4>
      </vt:variant>
      <vt:variant>
        <vt:lpwstr>http://www.esmo.org/guidelines/esmo-mcbs/esmo-mcbs-scorecards/scorecard-155-1</vt:lpwstr>
      </vt:variant>
      <vt:variant>
        <vt:lpwstr/>
      </vt:variant>
      <vt:variant>
        <vt:i4>2490487</vt:i4>
      </vt:variant>
      <vt:variant>
        <vt:i4>909</vt:i4>
      </vt:variant>
      <vt:variant>
        <vt:i4>0</vt:i4>
      </vt:variant>
      <vt:variant>
        <vt:i4>5</vt:i4>
      </vt:variant>
      <vt:variant>
        <vt:lpwstr>https://connect.pharmac.govt.nz/apptracker/s/application-public/a102P000008puL2/p000911</vt:lpwstr>
      </vt:variant>
      <vt:variant>
        <vt:lpwstr/>
      </vt:variant>
      <vt:variant>
        <vt:i4>7733375</vt:i4>
      </vt:variant>
      <vt:variant>
        <vt:i4>906</vt:i4>
      </vt:variant>
      <vt:variant>
        <vt:i4>0</vt:i4>
      </vt:variant>
      <vt:variant>
        <vt:i4>5</vt:i4>
      </vt:variant>
      <vt:variant>
        <vt:lpwstr>https://connect.pharmac.govt.nz/apptracker/s/application-public/a102P000008pu56/p000583</vt:lpwstr>
      </vt:variant>
      <vt:variant>
        <vt:lpwstr/>
      </vt:variant>
      <vt:variant>
        <vt:i4>3014700</vt:i4>
      </vt:variant>
      <vt:variant>
        <vt:i4>903</vt:i4>
      </vt:variant>
      <vt:variant>
        <vt:i4>0</vt:i4>
      </vt:variant>
      <vt:variant>
        <vt:i4>5</vt:i4>
      </vt:variant>
      <vt:variant>
        <vt:lpwstr>https://connect.pharmac.govt.nz/apptracker/s/application-public/a102P000008puFH/p000836</vt:lpwstr>
      </vt:variant>
      <vt:variant>
        <vt:lpwstr/>
      </vt:variant>
      <vt:variant>
        <vt:i4>7667811</vt:i4>
      </vt:variant>
      <vt:variant>
        <vt:i4>900</vt:i4>
      </vt:variant>
      <vt:variant>
        <vt:i4>0</vt:i4>
      </vt:variant>
      <vt:variant>
        <vt:i4>5</vt:i4>
      </vt:variant>
      <vt:variant>
        <vt:lpwstr>http://www.health.gov.on.ca/en/pro/programs/drugs/funded_drug/funded_drug.aspx</vt:lpwstr>
      </vt:variant>
      <vt:variant>
        <vt:lpwstr/>
      </vt:variant>
      <vt:variant>
        <vt:i4>4849705</vt:i4>
      </vt:variant>
      <vt:variant>
        <vt:i4>897</vt:i4>
      </vt:variant>
      <vt:variant>
        <vt:i4>0</vt:i4>
      </vt:variant>
      <vt:variant>
        <vt:i4>5</vt:i4>
      </vt:variant>
      <vt:variant>
        <vt:lpwstr/>
      </vt:variant>
      <vt:variant>
        <vt:lpwstr>Appendix_6_Table_6point1</vt:lpwstr>
      </vt:variant>
      <vt:variant>
        <vt:i4>2687023</vt:i4>
      </vt:variant>
      <vt:variant>
        <vt:i4>894</vt:i4>
      </vt:variant>
      <vt:variant>
        <vt:i4>0</vt:i4>
      </vt:variant>
      <vt:variant>
        <vt:i4>5</vt:i4>
      </vt:variant>
      <vt:variant>
        <vt:lpwstr>https://connect.pharmac.govt.nz/apptracker/s/application-public/a102P000009sDbV/p001524</vt:lpwstr>
      </vt:variant>
      <vt:variant>
        <vt:lpwstr/>
      </vt:variant>
      <vt:variant>
        <vt:i4>3145844</vt:i4>
      </vt:variant>
      <vt:variant>
        <vt:i4>891</vt:i4>
      </vt:variant>
      <vt:variant>
        <vt:i4>0</vt:i4>
      </vt:variant>
      <vt:variant>
        <vt:i4>5</vt:i4>
      </vt:variant>
      <vt:variant>
        <vt:lpwstr>https://connect.pharmac.govt.nz/apptracker/s/application-public/a102P00000BIsCc/p001700</vt:lpwstr>
      </vt:variant>
      <vt:variant>
        <vt:lpwstr/>
      </vt:variant>
      <vt:variant>
        <vt:i4>3145855</vt:i4>
      </vt:variant>
      <vt:variant>
        <vt:i4>888</vt:i4>
      </vt:variant>
      <vt:variant>
        <vt:i4>0</vt:i4>
      </vt:variant>
      <vt:variant>
        <vt:i4>5</vt:i4>
      </vt:variant>
      <vt:variant>
        <vt:lpwstr>https://connect.pharmac.govt.nz/apptracker/s/application-public/a102P00000BIsCh/p001701</vt:lpwstr>
      </vt:variant>
      <vt:variant>
        <vt:lpwstr/>
      </vt:variant>
      <vt:variant>
        <vt:i4>7995441</vt:i4>
      </vt:variant>
      <vt:variant>
        <vt:i4>885</vt:i4>
      </vt:variant>
      <vt:variant>
        <vt:i4>0</vt:i4>
      </vt:variant>
      <vt:variant>
        <vt:i4>5</vt:i4>
      </vt:variant>
      <vt:variant>
        <vt:lpwstr>https://connect.pharmac.govt.nz/apptracker/s/application-public/a102P000008pu3x/p000527</vt:lpwstr>
      </vt:variant>
      <vt:variant>
        <vt:lpwstr/>
      </vt:variant>
      <vt:variant>
        <vt:i4>3997817</vt:i4>
      </vt:variant>
      <vt:variant>
        <vt:i4>882</vt:i4>
      </vt:variant>
      <vt:variant>
        <vt:i4>0</vt:i4>
      </vt:variant>
      <vt:variant>
        <vt:i4>5</vt:i4>
      </vt:variant>
      <vt:variant>
        <vt:lpwstr>https://connect.pharmac.govt.nz/apptracker/s/application-public/a102P00000BLKJv/p001719</vt:lpwstr>
      </vt:variant>
      <vt:variant>
        <vt:lpwstr/>
      </vt:variant>
      <vt:variant>
        <vt:i4>3997795</vt:i4>
      </vt:variant>
      <vt:variant>
        <vt:i4>879</vt:i4>
      </vt:variant>
      <vt:variant>
        <vt:i4>0</vt:i4>
      </vt:variant>
      <vt:variant>
        <vt:i4>5</vt:i4>
      </vt:variant>
      <vt:variant>
        <vt:lpwstr>https://connect.pharmac.govt.nz/apptracker/s/application-public/a102P00000BLKJl/p001718</vt:lpwstr>
      </vt:variant>
      <vt:variant>
        <vt:lpwstr/>
      </vt:variant>
      <vt:variant>
        <vt:i4>2687023</vt:i4>
      </vt:variant>
      <vt:variant>
        <vt:i4>876</vt:i4>
      </vt:variant>
      <vt:variant>
        <vt:i4>0</vt:i4>
      </vt:variant>
      <vt:variant>
        <vt:i4>5</vt:i4>
      </vt:variant>
      <vt:variant>
        <vt:lpwstr>https://connect.pharmac.govt.nz/apptracker/s/application-public/a102P000009sDbV/p001524</vt:lpwstr>
      </vt:variant>
      <vt:variant>
        <vt:lpwstr/>
      </vt:variant>
      <vt:variant>
        <vt:i4>3342368</vt:i4>
      </vt:variant>
      <vt:variant>
        <vt:i4>873</vt:i4>
      </vt:variant>
      <vt:variant>
        <vt:i4>0</vt:i4>
      </vt:variant>
      <vt:variant>
        <vt:i4>5</vt:i4>
      </vt:variant>
      <vt:variant>
        <vt:lpwstr>https://connect.pharmac.govt.nz/apptracker/s/application-public/a102P000008puZn/p001236</vt:lpwstr>
      </vt:variant>
      <vt:variant>
        <vt:lpwstr/>
      </vt:variant>
      <vt:variant>
        <vt:i4>3866663</vt:i4>
      </vt:variant>
      <vt:variant>
        <vt:i4>870</vt:i4>
      </vt:variant>
      <vt:variant>
        <vt:i4>0</vt:i4>
      </vt:variant>
      <vt:variant>
        <vt:i4>5</vt:i4>
      </vt:variant>
      <vt:variant>
        <vt:lpwstr>https://connect.pharmac.govt.nz/apptracker/s/application-public/a102P000008ptwH/p000276</vt:lpwstr>
      </vt:variant>
      <vt:variant>
        <vt:lpwstr/>
      </vt:variant>
      <vt:variant>
        <vt:i4>3670114</vt:i4>
      </vt:variant>
      <vt:variant>
        <vt:i4>867</vt:i4>
      </vt:variant>
      <vt:variant>
        <vt:i4>0</vt:i4>
      </vt:variant>
      <vt:variant>
        <vt:i4>5</vt:i4>
      </vt:variant>
      <vt:variant>
        <vt:lpwstr>https://connect.pharmac.govt.nz/apptracker/s/application-public/a102P00000BIsBt/p001695</vt:lpwstr>
      </vt:variant>
      <vt:variant>
        <vt:lpwstr/>
      </vt:variant>
      <vt:variant>
        <vt:i4>3997736</vt:i4>
      </vt:variant>
      <vt:variant>
        <vt:i4>864</vt:i4>
      </vt:variant>
      <vt:variant>
        <vt:i4>0</vt:i4>
      </vt:variant>
      <vt:variant>
        <vt:i4>5</vt:i4>
      </vt:variant>
      <vt:variant>
        <vt:lpwstr>https://connect.pharmac.govt.nz/apptracker/s/application-public/a102P000008ptqe/p000072</vt:lpwstr>
      </vt:variant>
      <vt:variant>
        <vt:lpwstr/>
      </vt:variant>
      <vt:variant>
        <vt:i4>3080311</vt:i4>
      </vt:variant>
      <vt:variant>
        <vt:i4>861</vt:i4>
      </vt:variant>
      <vt:variant>
        <vt:i4>0</vt:i4>
      </vt:variant>
      <vt:variant>
        <vt:i4>5</vt:i4>
      </vt:variant>
      <vt:variant>
        <vt:lpwstr>https://connect.pharmac.govt.nz/apptracker/s/application-public/a102P000008pua9/p001248</vt:lpwstr>
      </vt:variant>
      <vt:variant>
        <vt:lpwstr/>
      </vt:variant>
      <vt:variant>
        <vt:i4>2555957</vt:i4>
      </vt:variant>
      <vt:variant>
        <vt:i4>858</vt:i4>
      </vt:variant>
      <vt:variant>
        <vt:i4>0</vt:i4>
      </vt:variant>
      <vt:variant>
        <vt:i4>5</vt:i4>
      </vt:variant>
      <vt:variant>
        <vt:lpwstr>https://connect.pharmac.govt.nz/apptracker/s/application-public/a102P00000BQ7JF/p001762</vt:lpwstr>
      </vt:variant>
      <vt:variant>
        <vt:lpwstr/>
      </vt:variant>
      <vt:variant>
        <vt:i4>2228269</vt:i4>
      </vt:variant>
      <vt:variant>
        <vt:i4>855</vt:i4>
      </vt:variant>
      <vt:variant>
        <vt:i4>0</vt:i4>
      </vt:variant>
      <vt:variant>
        <vt:i4>5</vt:i4>
      </vt:variant>
      <vt:variant>
        <vt:lpwstr>https://connect.pharmac.govt.nz/apptracker/s/application-public/a102P00000BK0rY/p001711</vt:lpwstr>
      </vt:variant>
      <vt:variant>
        <vt:lpwstr/>
      </vt:variant>
      <vt:variant>
        <vt:i4>2097189</vt:i4>
      </vt:variant>
      <vt:variant>
        <vt:i4>852</vt:i4>
      </vt:variant>
      <vt:variant>
        <vt:i4>0</vt:i4>
      </vt:variant>
      <vt:variant>
        <vt:i4>5</vt:i4>
      </vt:variant>
      <vt:variant>
        <vt:lpwstr>https://connect.pharmac.govt.nz/apptracker/s/application-public/a102P00000AaVR6/p001598</vt:lpwstr>
      </vt:variant>
      <vt:variant>
        <vt:lpwstr/>
      </vt:variant>
      <vt:variant>
        <vt:i4>2097250</vt:i4>
      </vt:variant>
      <vt:variant>
        <vt:i4>849</vt:i4>
      </vt:variant>
      <vt:variant>
        <vt:i4>0</vt:i4>
      </vt:variant>
      <vt:variant>
        <vt:i4>5</vt:i4>
      </vt:variant>
      <vt:variant>
        <vt:lpwstr>https://connect.pharmac.govt.nz/apptracker/s/application-public/a102P00000AaVRQ/p001599</vt:lpwstr>
      </vt:variant>
      <vt:variant>
        <vt:lpwstr/>
      </vt:variant>
      <vt:variant>
        <vt:i4>2097189</vt:i4>
      </vt:variant>
      <vt:variant>
        <vt:i4>846</vt:i4>
      </vt:variant>
      <vt:variant>
        <vt:i4>0</vt:i4>
      </vt:variant>
      <vt:variant>
        <vt:i4>5</vt:i4>
      </vt:variant>
      <vt:variant>
        <vt:lpwstr>https://connect.pharmac.govt.nz/apptracker/s/application-public/a102P00000AaVR6/p001598</vt:lpwstr>
      </vt:variant>
      <vt:variant>
        <vt:lpwstr/>
      </vt:variant>
      <vt:variant>
        <vt:i4>2097186</vt:i4>
      </vt:variant>
      <vt:variant>
        <vt:i4>843</vt:i4>
      </vt:variant>
      <vt:variant>
        <vt:i4>0</vt:i4>
      </vt:variant>
      <vt:variant>
        <vt:i4>5</vt:i4>
      </vt:variant>
      <vt:variant>
        <vt:lpwstr>https://connect.pharmac.govt.nz/apptracker/s/application-public/a102P00000BD0yw/p001671</vt:lpwstr>
      </vt:variant>
      <vt:variant>
        <vt:lpwstr/>
      </vt:variant>
      <vt:variant>
        <vt:i4>3014752</vt:i4>
      </vt:variant>
      <vt:variant>
        <vt:i4>840</vt:i4>
      </vt:variant>
      <vt:variant>
        <vt:i4>0</vt:i4>
      </vt:variant>
      <vt:variant>
        <vt:i4>5</vt:i4>
      </vt:variant>
      <vt:variant>
        <vt:lpwstr>https://connect.pharmac.govt.nz/apptracker/s/application-public/a102P00000BIsCD</vt:lpwstr>
      </vt:variant>
      <vt:variant>
        <vt:lpwstr/>
      </vt:variant>
      <vt:variant>
        <vt:i4>3014752</vt:i4>
      </vt:variant>
      <vt:variant>
        <vt:i4>837</vt:i4>
      </vt:variant>
      <vt:variant>
        <vt:i4>0</vt:i4>
      </vt:variant>
      <vt:variant>
        <vt:i4>5</vt:i4>
      </vt:variant>
      <vt:variant>
        <vt:lpwstr>https://connect.pharmac.govt.nz/apptracker/s/application-public/a102P00000BIsC8</vt:lpwstr>
      </vt:variant>
      <vt:variant>
        <vt:lpwstr/>
      </vt:variant>
      <vt:variant>
        <vt:i4>3342396</vt:i4>
      </vt:variant>
      <vt:variant>
        <vt:i4>834</vt:i4>
      </vt:variant>
      <vt:variant>
        <vt:i4>0</vt:i4>
      </vt:variant>
      <vt:variant>
        <vt:i4>5</vt:i4>
      </vt:variant>
      <vt:variant>
        <vt:lpwstr>https://connect.pharmac.govt.nz/apptracker/s/application-public/a102P000008pug4</vt:lpwstr>
      </vt:variant>
      <vt:variant>
        <vt:lpwstr/>
      </vt:variant>
      <vt:variant>
        <vt:i4>3014704</vt:i4>
      </vt:variant>
      <vt:variant>
        <vt:i4>831</vt:i4>
      </vt:variant>
      <vt:variant>
        <vt:i4>0</vt:i4>
      </vt:variant>
      <vt:variant>
        <vt:i4>5</vt:i4>
      </vt:variant>
      <vt:variant>
        <vt:lpwstr>https://connect.pharmac.govt.nz/apptracker/s/application-public/a102P000008puET/p000806</vt:lpwstr>
      </vt:variant>
      <vt:variant>
        <vt:lpwstr/>
      </vt:variant>
      <vt:variant>
        <vt:i4>3997756</vt:i4>
      </vt:variant>
      <vt:variant>
        <vt:i4>828</vt:i4>
      </vt:variant>
      <vt:variant>
        <vt:i4>0</vt:i4>
      </vt:variant>
      <vt:variant>
        <vt:i4>5</vt:i4>
      </vt:variant>
      <vt:variant>
        <vt:lpwstr>https://connect.pharmac.govt.nz/apptracker/s/application-public/a102P000008puiq</vt:lpwstr>
      </vt:variant>
      <vt:variant>
        <vt:lpwstr/>
      </vt:variant>
      <vt:variant>
        <vt:i4>2424959</vt:i4>
      </vt:variant>
      <vt:variant>
        <vt:i4>825</vt:i4>
      </vt:variant>
      <vt:variant>
        <vt:i4>0</vt:i4>
      </vt:variant>
      <vt:variant>
        <vt:i4>5</vt:i4>
      </vt:variant>
      <vt:variant>
        <vt:lpwstr>https://connect.pharmac.govt.nz/apptracker/s/application-public/a102P00000BHli7</vt:lpwstr>
      </vt:variant>
      <vt:variant>
        <vt:lpwstr/>
      </vt:variant>
      <vt:variant>
        <vt:i4>7143484</vt:i4>
      </vt:variant>
      <vt:variant>
        <vt:i4>822</vt:i4>
      </vt:variant>
      <vt:variant>
        <vt:i4>0</vt:i4>
      </vt:variant>
      <vt:variant>
        <vt:i4>5</vt:i4>
      </vt:variant>
      <vt:variant>
        <vt:lpwstr>https://connect.pharmac.govt.nz/apptracker/s/application-public/a102P000008pu9I</vt:lpwstr>
      </vt:variant>
      <vt:variant>
        <vt:lpwstr/>
      </vt:variant>
      <vt:variant>
        <vt:i4>2424959</vt:i4>
      </vt:variant>
      <vt:variant>
        <vt:i4>819</vt:i4>
      </vt:variant>
      <vt:variant>
        <vt:i4>0</vt:i4>
      </vt:variant>
      <vt:variant>
        <vt:i4>5</vt:i4>
      </vt:variant>
      <vt:variant>
        <vt:lpwstr>https://connect.pharmac.govt.nz/apptracker/s/application-public/a102P00000BHli7</vt:lpwstr>
      </vt:variant>
      <vt:variant>
        <vt:lpwstr/>
      </vt:variant>
      <vt:variant>
        <vt:i4>3145855</vt:i4>
      </vt:variant>
      <vt:variant>
        <vt:i4>816</vt:i4>
      </vt:variant>
      <vt:variant>
        <vt:i4>0</vt:i4>
      </vt:variant>
      <vt:variant>
        <vt:i4>5</vt:i4>
      </vt:variant>
      <vt:variant>
        <vt:lpwstr>https://connect.pharmac.govt.nz/apptracker/s/application-public/a102P00000BEvHl/p001678</vt:lpwstr>
      </vt:variant>
      <vt:variant>
        <vt:lpwstr/>
      </vt:variant>
      <vt:variant>
        <vt:i4>3866746</vt:i4>
      </vt:variant>
      <vt:variant>
        <vt:i4>813</vt:i4>
      </vt:variant>
      <vt:variant>
        <vt:i4>0</vt:i4>
      </vt:variant>
      <vt:variant>
        <vt:i4>5</vt:i4>
      </vt:variant>
      <vt:variant>
        <vt:lpwstr>https://connect.pharmac.govt.nz/apptracker/s/application-public/a102P00000BLLor/p001721</vt:lpwstr>
      </vt:variant>
      <vt:variant>
        <vt:lpwstr/>
      </vt:variant>
      <vt:variant>
        <vt:i4>4980777</vt:i4>
      </vt:variant>
      <vt:variant>
        <vt:i4>810</vt:i4>
      </vt:variant>
      <vt:variant>
        <vt:i4>0</vt:i4>
      </vt:variant>
      <vt:variant>
        <vt:i4>5</vt:i4>
      </vt:variant>
      <vt:variant>
        <vt:lpwstr/>
      </vt:variant>
      <vt:variant>
        <vt:lpwstr>Appendix_5_Table_5point7</vt:lpwstr>
      </vt:variant>
      <vt:variant>
        <vt:i4>4980777</vt:i4>
      </vt:variant>
      <vt:variant>
        <vt:i4>807</vt:i4>
      </vt:variant>
      <vt:variant>
        <vt:i4>0</vt:i4>
      </vt:variant>
      <vt:variant>
        <vt:i4>5</vt:i4>
      </vt:variant>
      <vt:variant>
        <vt:lpwstr/>
      </vt:variant>
      <vt:variant>
        <vt:lpwstr>Appendix_5_Table_5point7</vt:lpwstr>
      </vt:variant>
      <vt:variant>
        <vt:i4>5046313</vt:i4>
      </vt:variant>
      <vt:variant>
        <vt:i4>804</vt:i4>
      </vt:variant>
      <vt:variant>
        <vt:i4>0</vt:i4>
      </vt:variant>
      <vt:variant>
        <vt:i4>5</vt:i4>
      </vt:variant>
      <vt:variant>
        <vt:lpwstr/>
      </vt:variant>
      <vt:variant>
        <vt:lpwstr>Appendix_7_Table_7point6</vt:lpwstr>
      </vt:variant>
      <vt:variant>
        <vt:i4>5046313</vt:i4>
      </vt:variant>
      <vt:variant>
        <vt:i4>801</vt:i4>
      </vt:variant>
      <vt:variant>
        <vt:i4>0</vt:i4>
      </vt:variant>
      <vt:variant>
        <vt:i4>5</vt:i4>
      </vt:variant>
      <vt:variant>
        <vt:lpwstr/>
      </vt:variant>
      <vt:variant>
        <vt:lpwstr>Appendix_5_Table_5point6</vt:lpwstr>
      </vt:variant>
      <vt:variant>
        <vt:i4>4849705</vt:i4>
      </vt:variant>
      <vt:variant>
        <vt:i4>798</vt:i4>
      </vt:variant>
      <vt:variant>
        <vt:i4>0</vt:i4>
      </vt:variant>
      <vt:variant>
        <vt:i4>5</vt:i4>
      </vt:variant>
      <vt:variant>
        <vt:lpwstr/>
      </vt:variant>
      <vt:variant>
        <vt:lpwstr>Appendix_7_Table_7point1</vt:lpwstr>
      </vt:variant>
      <vt:variant>
        <vt:i4>4849705</vt:i4>
      </vt:variant>
      <vt:variant>
        <vt:i4>795</vt:i4>
      </vt:variant>
      <vt:variant>
        <vt:i4>0</vt:i4>
      </vt:variant>
      <vt:variant>
        <vt:i4>5</vt:i4>
      </vt:variant>
      <vt:variant>
        <vt:lpwstr/>
      </vt:variant>
      <vt:variant>
        <vt:lpwstr>Appendix_7_Table_7point1</vt:lpwstr>
      </vt:variant>
      <vt:variant>
        <vt:i4>5111849</vt:i4>
      </vt:variant>
      <vt:variant>
        <vt:i4>792</vt:i4>
      </vt:variant>
      <vt:variant>
        <vt:i4>0</vt:i4>
      </vt:variant>
      <vt:variant>
        <vt:i4>5</vt:i4>
      </vt:variant>
      <vt:variant>
        <vt:lpwstr/>
      </vt:variant>
      <vt:variant>
        <vt:lpwstr>Appendix_5_Table_5point5</vt:lpwstr>
      </vt:variant>
      <vt:variant>
        <vt:i4>5177385</vt:i4>
      </vt:variant>
      <vt:variant>
        <vt:i4>789</vt:i4>
      </vt:variant>
      <vt:variant>
        <vt:i4>0</vt:i4>
      </vt:variant>
      <vt:variant>
        <vt:i4>5</vt:i4>
      </vt:variant>
      <vt:variant>
        <vt:lpwstr/>
      </vt:variant>
      <vt:variant>
        <vt:lpwstr>Appendix_5_Table_5point4</vt:lpwstr>
      </vt:variant>
      <vt:variant>
        <vt:i4>4784169</vt:i4>
      </vt:variant>
      <vt:variant>
        <vt:i4>786</vt:i4>
      </vt:variant>
      <vt:variant>
        <vt:i4>0</vt:i4>
      </vt:variant>
      <vt:variant>
        <vt:i4>5</vt:i4>
      </vt:variant>
      <vt:variant>
        <vt:lpwstr/>
      </vt:variant>
      <vt:variant>
        <vt:lpwstr>Appendix_7_Table_7point20</vt:lpwstr>
      </vt:variant>
      <vt:variant>
        <vt:i4>4849705</vt:i4>
      </vt:variant>
      <vt:variant>
        <vt:i4>783</vt:i4>
      </vt:variant>
      <vt:variant>
        <vt:i4>0</vt:i4>
      </vt:variant>
      <vt:variant>
        <vt:i4>5</vt:i4>
      </vt:variant>
      <vt:variant>
        <vt:lpwstr/>
      </vt:variant>
      <vt:variant>
        <vt:lpwstr>Appendix_7_Table_7point13</vt:lpwstr>
      </vt:variant>
      <vt:variant>
        <vt:i4>4390953</vt:i4>
      </vt:variant>
      <vt:variant>
        <vt:i4>780</vt:i4>
      </vt:variant>
      <vt:variant>
        <vt:i4>0</vt:i4>
      </vt:variant>
      <vt:variant>
        <vt:i4>5</vt:i4>
      </vt:variant>
      <vt:variant>
        <vt:lpwstr/>
      </vt:variant>
      <vt:variant>
        <vt:lpwstr>Appendix_7_Table_7point8</vt:lpwstr>
      </vt:variant>
      <vt:variant>
        <vt:i4>5111849</vt:i4>
      </vt:variant>
      <vt:variant>
        <vt:i4>777</vt:i4>
      </vt:variant>
      <vt:variant>
        <vt:i4>0</vt:i4>
      </vt:variant>
      <vt:variant>
        <vt:i4>5</vt:i4>
      </vt:variant>
      <vt:variant>
        <vt:lpwstr/>
      </vt:variant>
      <vt:variant>
        <vt:lpwstr>Appendix_7_Table_7point5</vt:lpwstr>
      </vt:variant>
      <vt:variant>
        <vt:i4>5177385</vt:i4>
      </vt:variant>
      <vt:variant>
        <vt:i4>774</vt:i4>
      </vt:variant>
      <vt:variant>
        <vt:i4>0</vt:i4>
      </vt:variant>
      <vt:variant>
        <vt:i4>5</vt:i4>
      </vt:variant>
      <vt:variant>
        <vt:lpwstr/>
      </vt:variant>
      <vt:variant>
        <vt:lpwstr>Appendix_7_Table_7point4</vt:lpwstr>
      </vt:variant>
      <vt:variant>
        <vt:i4>4849705</vt:i4>
      </vt:variant>
      <vt:variant>
        <vt:i4>771</vt:i4>
      </vt:variant>
      <vt:variant>
        <vt:i4>0</vt:i4>
      </vt:variant>
      <vt:variant>
        <vt:i4>5</vt:i4>
      </vt:variant>
      <vt:variant>
        <vt:lpwstr/>
      </vt:variant>
      <vt:variant>
        <vt:lpwstr>Appendix_7_Table_7point14</vt:lpwstr>
      </vt:variant>
      <vt:variant>
        <vt:i4>4849705</vt:i4>
      </vt:variant>
      <vt:variant>
        <vt:i4>768</vt:i4>
      </vt:variant>
      <vt:variant>
        <vt:i4>0</vt:i4>
      </vt:variant>
      <vt:variant>
        <vt:i4>5</vt:i4>
      </vt:variant>
      <vt:variant>
        <vt:lpwstr/>
      </vt:variant>
      <vt:variant>
        <vt:lpwstr>Appendix_7_Table_7point10</vt:lpwstr>
      </vt:variant>
      <vt:variant>
        <vt:i4>4849705</vt:i4>
      </vt:variant>
      <vt:variant>
        <vt:i4>765</vt:i4>
      </vt:variant>
      <vt:variant>
        <vt:i4>0</vt:i4>
      </vt:variant>
      <vt:variant>
        <vt:i4>5</vt:i4>
      </vt:variant>
      <vt:variant>
        <vt:lpwstr/>
      </vt:variant>
      <vt:variant>
        <vt:lpwstr>Appendix_7_Table_7point19</vt:lpwstr>
      </vt:variant>
      <vt:variant>
        <vt:i4>4849705</vt:i4>
      </vt:variant>
      <vt:variant>
        <vt:i4>762</vt:i4>
      </vt:variant>
      <vt:variant>
        <vt:i4>0</vt:i4>
      </vt:variant>
      <vt:variant>
        <vt:i4>5</vt:i4>
      </vt:variant>
      <vt:variant>
        <vt:lpwstr/>
      </vt:variant>
      <vt:variant>
        <vt:lpwstr>Appendix_7_Table_7point1</vt:lpwstr>
      </vt:variant>
      <vt:variant>
        <vt:i4>4849705</vt:i4>
      </vt:variant>
      <vt:variant>
        <vt:i4>759</vt:i4>
      </vt:variant>
      <vt:variant>
        <vt:i4>0</vt:i4>
      </vt:variant>
      <vt:variant>
        <vt:i4>5</vt:i4>
      </vt:variant>
      <vt:variant>
        <vt:lpwstr/>
      </vt:variant>
      <vt:variant>
        <vt:lpwstr>Appendix_7_Table_7point10</vt:lpwstr>
      </vt:variant>
      <vt:variant>
        <vt:i4>4849705</vt:i4>
      </vt:variant>
      <vt:variant>
        <vt:i4>756</vt:i4>
      </vt:variant>
      <vt:variant>
        <vt:i4>0</vt:i4>
      </vt:variant>
      <vt:variant>
        <vt:i4>5</vt:i4>
      </vt:variant>
      <vt:variant>
        <vt:lpwstr/>
      </vt:variant>
      <vt:variant>
        <vt:lpwstr>Appendix_7_Table_7point19</vt:lpwstr>
      </vt:variant>
      <vt:variant>
        <vt:i4>4849705</vt:i4>
      </vt:variant>
      <vt:variant>
        <vt:i4>753</vt:i4>
      </vt:variant>
      <vt:variant>
        <vt:i4>0</vt:i4>
      </vt:variant>
      <vt:variant>
        <vt:i4>5</vt:i4>
      </vt:variant>
      <vt:variant>
        <vt:lpwstr/>
      </vt:variant>
      <vt:variant>
        <vt:lpwstr>Appendix_7_Table_7point1</vt:lpwstr>
      </vt:variant>
      <vt:variant>
        <vt:i4>4784169</vt:i4>
      </vt:variant>
      <vt:variant>
        <vt:i4>750</vt:i4>
      </vt:variant>
      <vt:variant>
        <vt:i4>0</vt:i4>
      </vt:variant>
      <vt:variant>
        <vt:i4>5</vt:i4>
      </vt:variant>
      <vt:variant>
        <vt:lpwstr/>
      </vt:variant>
      <vt:variant>
        <vt:lpwstr>Appendix_7_Table_7point20</vt:lpwstr>
      </vt:variant>
      <vt:variant>
        <vt:i4>4718633</vt:i4>
      </vt:variant>
      <vt:variant>
        <vt:i4>747</vt:i4>
      </vt:variant>
      <vt:variant>
        <vt:i4>0</vt:i4>
      </vt:variant>
      <vt:variant>
        <vt:i4>5</vt:i4>
      </vt:variant>
      <vt:variant>
        <vt:lpwstr/>
      </vt:variant>
      <vt:variant>
        <vt:lpwstr>Appendix_7_Table_7point3</vt:lpwstr>
      </vt:variant>
      <vt:variant>
        <vt:i4>4784169</vt:i4>
      </vt:variant>
      <vt:variant>
        <vt:i4>744</vt:i4>
      </vt:variant>
      <vt:variant>
        <vt:i4>0</vt:i4>
      </vt:variant>
      <vt:variant>
        <vt:i4>5</vt:i4>
      </vt:variant>
      <vt:variant>
        <vt:lpwstr/>
      </vt:variant>
      <vt:variant>
        <vt:lpwstr>Appendix_7_Table_7point20</vt:lpwstr>
      </vt:variant>
      <vt:variant>
        <vt:i4>4325417</vt:i4>
      </vt:variant>
      <vt:variant>
        <vt:i4>741</vt:i4>
      </vt:variant>
      <vt:variant>
        <vt:i4>0</vt:i4>
      </vt:variant>
      <vt:variant>
        <vt:i4>5</vt:i4>
      </vt:variant>
      <vt:variant>
        <vt:lpwstr/>
      </vt:variant>
      <vt:variant>
        <vt:lpwstr>Appendix_7_Table_7point9</vt:lpwstr>
      </vt:variant>
      <vt:variant>
        <vt:i4>4390953</vt:i4>
      </vt:variant>
      <vt:variant>
        <vt:i4>738</vt:i4>
      </vt:variant>
      <vt:variant>
        <vt:i4>0</vt:i4>
      </vt:variant>
      <vt:variant>
        <vt:i4>5</vt:i4>
      </vt:variant>
      <vt:variant>
        <vt:lpwstr/>
      </vt:variant>
      <vt:variant>
        <vt:lpwstr>Appendix_7_Table_7point8</vt:lpwstr>
      </vt:variant>
      <vt:variant>
        <vt:i4>4784169</vt:i4>
      </vt:variant>
      <vt:variant>
        <vt:i4>735</vt:i4>
      </vt:variant>
      <vt:variant>
        <vt:i4>0</vt:i4>
      </vt:variant>
      <vt:variant>
        <vt:i4>5</vt:i4>
      </vt:variant>
      <vt:variant>
        <vt:lpwstr/>
      </vt:variant>
      <vt:variant>
        <vt:lpwstr>Appendix_7_Table_7point20</vt:lpwstr>
      </vt:variant>
      <vt:variant>
        <vt:i4>4849705</vt:i4>
      </vt:variant>
      <vt:variant>
        <vt:i4>732</vt:i4>
      </vt:variant>
      <vt:variant>
        <vt:i4>0</vt:i4>
      </vt:variant>
      <vt:variant>
        <vt:i4>5</vt:i4>
      </vt:variant>
      <vt:variant>
        <vt:lpwstr/>
      </vt:variant>
      <vt:variant>
        <vt:lpwstr>Appendix_7_Table_7point15</vt:lpwstr>
      </vt:variant>
      <vt:variant>
        <vt:i4>4849705</vt:i4>
      </vt:variant>
      <vt:variant>
        <vt:i4>729</vt:i4>
      </vt:variant>
      <vt:variant>
        <vt:i4>0</vt:i4>
      </vt:variant>
      <vt:variant>
        <vt:i4>5</vt:i4>
      </vt:variant>
      <vt:variant>
        <vt:lpwstr/>
      </vt:variant>
      <vt:variant>
        <vt:lpwstr>Appendix_7_Table_7point12</vt:lpwstr>
      </vt:variant>
      <vt:variant>
        <vt:i4>4784169</vt:i4>
      </vt:variant>
      <vt:variant>
        <vt:i4>726</vt:i4>
      </vt:variant>
      <vt:variant>
        <vt:i4>0</vt:i4>
      </vt:variant>
      <vt:variant>
        <vt:i4>5</vt:i4>
      </vt:variant>
      <vt:variant>
        <vt:lpwstr/>
      </vt:variant>
      <vt:variant>
        <vt:lpwstr>Appendix_7_Table_7point20</vt:lpwstr>
      </vt:variant>
      <vt:variant>
        <vt:i4>4849705</vt:i4>
      </vt:variant>
      <vt:variant>
        <vt:i4>723</vt:i4>
      </vt:variant>
      <vt:variant>
        <vt:i4>0</vt:i4>
      </vt:variant>
      <vt:variant>
        <vt:i4>5</vt:i4>
      </vt:variant>
      <vt:variant>
        <vt:lpwstr/>
      </vt:variant>
      <vt:variant>
        <vt:lpwstr>Appendix_7_Table_7point1</vt:lpwstr>
      </vt:variant>
      <vt:variant>
        <vt:i4>4849705</vt:i4>
      </vt:variant>
      <vt:variant>
        <vt:i4>720</vt:i4>
      </vt:variant>
      <vt:variant>
        <vt:i4>0</vt:i4>
      </vt:variant>
      <vt:variant>
        <vt:i4>5</vt:i4>
      </vt:variant>
      <vt:variant>
        <vt:lpwstr/>
      </vt:variant>
      <vt:variant>
        <vt:lpwstr>Appendix_7_Table_7point11</vt:lpwstr>
      </vt:variant>
      <vt:variant>
        <vt:i4>4784169</vt:i4>
      </vt:variant>
      <vt:variant>
        <vt:i4>717</vt:i4>
      </vt:variant>
      <vt:variant>
        <vt:i4>0</vt:i4>
      </vt:variant>
      <vt:variant>
        <vt:i4>5</vt:i4>
      </vt:variant>
      <vt:variant>
        <vt:lpwstr/>
      </vt:variant>
      <vt:variant>
        <vt:lpwstr>Appendix_7_Table_7point2</vt:lpwstr>
      </vt:variant>
      <vt:variant>
        <vt:i4>4849705</vt:i4>
      </vt:variant>
      <vt:variant>
        <vt:i4>714</vt:i4>
      </vt:variant>
      <vt:variant>
        <vt:i4>0</vt:i4>
      </vt:variant>
      <vt:variant>
        <vt:i4>5</vt:i4>
      </vt:variant>
      <vt:variant>
        <vt:lpwstr/>
      </vt:variant>
      <vt:variant>
        <vt:lpwstr>Appendix_7_Table_7point16</vt:lpwstr>
      </vt:variant>
      <vt:variant>
        <vt:i4>4784169</vt:i4>
      </vt:variant>
      <vt:variant>
        <vt:i4>711</vt:i4>
      </vt:variant>
      <vt:variant>
        <vt:i4>0</vt:i4>
      </vt:variant>
      <vt:variant>
        <vt:i4>5</vt:i4>
      </vt:variant>
      <vt:variant>
        <vt:lpwstr/>
      </vt:variant>
      <vt:variant>
        <vt:lpwstr>Appendix_7_Table_7point20</vt:lpwstr>
      </vt:variant>
      <vt:variant>
        <vt:i4>4980777</vt:i4>
      </vt:variant>
      <vt:variant>
        <vt:i4>708</vt:i4>
      </vt:variant>
      <vt:variant>
        <vt:i4>0</vt:i4>
      </vt:variant>
      <vt:variant>
        <vt:i4>5</vt:i4>
      </vt:variant>
      <vt:variant>
        <vt:lpwstr/>
      </vt:variant>
      <vt:variant>
        <vt:lpwstr>Appendix_7_Table_7point7</vt:lpwstr>
      </vt:variant>
      <vt:variant>
        <vt:i4>4784169</vt:i4>
      </vt:variant>
      <vt:variant>
        <vt:i4>705</vt:i4>
      </vt:variant>
      <vt:variant>
        <vt:i4>0</vt:i4>
      </vt:variant>
      <vt:variant>
        <vt:i4>5</vt:i4>
      </vt:variant>
      <vt:variant>
        <vt:lpwstr/>
      </vt:variant>
      <vt:variant>
        <vt:lpwstr>Appendix_7_Table_7point2</vt:lpwstr>
      </vt:variant>
      <vt:variant>
        <vt:i4>4980777</vt:i4>
      </vt:variant>
      <vt:variant>
        <vt:i4>702</vt:i4>
      </vt:variant>
      <vt:variant>
        <vt:i4>0</vt:i4>
      </vt:variant>
      <vt:variant>
        <vt:i4>5</vt:i4>
      </vt:variant>
      <vt:variant>
        <vt:lpwstr/>
      </vt:variant>
      <vt:variant>
        <vt:lpwstr>Appendix_7_Table_7point7</vt:lpwstr>
      </vt:variant>
      <vt:variant>
        <vt:i4>4718633</vt:i4>
      </vt:variant>
      <vt:variant>
        <vt:i4>699</vt:i4>
      </vt:variant>
      <vt:variant>
        <vt:i4>0</vt:i4>
      </vt:variant>
      <vt:variant>
        <vt:i4>5</vt:i4>
      </vt:variant>
      <vt:variant>
        <vt:lpwstr/>
      </vt:variant>
      <vt:variant>
        <vt:lpwstr>Appendix_5_Table_5point3</vt:lpwstr>
      </vt:variant>
      <vt:variant>
        <vt:i4>4784169</vt:i4>
      </vt:variant>
      <vt:variant>
        <vt:i4>696</vt:i4>
      </vt:variant>
      <vt:variant>
        <vt:i4>0</vt:i4>
      </vt:variant>
      <vt:variant>
        <vt:i4>5</vt:i4>
      </vt:variant>
      <vt:variant>
        <vt:lpwstr/>
      </vt:variant>
      <vt:variant>
        <vt:lpwstr>Appendix_5_Table_5point2</vt:lpwstr>
      </vt:variant>
      <vt:variant>
        <vt:i4>4849705</vt:i4>
      </vt:variant>
      <vt:variant>
        <vt:i4>693</vt:i4>
      </vt:variant>
      <vt:variant>
        <vt:i4>0</vt:i4>
      </vt:variant>
      <vt:variant>
        <vt:i4>5</vt:i4>
      </vt:variant>
      <vt:variant>
        <vt:lpwstr/>
      </vt:variant>
      <vt:variant>
        <vt:lpwstr>Appendix_7_Table_7point18</vt:lpwstr>
      </vt:variant>
      <vt:variant>
        <vt:i4>4849705</vt:i4>
      </vt:variant>
      <vt:variant>
        <vt:i4>690</vt:i4>
      </vt:variant>
      <vt:variant>
        <vt:i4>0</vt:i4>
      </vt:variant>
      <vt:variant>
        <vt:i4>5</vt:i4>
      </vt:variant>
      <vt:variant>
        <vt:lpwstr/>
      </vt:variant>
      <vt:variant>
        <vt:lpwstr>Appendix_7_Table_7point17</vt:lpwstr>
      </vt:variant>
      <vt:variant>
        <vt:i4>4849705</vt:i4>
      </vt:variant>
      <vt:variant>
        <vt:i4>687</vt:i4>
      </vt:variant>
      <vt:variant>
        <vt:i4>0</vt:i4>
      </vt:variant>
      <vt:variant>
        <vt:i4>5</vt:i4>
      </vt:variant>
      <vt:variant>
        <vt:lpwstr/>
      </vt:variant>
      <vt:variant>
        <vt:lpwstr>Appendix_7_Table_7point17</vt:lpwstr>
      </vt:variant>
      <vt:variant>
        <vt:i4>4849705</vt:i4>
      </vt:variant>
      <vt:variant>
        <vt:i4>684</vt:i4>
      </vt:variant>
      <vt:variant>
        <vt:i4>0</vt:i4>
      </vt:variant>
      <vt:variant>
        <vt:i4>5</vt:i4>
      </vt:variant>
      <vt:variant>
        <vt:lpwstr/>
      </vt:variant>
      <vt:variant>
        <vt:lpwstr>Appendix_7_Table_7point18</vt:lpwstr>
      </vt:variant>
      <vt:variant>
        <vt:i4>4849705</vt:i4>
      </vt:variant>
      <vt:variant>
        <vt:i4>681</vt:i4>
      </vt:variant>
      <vt:variant>
        <vt:i4>0</vt:i4>
      </vt:variant>
      <vt:variant>
        <vt:i4>5</vt:i4>
      </vt:variant>
      <vt:variant>
        <vt:lpwstr/>
      </vt:variant>
      <vt:variant>
        <vt:lpwstr>Appendix_5_Table_5point1</vt:lpwstr>
      </vt:variant>
      <vt:variant>
        <vt:i4>4849705</vt:i4>
      </vt:variant>
      <vt:variant>
        <vt:i4>678</vt:i4>
      </vt:variant>
      <vt:variant>
        <vt:i4>0</vt:i4>
      </vt:variant>
      <vt:variant>
        <vt:i4>5</vt:i4>
      </vt:variant>
      <vt:variant>
        <vt:lpwstr/>
      </vt:variant>
      <vt:variant>
        <vt:lpwstr>Appendix_5_Table_5point1</vt:lpwstr>
      </vt:variant>
      <vt:variant>
        <vt:i4>4849705</vt:i4>
      </vt:variant>
      <vt:variant>
        <vt:i4>675</vt:i4>
      </vt:variant>
      <vt:variant>
        <vt:i4>0</vt:i4>
      </vt:variant>
      <vt:variant>
        <vt:i4>5</vt:i4>
      </vt:variant>
      <vt:variant>
        <vt:lpwstr/>
      </vt:variant>
      <vt:variant>
        <vt:lpwstr>Appendix_4_Table_4point1</vt:lpwstr>
      </vt:variant>
      <vt:variant>
        <vt:i4>4849705</vt:i4>
      </vt:variant>
      <vt:variant>
        <vt:i4>672</vt:i4>
      </vt:variant>
      <vt:variant>
        <vt:i4>0</vt:i4>
      </vt:variant>
      <vt:variant>
        <vt:i4>5</vt:i4>
      </vt:variant>
      <vt:variant>
        <vt:lpwstr/>
      </vt:variant>
      <vt:variant>
        <vt:lpwstr>Appendix_3_Table_3point1</vt:lpwstr>
      </vt:variant>
      <vt:variant>
        <vt:i4>4849705</vt:i4>
      </vt:variant>
      <vt:variant>
        <vt:i4>669</vt:i4>
      </vt:variant>
      <vt:variant>
        <vt:i4>0</vt:i4>
      </vt:variant>
      <vt:variant>
        <vt:i4>5</vt:i4>
      </vt:variant>
      <vt:variant>
        <vt:lpwstr/>
      </vt:variant>
      <vt:variant>
        <vt:lpwstr>Appendix_2_Table_2point1</vt:lpwstr>
      </vt:variant>
      <vt:variant>
        <vt:i4>3604580</vt:i4>
      </vt:variant>
      <vt:variant>
        <vt:i4>666</vt:i4>
      </vt:variant>
      <vt:variant>
        <vt:i4>0</vt:i4>
      </vt:variant>
      <vt:variant>
        <vt:i4>5</vt:i4>
      </vt:variant>
      <vt:variant>
        <vt:lpwstr>http://www.medsafe.govt.nz/Medicines/infoSearch.asp</vt:lpwstr>
      </vt:variant>
      <vt:variant>
        <vt:lpwstr/>
      </vt:variant>
      <vt:variant>
        <vt:i4>2097214</vt:i4>
      </vt:variant>
      <vt:variant>
        <vt:i4>663</vt:i4>
      </vt:variant>
      <vt:variant>
        <vt:i4>0</vt:i4>
      </vt:variant>
      <vt:variant>
        <vt:i4>5</vt:i4>
      </vt:variant>
      <vt:variant>
        <vt:lpwstr>http://www.eviq.org.au/</vt:lpwstr>
      </vt:variant>
      <vt:variant>
        <vt:lpwstr/>
      </vt:variant>
      <vt:variant>
        <vt:i4>7667816</vt:i4>
      </vt:variant>
      <vt:variant>
        <vt:i4>660</vt:i4>
      </vt:variant>
      <vt:variant>
        <vt:i4>0</vt:i4>
      </vt:variant>
      <vt:variant>
        <vt:i4>5</vt:i4>
      </vt:variant>
      <vt:variant>
        <vt:lpwstr>https://nzf.org.nz/regimens</vt:lpwstr>
      </vt:variant>
      <vt:variant>
        <vt:lpwstr/>
      </vt:variant>
      <vt:variant>
        <vt:i4>2097214</vt:i4>
      </vt:variant>
      <vt:variant>
        <vt:i4>657</vt:i4>
      </vt:variant>
      <vt:variant>
        <vt:i4>0</vt:i4>
      </vt:variant>
      <vt:variant>
        <vt:i4>5</vt:i4>
      </vt:variant>
      <vt:variant>
        <vt:lpwstr>http://www.eviq.org.au/</vt:lpwstr>
      </vt:variant>
      <vt:variant>
        <vt:lpwstr/>
      </vt:variant>
      <vt:variant>
        <vt:i4>7667816</vt:i4>
      </vt:variant>
      <vt:variant>
        <vt:i4>654</vt:i4>
      </vt:variant>
      <vt:variant>
        <vt:i4>0</vt:i4>
      </vt:variant>
      <vt:variant>
        <vt:i4>5</vt:i4>
      </vt:variant>
      <vt:variant>
        <vt:lpwstr>https://nzf.org.nz/regimens</vt:lpwstr>
      </vt:variant>
      <vt:variant>
        <vt:lpwstr/>
      </vt:variant>
      <vt:variant>
        <vt:i4>6094924</vt:i4>
      </vt:variant>
      <vt:variant>
        <vt:i4>651</vt:i4>
      </vt:variant>
      <vt:variant>
        <vt:i4>0</vt:i4>
      </vt:variant>
      <vt:variant>
        <vt:i4>5</vt:i4>
      </vt:variant>
      <vt:variant>
        <vt:lpwstr>https://connect.pharmac.govt.nz/apptracker/s/</vt:lpwstr>
      </vt:variant>
      <vt:variant>
        <vt:lpwstr/>
      </vt:variant>
      <vt:variant>
        <vt:i4>8126580</vt:i4>
      </vt:variant>
      <vt:variant>
        <vt:i4>648</vt:i4>
      </vt:variant>
      <vt:variant>
        <vt:i4>0</vt:i4>
      </vt:variant>
      <vt:variant>
        <vt:i4>5</vt:i4>
      </vt:variant>
      <vt:variant>
        <vt:lpwstr>http://www.cancercareontario.ca/en/drugformulary/drugs</vt:lpwstr>
      </vt:variant>
      <vt:variant>
        <vt:lpwstr/>
      </vt:variant>
      <vt:variant>
        <vt:i4>4980750</vt:i4>
      </vt:variant>
      <vt:variant>
        <vt:i4>645</vt:i4>
      </vt:variant>
      <vt:variant>
        <vt:i4>0</vt:i4>
      </vt:variant>
      <vt:variant>
        <vt:i4>5</vt:i4>
      </vt:variant>
      <vt:variant>
        <vt:lpwstr>http://www.esmo.org/guidelines/esmo-mcbs/esmo-mcbs-scorecards</vt:lpwstr>
      </vt:variant>
      <vt:variant>
        <vt:lpwstr/>
      </vt:variant>
      <vt:variant>
        <vt:i4>3604580</vt:i4>
      </vt:variant>
      <vt:variant>
        <vt:i4>642</vt:i4>
      </vt:variant>
      <vt:variant>
        <vt:i4>0</vt:i4>
      </vt:variant>
      <vt:variant>
        <vt:i4>5</vt:i4>
      </vt:variant>
      <vt:variant>
        <vt:lpwstr>http://www.medsafe.govt.nz/Medicines/infoSearch.asp</vt:lpwstr>
      </vt:variant>
      <vt:variant>
        <vt:lpwstr/>
      </vt:variant>
      <vt:variant>
        <vt:i4>2097214</vt:i4>
      </vt:variant>
      <vt:variant>
        <vt:i4>639</vt:i4>
      </vt:variant>
      <vt:variant>
        <vt:i4>0</vt:i4>
      </vt:variant>
      <vt:variant>
        <vt:i4>5</vt:i4>
      </vt:variant>
      <vt:variant>
        <vt:lpwstr>http://www.eviq.org.au/</vt:lpwstr>
      </vt:variant>
      <vt:variant>
        <vt:lpwstr/>
      </vt:variant>
      <vt:variant>
        <vt:i4>7798881</vt:i4>
      </vt:variant>
      <vt:variant>
        <vt:i4>636</vt:i4>
      </vt:variant>
      <vt:variant>
        <vt:i4>0</vt:i4>
      </vt:variant>
      <vt:variant>
        <vt:i4>5</vt:i4>
      </vt:variant>
      <vt:variant>
        <vt:lpwstr>http://www.ebs.tga.gov.au/</vt:lpwstr>
      </vt:variant>
      <vt:variant>
        <vt:lpwstr/>
      </vt:variant>
      <vt:variant>
        <vt:i4>2818098</vt:i4>
      </vt:variant>
      <vt:variant>
        <vt:i4>633</vt:i4>
      </vt:variant>
      <vt:variant>
        <vt:i4>0</vt:i4>
      </vt:variant>
      <vt:variant>
        <vt:i4>5</vt:i4>
      </vt:variant>
      <vt:variant>
        <vt:lpwstr>http://www.who.int/publications/i/item/WHOMVPEMPIAU2019.06</vt:lpwstr>
      </vt:variant>
      <vt:variant>
        <vt:lpwstr/>
      </vt:variant>
      <vt:variant>
        <vt:i4>2556019</vt:i4>
      </vt:variant>
      <vt:variant>
        <vt:i4>630</vt:i4>
      </vt:variant>
      <vt:variant>
        <vt:i4>0</vt:i4>
      </vt:variant>
      <vt:variant>
        <vt:i4>5</vt:i4>
      </vt:variant>
      <vt:variant>
        <vt:lpwstr>C:\Users\elsaunde\AppData\Local\Microsoft\Windows\INetCache\Content.Outlook\98LJSFZ1\www.pbs.gov.au\browse\body-system</vt:lpwstr>
      </vt:variant>
      <vt:variant>
        <vt:lpwstr/>
      </vt:variant>
      <vt:variant>
        <vt:i4>3866676</vt:i4>
      </vt:variant>
      <vt:variant>
        <vt:i4>627</vt:i4>
      </vt:variant>
      <vt:variant>
        <vt:i4>0</vt:i4>
      </vt:variant>
      <vt:variant>
        <vt:i4>5</vt:i4>
      </vt:variant>
      <vt:variant>
        <vt:lpwstr>https://schedule.pharmac.govt.nz/HMLOnline.php</vt:lpwstr>
      </vt:variant>
      <vt:variant>
        <vt:lpwstr/>
      </vt:variant>
      <vt:variant>
        <vt:i4>6619254</vt:i4>
      </vt:variant>
      <vt:variant>
        <vt:i4>624</vt:i4>
      </vt:variant>
      <vt:variant>
        <vt:i4>0</vt:i4>
      </vt:variant>
      <vt:variant>
        <vt:i4>5</vt:i4>
      </vt:variant>
      <vt:variant>
        <vt:lpwstr>https://schedule.pharmac.govt.nz/ScheduleOnline.php</vt:lpwstr>
      </vt:variant>
      <vt:variant>
        <vt:lpwstr/>
      </vt:variant>
      <vt:variant>
        <vt:i4>4063305</vt:i4>
      </vt:variant>
      <vt:variant>
        <vt:i4>621</vt:i4>
      </vt:variant>
      <vt:variant>
        <vt:i4>0</vt:i4>
      </vt:variant>
      <vt:variant>
        <vt:i4>5</vt:i4>
      </vt:variant>
      <vt:variant>
        <vt:lpwstr/>
      </vt:variant>
      <vt:variant>
        <vt:lpwstr>Appendix_7</vt:lpwstr>
      </vt:variant>
      <vt:variant>
        <vt:i4>4063305</vt:i4>
      </vt:variant>
      <vt:variant>
        <vt:i4>618</vt:i4>
      </vt:variant>
      <vt:variant>
        <vt:i4>0</vt:i4>
      </vt:variant>
      <vt:variant>
        <vt:i4>5</vt:i4>
      </vt:variant>
      <vt:variant>
        <vt:lpwstr/>
      </vt:variant>
      <vt:variant>
        <vt:lpwstr>Appendix_7</vt:lpwstr>
      </vt:variant>
      <vt:variant>
        <vt:i4>4063305</vt:i4>
      </vt:variant>
      <vt:variant>
        <vt:i4>615</vt:i4>
      </vt:variant>
      <vt:variant>
        <vt:i4>0</vt:i4>
      </vt:variant>
      <vt:variant>
        <vt:i4>5</vt:i4>
      </vt:variant>
      <vt:variant>
        <vt:lpwstr/>
      </vt:variant>
      <vt:variant>
        <vt:lpwstr>Appendix_7</vt:lpwstr>
      </vt:variant>
      <vt:variant>
        <vt:i4>4849705</vt:i4>
      </vt:variant>
      <vt:variant>
        <vt:i4>612</vt:i4>
      </vt:variant>
      <vt:variant>
        <vt:i4>0</vt:i4>
      </vt:variant>
      <vt:variant>
        <vt:i4>5</vt:i4>
      </vt:variant>
      <vt:variant>
        <vt:lpwstr/>
      </vt:variant>
      <vt:variant>
        <vt:lpwstr>Appendix_6_Table_6point1</vt:lpwstr>
      </vt:variant>
      <vt:variant>
        <vt:i4>4784169</vt:i4>
      </vt:variant>
      <vt:variant>
        <vt:i4>609</vt:i4>
      </vt:variant>
      <vt:variant>
        <vt:i4>0</vt:i4>
      </vt:variant>
      <vt:variant>
        <vt:i4>5</vt:i4>
      </vt:variant>
      <vt:variant>
        <vt:lpwstr/>
      </vt:variant>
      <vt:variant>
        <vt:lpwstr>Appendix_7_Table_7point20</vt:lpwstr>
      </vt:variant>
      <vt:variant>
        <vt:i4>4849705</vt:i4>
      </vt:variant>
      <vt:variant>
        <vt:i4>606</vt:i4>
      </vt:variant>
      <vt:variant>
        <vt:i4>0</vt:i4>
      </vt:variant>
      <vt:variant>
        <vt:i4>5</vt:i4>
      </vt:variant>
      <vt:variant>
        <vt:lpwstr/>
      </vt:variant>
      <vt:variant>
        <vt:lpwstr>Appendix_7_Table_7point19</vt:lpwstr>
      </vt:variant>
      <vt:variant>
        <vt:i4>4849705</vt:i4>
      </vt:variant>
      <vt:variant>
        <vt:i4>603</vt:i4>
      </vt:variant>
      <vt:variant>
        <vt:i4>0</vt:i4>
      </vt:variant>
      <vt:variant>
        <vt:i4>5</vt:i4>
      </vt:variant>
      <vt:variant>
        <vt:lpwstr/>
      </vt:variant>
      <vt:variant>
        <vt:lpwstr>Appendix_7_Table_7point18</vt:lpwstr>
      </vt:variant>
      <vt:variant>
        <vt:i4>4849705</vt:i4>
      </vt:variant>
      <vt:variant>
        <vt:i4>600</vt:i4>
      </vt:variant>
      <vt:variant>
        <vt:i4>0</vt:i4>
      </vt:variant>
      <vt:variant>
        <vt:i4>5</vt:i4>
      </vt:variant>
      <vt:variant>
        <vt:lpwstr/>
      </vt:variant>
      <vt:variant>
        <vt:lpwstr>Appendix_7_Table_7point17</vt:lpwstr>
      </vt:variant>
      <vt:variant>
        <vt:i4>4849705</vt:i4>
      </vt:variant>
      <vt:variant>
        <vt:i4>594</vt:i4>
      </vt:variant>
      <vt:variant>
        <vt:i4>0</vt:i4>
      </vt:variant>
      <vt:variant>
        <vt:i4>5</vt:i4>
      </vt:variant>
      <vt:variant>
        <vt:lpwstr/>
      </vt:variant>
      <vt:variant>
        <vt:lpwstr>Appendix_7_Table_7point16</vt:lpwstr>
      </vt:variant>
      <vt:variant>
        <vt:i4>4849705</vt:i4>
      </vt:variant>
      <vt:variant>
        <vt:i4>588</vt:i4>
      </vt:variant>
      <vt:variant>
        <vt:i4>0</vt:i4>
      </vt:variant>
      <vt:variant>
        <vt:i4>5</vt:i4>
      </vt:variant>
      <vt:variant>
        <vt:lpwstr/>
      </vt:variant>
      <vt:variant>
        <vt:lpwstr>Appendix_7_Table_7point15</vt:lpwstr>
      </vt:variant>
      <vt:variant>
        <vt:i4>4849705</vt:i4>
      </vt:variant>
      <vt:variant>
        <vt:i4>585</vt:i4>
      </vt:variant>
      <vt:variant>
        <vt:i4>0</vt:i4>
      </vt:variant>
      <vt:variant>
        <vt:i4>5</vt:i4>
      </vt:variant>
      <vt:variant>
        <vt:lpwstr/>
      </vt:variant>
      <vt:variant>
        <vt:lpwstr>Appendix_7_Table_7point14</vt:lpwstr>
      </vt:variant>
      <vt:variant>
        <vt:i4>4849705</vt:i4>
      </vt:variant>
      <vt:variant>
        <vt:i4>579</vt:i4>
      </vt:variant>
      <vt:variant>
        <vt:i4>0</vt:i4>
      </vt:variant>
      <vt:variant>
        <vt:i4>5</vt:i4>
      </vt:variant>
      <vt:variant>
        <vt:lpwstr/>
      </vt:variant>
      <vt:variant>
        <vt:lpwstr>Appendix_7_Table_7point15</vt:lpwstr>
      </vt:variant>
      <vt:variant>
        <vt:i4>4849705</vt:i4>
      </vt:variant>
      <vt:variant>
        <vt:i4>576</vt:i4>
      </vt:variant>
      <vt:variant>
        <vt:i4>0</vt:i4>
      </vt:variant>
      <vt:variant>
        <vt:i4>5</vt:i4>
      </vt:variant>
      <vt:variant>
        <vt:lpwstr/>
      </vt:variant>
      <vt:variant>
        <vt:lpwstr>Appendix_7_Table_7point14</vt:lpwstr>
      </vt:variant>
      <vt:variant>
        <vt:i4>4849705</vt:i4>
      </vt:variant>
      <vt:variant>
        <vt:i4>570</vt:i4>
      </vt:variant>
      <vt:variant>
        <vt:i4>0</vt:i4>
      </vt:variant>
      <vt:variant>
        <vt:i4>5</vt:i4>
      </vt:variant>
      <vt:variant>
        <vt:lpwstr/>
      </vt:variant>
      <vt:variant>
        <vt:lpwstr>Appendix_7_Table_7point13</vt:lpwstr>
      </vt:variant>
      <vt:variant>
        <vt:i4>4063305</vt:i4>
      </vt:variant>
      <vt:variant>
        <vt:i4>564</vt:i4>
      </vt:variant>
      <vt:variant>
        <vt:i4>0</vt:i4>
      </vt:variant>
      <vt:variant>
        <vt:i4>5</vt:i4>
      </vt:variant>
      <vt:variant>
        <vt:lpwstr/>
      </vt:variant>
      <vt:variant>
        <vt:lpwstr>Appendix_7</vt:lpwstr>
      </vt:variant>
      <vt:variant>
        <vt:i4>4849705</vt:i4>
      </vt:variant>
      <vt:variant>
        <vt:i4>561</vt:i4>
      </vt:variant>
      <vt:variant>
        <vt:i4>0</vt:i4>
      </vt:variant>
      <vt:variant>
        <vt:i4>5</vt:i4>
      </vt:variant>
      <vt:variant>
        <vt:lpwstr/>
      </vt:variant>
      <vt:variant>
        <vt:lpwstr>Appendix_7_Table_7point12</vt:lpwstr>
      </vt:variant>
      <vt:variant>
        <vt:i4>4849705</vt:i4>
      </vt:variant>
      <vt:variant>
        <vt:i4>558</vt:i4>
      </vt:variant>
      <vt:variant>
        <vt:i4>0</vt:i4>
      </vt:variant>
      <vt:variant>
        <vt:i4>5</vt:i4>
      </vt:variant>
      <vt:variant>
        <vt:lpwstr/>
      </vt:variant>
      <vt:variant>
        <vt:lpwstr>Appendix_7_Table_7point11</vt:lpwstr>
      </vt:variant>
      <vt:variant>
        <vt:i4>4849705</vt:i4>
      </vt:variant>
      <vt:variant>
        <vt:i4>555</vt:i4>
      </vt:variant>
      <vt:variant>
        <vt:i4>0</vt:i4>
      </vt:variant>
      <vt:variant>
        <vt:i4>5</vt:i4>
      </vt:variant>
      <vt:variant>
        <vt:lpwstr/>
      </vt:variant>
      <vt:variant>
        <vt:lpwstr>Appendix_7_Table_7point10</vt:lpwstr>
      </vt:variant>
      <vt:variant>
        <vt:i4>4325417</vt:i4>
      </vt:variant>
      <vt:variant>
        <vt:i4>549</vt:i4>
      </vt:variant>
      <vt:variant>
        <vt:i4>0</vt:i4>
      </vt:variant>
      <vt:variant>
        <vt:i4>5</vt:i4>
      </vt:variant>
      <vt:variant>
        <vt:lpwstr/>
      </vt:variant>
      <vt:variant>
        <vt:lpwstr>Appendix_7_Table_7point9</vt:lpwstr>
      </vt:variant>
      <vt:variant>
        <vt:i4>4390953</vt:i4>
      </vt:variant>
      <vt:variant>
        <vt:i4>546</vt:i4>
      </vt:variant>
      <vt:variant>
        <vt:i4>0</vt:i4>
      </vt:variant>
      <vt:variant>
        <vt:i4>5</vt:i4>
      </vt:variant>
      <vt:variant>
        <vt:lpwstr/>
      </vt:variant>
      <vt:variant>
        <vt:lpwstr>Appendix_7_Table_7point8</vt:lpwstr>
      </vt:variant>
      <vt:variant>
        <vt:i4>4980777</vt:i4>
      </vt:variant>
      <vt:variant>
        <vt:i4>540</vt:i4>
      </vt:variant>
      <vt:variant>
        <vt:i4>0</vt:i4>
      </vt:variant>
      <vt:variant>
        <vt:i4>5</vt:i4>
      </vt:variant>
      <vt:variant>
        <vt:lpwstr/>
      </vt:variant>
      <vt:variant>
        <vt:lpwstr>Appendix_7_Table_7point7</vt:lpwstr>
      </vt:variant>
      <vt:variant>
        <vt:i4>5046313</vt:i4>
      </vt:variant>
      <vt:variant>
        <vt:i4>534</vt:i4>
      </vt:variant>
      <vt:variant>
        <vt:i4>0</vt:i4>
      </vt:variant>
      <vt:variant>
        <vt:i4>5</vt:i4>
      </vt:variant>
      <vt:variant>
        <vt:lpwstr/>
      </vt:variant>
      <vt:variant>
        <vt:lpwstr>Appendix_7_Table_7point6</vt:lpwstr>
      </vt:variant>
      <vt:variant>
        <vt:i4>5046313</vt:i4>
      </vt:variant>
      <vt:variant>
        <vt:i4>528</vt:i4>
      </vt:variant>
      <vt:variant>
        <vt:i4>0</vt:i4>
      </vt:variant>
      <vt:variant>
        <vt:i4>5</vt:i4>
      </vt:variant>
      <vt:variant>
        <vt:lpwstr/>
      </vt:variant>
      <vt:variant>
        <vt:lpwstr>Appendix_7_Table_7point6</vt:lpwstr>
      </vt:variant>
      <vt:variant>
        <vt:i4>4063305</vt:i4>
      </vt:variant>
      <vt:variant>
        <vt:i4>525</vt:i4>
      </vt:variant>
      <vt:variant>
        <vt:i4>0</vt:i4>
      </vt:variant>
      <vt:variant>
        <vt:i4>5</vt:i4>
      </vt:variant>
      <vt:variant>
        <vt:lpwstr/>
      </vt:variant>
      <vt:variant>
        <vt:lpwstr>Appendix_7</vt:lpwstr>
      </vt:variant>
      <vt:variant>
        <vt:i4>5111849</vt:i4>
      </vt:variant>
      <vt:variant>
        <vt:i4>522</vt:i4>
      </vt:variant>
      <vt:variant>
        <vt:i4>0</vt:i4>
      </vt:variant>
      <vt:variant>
        <vt:i4>5</vt:i4>
      </vt:variant>
      <vt:variant>
        <vt:lpwstr/>
      </vt:variant>
      <vt:variant>
        <vt:lpwstr>Appendix_7_Table_7point5</vt:lpwstr>
      </vt:variant>
      <vt:variant>
        <vt:i4>5177385</vt:i4>
      </vt:variant>
      <vt:variant>
        <vt:i4>519</vt:i4>
      </vt:variant>
      <vt:variant>
        <vt:i4>0</vt:i4>
      </vt:variant>
      <vt:variant>
        <vt:i4>5</vt:i4>
      </vt:variant>
      <vt:variant>
        <vt:lpwstr/>
      </vt:variant>
      <vt:variant>
        <vt:lpwstr>Appendix_7_Table_7point4</vt:lpwstr>
      </vt:variant>
      <vt:variant>
        <vt:i4>4718633</vt:i4>
      </vt:variant>
      <vt:variant>
        <vt:i4>516</vt:i4>
      </vt:variant>
      <vt:variant>
        <vt:i4>0</vt:i4>
      </vt:variant>
      <vt:variant>
        <vt:i4>5</vt:i4>
      </vt:variant>
      <vt:variant>
        <vt:lpwstr/>
      </vt:variant>
      <vt:variant>
        <vt:lpwstr>Appendix_7_Table_7point3</vt:lpwstr>
      </vt:variant>
      <vt:variant>
        <vt:i4>4784169</vt:i4>
      </vt:variant>
      <vt:variant>
        <vt:i4>513</vt:i4>
      </vt:variant>
      <vt:variant>
        <vt:i4>0</vt:i4>
      </vt:variant>
      <vt:variant>
        <vt:i4>5</vt:i4>
      </vt:variant>
      <vt:variant>
        <vt:lpwstr/>
      </vt:variant>
      <vt:variant>
        <vt:lpwstr>Appendix_7_Table_7point2</vt:lpwstr>
      </vt:variant>
      <vt:variant>
        <vt:i4>4849705</vt:i4>
      </vt:variant>
      <vt:variant>
        <vt:i4>510</vt:i4>
      </vt:variant>
      <vt:variant>
        <vt:i4>0</vt:i4>
      </vt:variant>
      <vt:variant>
        <vt:i4>5</vt:i4>
      </vt:variant>
      <vt:variant>
        <vt:lpwstr/>
      </vt:variant>
      <vt:variant>
        <vt:lpwstr>Appendix_7_Table_7point1</vt:lpwstr>
      </vt:variant>
      <vt:variant>
        <vt:i4>4849705</vt:i4>
      </vt:variant>
      <vt:variant>
        <vt:i4>507</vt:i4>
      </vt:variant>
      <vt:variant>
        <vt:i4>0</vt:i4>
      </vt:variant>
      <vt:variant>
        <vt:i4>5</vt:i4>
      </vt:variant>
      <vt:variant>
        <vt:lpwstr/>
      </vt:variant>
      <vt:variant>
        <vt:lpwstr>Appendix_7_Table_7point1</vt:lpwstr>
      </vt:variant>
      <vt:variant>
        <vt:i4>4849705</vt:i4>
      </vt:variant>
      <vt:variant>
        <vt:i4>501</vt:i4>
      </vt:variant>
      <vt:variant>
        <vt:i4>0</vt:i4>
      </vt:variant>
      <vt:variant>
        <vt:i4>5</vt:i4>
      </vt:variant>
      <vt:variant>
        <vt:lpwstr/>
      </vt:variant>
      <vt:variant>
        <vt:lpwstr>Appendix_7_Table_7point1</vt:lpwstr>
      </vt:variant>
      <vt:variant>
        <vt:i4>5374067</vt:i4>
      </vt:variant>
      <vt:variant>
        <vt:i4>498</vt:i4>
      </vt:variant>
      <vt:variant>
        <vt:i4>0</vt:i4>
      </vt:variant>
      <vt:variant>
        <vt:i4>5</vt:i4>
      </vt:variant>
      <vt:variant>
        <vt:lpwstr/>
      </vt:variant>
      <vt:variant>
        <vt:lpwstr>Table_3</vt:lpwstr>
      </vt:variant>
      <vt:variant>
        <vt:i4>4063305</vt:i4>
      </vt:variant>
      <vt:variant>
        <vt:i4>495</vt:i4>
      </vt:variant>
      <vt:variant>
        <vt:i4>0</vt:i4>
      </vt:variant>
      <vt:variant>
        <vt:i4>5</vt:i4>
      </vt:variant>
      <vt:variant>
        <vt:lpwstr/>
      </vt:variant>
      <vt:variant>
        <vt:lpwstr>Appendix_7</vt:lpwstr>
      </vt:variant>
      <vt:variant>
        <vt:i4>4063305</vt:i4>
      </vt:variant>
      <vt:variant>
        <vt:i4>492</vt:i4>
      </vt:variant>
      <vt:variant>
        <vt:i4>0</vt:i4>
      </vt:variant>
      <vt:variant>
        <vt:i4>5</vt:i4>
      </vt:variant>
      <vt:variant>
        <vt:lpwstr/>
      </vt:variant>
      <vt:variant>
        <vt:lpwstr>Appendix_7</vt:lpwstr>
      </vt:variant>
      <vt:variant>
        <vt:i4>5046313</vt:i4>
      </vt:variant>
      <vt:variant>
        <vt:i4>489</vt:i4>
      </vt:variant>
      <vt:variant>
        <vt:i4>0</vt:i4>
      </vt:variant>
      <vt:variant>
        <vt:i4>5</vt:i4>
      </vt:variant>
      <vt:variant>
        <vt:lpwstr/>
      </vt:variant>
      <vt:variant>
        <vt:lpwstr>Appendix_5_Table_5point6</vt:lpwstr>
      </vt:variant>
      <vt:variant>
        <vt:i4>5177385</vt:i4>
      </vt:variant>
      <vt:variant>
        <vt:i4>486</vt:i4>
      </vt:variant>
      <vt:variant>
        <vt:i4>0</vt:i4>
      </vt:variant>
      <vt:variant>
        <vt:i4>5</vt:i4>
      </vt:variant>
      <vt:variant>
        <vt:lpwstr/>
      </vt:variant>
      <vt:variant>
        <vt:lpwstr>Appendix_5_Table_5point4</vt:lpwstr>
      </vt:variant>
      <vt:variant>
        <vt:i4>4063305</vt:i4>
      </vt:variant>
      <vt:variant>
        <vt:i4>483</vt:i4>
      </vt:variant>
      <vt:variant>
        <vt:i4>0</vt:i4>
      </vt:variant>
      <vt:variant>
        <vt:i4>5</vt:i4>
      </vt:variant>
      <vt:variant>
        <vt:lpwstr/>
      </vt:variant>
      <vt:variant>
        <vt:lpwstr>Appendix_7</vt:lpwstr>
      </vt:variant>
      <vt:variant>
        <vt:i4>4849705</vt:i4>
      </vt:variant>
      <vt:variant>
        <vt:i4>480</vt:i4>
      </vt:variant>
      <vt:variant>
        <vt:i4>0</vt:i4>
      </vt:variant>
      <vt:variant>
        <vt:i4>5</vt:i4>
      </vt:variant>
      <vt:variant>
        <vt:lpwstr/>
      </vt:variant>
      <vt:variant>
        <vt:lpwstr>Appendix_5_Table_5point1</vt:lpwstr>
      </vt:variant>
      <vt:variant>
        <vt:i4>4980777</vt:i4>
      </vt:variant>
      <vt:variant>
        <vt:i4>477</vt:i4>
      </vt:variant>
      <vt:variant>
        <vt:i4>0</vt:i4>
      </vt:variant>
      <vt:variant>
        <vt:i4>5</vt:i4>
      </vt:variant>
      <vt:variant>
        <vt:lpwstr/>
      </vt:variant>
      <vt:variant>
        <vt:lpwstr>Appendix_5_Table_5point7</vt:lpwstr>
      </vt:variant>
      <vt:variant>
        <vt:i4>4849705</vt:i4>
      </vt:variant>
      <vt:variant>
        <vt:i4>474</vt:i4>
      </vt:variant>
      <vt:variant>
        <vt:i4>0</vt:i4>
      </vt:variant>
      <vt:variant>
        <vt:i4>5</vt:i4>
      </vt:variant>
      <vt:variant>
        <vt:lpwstr/>
      </vt:variant>
      <vt:variant>
        <vt:lpwstr>Appendix_5_Table_5point1</vt:lpwstr>
      </vt:variant>
      <vt:variant>
        <vt:i4>4849705</vt:i4>
      </vt:variant>
      <vt:variant>
        <vt:i4>471</vt:i4>
      </vt:variant>
      <vt:variant>
        <vt:i4>0</vt:i4>
      </vt:variant>
      <vt:variant>
        <vt:i4>5</vt:i4>
      </vt:variant>
      <vt:variant>
        <vt:lpwstr/>
      </vt:variant>
      <vt:variant>
        <vt:lpwstr>Appendix_4_Table_4point1</vt:lpwstr>
      </vt:variant>
      <vt:variant>
        <vt:i4>4849705</vt:i4>
      </vt:variant>
      <vt:variant>
        <vt:i4>468</vt:i4>
      </vt:variant>
      <vt:variant>
        <vt:i4>0</vt:i4>
      </vt:variant>
      <vt:variant>
        <vt:i4>5</vt:i4>
      </vt:variant>
      <vt:variant>
        <vt:lpwstr/>
      </vt:variant>
      <vt:variant>
        <vt:lpwstr>Appendix_3_Table_3point1</vt:lpwstr>
      </vt:variant>
      <vt:variant>
        <vt:i4>4849705</vt:i4>
      </vt:variant>
      <vt:variant>
        <vt:i4>462</vt:i4>
      </vt:variant>
      <vt:variant>
        <vt:i4>0</vt:i4>
      </vt:variant>
      <vt:variant>
        <vt:i4>5</vt:i4>
      </vt:variant>
      <vt:variant>
        <vt:lpwstr/>
      </vt:variant>
      <vt:variant>
        <vt:lpwstr>Appendix_2_Table_2point1</vt:lpwstr>
      </vt:variant>
      <vt:variant>
        <vt:i4>5374067</vt:i4>
      </vt:variant>
      <vt:variant>
        <vt:i4>459</vt:i4>
      </vt:variant>
      <vt:variant>
        <vt:i4>0</vt:i4>
      </vt:variant>
      <vt:variant>
        <vt:i4>5</vt:i4>
      </vt:variant>
      <vt:variant>
        <vt:lpwstr/>
      </vt:variant>
      <vt:variant>
        <vt:lpwstr>Table_2</vt:lpwstr>
      </vt:variant>
      <vt:variant>
        <vt:i4>4915244</vt:i4>
      </vt:variant>
      <vt:variant>
        <vt:i4>453</vt:i4>
      </vt:variant>
      <vt:variant>
        <vt:i4>0</vt:i4>
      </vt:variant>
      <vt:variant>
        <vt:i4>5</vt:i4>
      </vt:variant>
      <vt:variant>
        <vt:lpwstr/>
      </vt:variant>
      <vt:variant>
        <vt:lpwstr>Figure_2</vt:lpwstr>
      </vt:variant>
      <vt:variant>
        <vt:i4>3670089</vt:i4>
      </vt:variant>
      <vt:variant>
        <vt:i4>450</vt:i4>
      </vt:variant>
      <vt:variant>
        <vt:i4>0</vt:i4>
      </vt:variant>
      <vt:variant>
        <vt:i4>5</vt:i4>
      </vt:variant>
      <vt:variant>
        <vt:lpwstr/>
      </vt:variant>
      <vt:variant>
        <vt:lpwstr>Appendix_1</vt:lpwstr>
      </vt:variant>
      <vt:variant>
        <vt:i4>327711</vt:i4>
      </vt:variant>
      <vt:variant>
        <vt:i4>447</vt:i4>
      </vt:variant>
      <vt:variant>
        <vt:i4>0</vt:i4>
      </vt:variant>
      <vt:variant>
        <vt:i4>5</vt:i4>
      </vt:variant>
      <vt:variant>
        <vt:lpwstr>http://www.esmo.org/guidelines/esmo-mcbs</vt:lpwstr>
      </vt:variant>
      <vt:variant>
        <vt:lpwstr/>
      </vt:variant>
      <vt:variant>
        <vt:i4>4718636</vt:i4>
      </vt:variant>
      <vt:variant>
        <vt:i4>444</vt:i4>
      </vt:variant>
      <vt:variant>
        <vt:i4>0</vt:i4>
      </vt:variant>
      <vt:variant>
        <vt:i4>5</vt:i4>
      </vt:variant>
      <vt:variant>
        <vt:lpwstr/>
      </vt:variant>
      <vt:variant>
        <vt:lpwstr>Figure_1</vt:lpwstr>
      </vt:variant>
      <vt:variant>
        <vt:i4>5374067</vt:i4>
      </vt:variant>
      <vt:variant>
        <vt:i4>438</vt:i4>
      </vt:variant>
      <vt:variant>
        <vt:i4>0</vt:i4>
      </vt:variant>
      <vt:variant>
        <vt:i4>5</vt:i4>
      </vt:variant>
      <vt:variant>
        <vt:lpwstr/>
      </vt:variant>
      <vt:variant>
        <vt:lpwstr>Table_1</vt:lpwstr>
      </vt:variant>
      <vt:variant>
        <vt:i4>4718636</vt:i4>
      </vt:variant>
      <vt:variant>
        <vt:i4>432</vt:i4>
      </vt:variant>
      <vt:variant>
        <vt:i4>0</vt:i4>
      </vt:variant>
      <vt:variant>
        <vt:i4>5</vt:i4>
      </vt:variant>
      <vt:variant>
        <vt:lpwstr/>
      </vt:variant>
      <vt:variant>
        <vt:lpwstr>Figure_1</vt:lpwstr>
      </vt:variant>
      <vt:variant>
        <vt:i4>4063290</vt:i4>
      </vt:variant>
      <vt:variant>
        <vt:i4>429</vt:i4>
      </vt:variant>
      <vt:variant>
        <vt:i4>0</vt:i4>
      </vt:variant>
      <vt:variant>
        <vt:i4>5</vt:i4>
      </vt:variant>
      <vt:variant>
        <vt:lpwstr/>
      </vt:variant>
      <vt:variant>
        <vt:lpwstr>Disease_free_survival</vt:lpwstr>
      </vt:variant>
      <vt:variant>
        <vt:i4>6422632</vt:i4>
      </vt:variant>
      <vt:variant>
        <vt:i4>426</vt:i4>
      </vt:variant>
      <vt:variant>
        <vt:i4>0</vt:i4>
      </vt:variant>
      <vt:variant>
        <vt:i4>5</vt:i4>
      </vt:variant>
      <vt:variant>
        <vt:lpwstr/>
      </vt:variant>
      <vt:variant>
        <vt:lpwstr>Median</vt:lpwstr>
      </vt:variant>
      <vt:variant>
        <vt:i4>6422640</vt:i4>
      </vt:variant>
      <vt:variant>
        <vt:i4>423</vt:i4>
      </vt:variant>
      <vt:variant>
        <vt:i4>0</vt:i4>
      </vt:variant>
      <vt:variant>
        <vt:i4>5</vt:i4>
      </vt:variant>
      <vt:variant>
        <vt:lpwstr/>
      </vt:variant>
      <vt:variant>
        <vt:lpwstr>PBS</vt:lpwstr>
      </vt:variant>
      <vt:variant>
        <vt:i4>6422632</vt:i4>
      </vt:variant>
      <vt:variant>
        <vt:i4>420</vt:i4>
      </vt:variant>
      <vt:variant>
        <vt:i4>0</vt:i4>
      </vt:variant>
      <vt:variant>
        <vt:i4>5</vt:i4>
      </vt:variant>
      <vt:variant>
        <vt:lpwstr/>
      </vt:variant>
      <vt:variant>
        <vt:lpwstr>Median</vt:lpwstr>
      </vt:variant>
      <vt:variant>
        <vt:i4>2883643</vt:i4>
      </vt:variant>
      <vt:variant>
        <vt:i4>417</vt:i4>
      </vt:variant>
      <vt:variant>
        <vt:i4>0</vt:i4>
      </vt:variant>
      <vt:variant>
        <vt:i4>5</vt:i4>
      </vt:variant>
      <vt:variant>
        <vt:lpwstr/>
      </vt:variant>
      <vt:variant>
        <vt:lpwstr>Line_of_treatment</vt:lpwstr>
      </vt:variant>
      <vt:variant>
        <vt:i4>3538978</vt:i4>
      </vt:variant>
      <vt:variant>
        <vt:i4>414</vt:i4>
      </vt:variant>
      <vt:variant>
        <vt:i4>0</vt:i4>
      </vt:variant>
      <vt:variant>
        <vt:i4>5</vt:i4>
      </vt:variant>
      <vt:variant>
        <vt:lpwstr/>
      </vt:variant>
      <vt:variant>
        <vt:lpwstr>Relapse_free_survival</vt:lpwstr>
      </vt:variant>
      <vt:variant>
        <vt:i4>6422632</vt:i4>
      </vt:variant>
      <vt:variant>
        <vt:i4>411</vt:i4>
      </vt:variant>
      <vt:variant>
        <vt:i4>0</vt:i4>
      </vt:variant>
      <vt:variant>
        <vt:i4>5</vt:i4>
      </vt:variant>
      <vt:variant>
        <vt:lpwstr/>
      </vt:variant>
      <vt:variant>
        <vt:lpwstr>Median</vt:lpwstr>
      </vt:variant>
      <vt:variant>
        <vt:i4>8061052</vt:i4>
      </vt:variant>
      <vt:variant>
        <vt:i4>408</vt:i4>
      </vt:variant>
      <vt:variant>
        <vt:i4>0</vt:i4>
      </vt:variant>
      <vt:variant>
        <vt:i4>5</vt:i4>
      </vt:variant>
      <vt:variant>
        <vt:lpwstr/>
      </vt:variant>
      <vt:variant>
        <vt:lpwstr>Pharmac</vt:lpwstr>
      </vt:variant>
      <vt:variant>
        <vt:i4>1245237</vt:i4>
      </vt:variant>
      <vt:variant>
        <vt:i4>263</vt:i4>
      </vt:variant>
      <vt:variant>
        <vt:i4>0</vt:i4>
      </vt:variant>
      <vt:variant>
        <vt:i4>5</vt:i4>
      </vt:variant>
      <vt:variant>
        <vt:lpwstr/>
      </vt:variant>
      <vt:variant>
        <vt:lpwstr>_Toc101532638</vt:lpwstr>
      </vt:variant>
      <vt:variant>
        <vt:i4>1245237</vt:i4>
      </vt:variant>
      <vt:variant>
        <vt:i4>257</vt:i4>
      </vt:variant>
      <vt:variant>
        <vt:i4>0</vt:i4>
      </vt:variant>
      <vt:variant>
        <vt:i4>5</vt:i4>
      </vt:variant>
      <vt:variant>
        <vt:lpwstr/>
      </vt:variant>
      <vt:variant>
        <vt:lpwstr>_Toc101532637</vt:lpwstr>
      </vt:variant>
      <vt:variant>
        <vt:i4>1245237</vt:i4>
      </vt:variant>
      <vt:variant>
        <vt:i4>251</vt:i4>
      </vt:variant>
      <vt:variant>
        <vt:i4>0</vt:i4>
      </vt:variant>
      <vt:variant>
        <vt:i4>5</vt:i4>
      </vt:variant>
      <vt:variant>
        <vt:lpwstr/>
      </vt:variant>
      <vt:variant>
        <vt:lpwstr>_Toc101532636</vt:lpwstr>
      </vt:variant>
      <vt:variant>
        <vt:i4>1245237</vt:i4>
      </vt:variant>
      <vt:variant>
        <vt:i4>245</vt:i4>
      </vt:variant>
      <vt:variant>
        <vt:i4>0</vt:i4>
      </vt:variant>
      <vt:variant>
        <vt:i4>5</vt:i4>
      </vt:variant>
      <vt:variant>
        <vt:lpwstr/>
      </vt:variant>
      <vt:variant>
        <vt:lpwstr>_Toc101532635</vt:lpwstr>
      </vt:variant>
      <vt:variant>
        <vt:i4>1245237</vt:i4>
      </vt:variant>
      <vt:variant>
        <vt:i4>239</vt:i4>
      </vt:variant>
      <vt:variant>
        <vt:i4>0</vt:i4>
      </vt:variant>
      <vt:variant>
        <vt:i4>5</vt:i4>
      </vt:variant>
      <vt:variant>
        <vt:lpwstr/>
      </vt:variant>
      <vt:variant>
        <vt:lpwstr>_Toc101532634</vt:lpwstr>
      </vt:variant>
      <vt:variant>
        <vt:i4>1245237</vt:i4>
      </vt:variant>
      <vt:variant>
        <vt:i4>233</vt:i4>
      </vt:variant>
      <vt:variant>
        <vt:i4>0</vt:i4>
      </vt:variant>
      <vt:variant>
        <vt:i4>5</vt:i4>
      </vt:variant>
      <vt:variant>
        <vt:lpwstr/>
      </vt:variant>
      <vt:variant>
        <vt:lpwstr>_Toc101532633</vt:lpwstr>
      </vt:variant>
      <vt:variant>
        <vt:i4>1245237</vt:i4>
      </vt:variant>
      <vt:variant>
        <vt:i4>227</vt:i4>
      </vt:variant>
      <vt:variant>
        <vt:i4>0</vt:i4>
      </vt:variant>
      <vt:variant>
        <vt:i4>5</vt:i4>
      </vt:variant>
      <vt:variant>
        <vt:lpwstr/>
      </vt:variant>
      <vt:variant>
        <vt:lpwstr>_Toc101532632</vt:lpwstr>
      </vt:variant>
      <vt:variant>
        <vt:i4>1245237</vt:i4>
      </vt:variant>
      <vt:variant>
        <vt:i4>221</vt:i4>
      </vt:variant>
      <vt:variant>
        <vt:i4>0</vt:i4>
      </vt:variant>
      <vt:variant>
        <vt:i4>5</vt:i4>
      </vt:variant>
      <vt:variant>
        <vt:lpwstr/>
      </vt:variant>
      <vt:variant>
        <vt:lpwstr>_Toc101532631</vt:lpwstr>
      </vt:variant>
      <vt:variant>
        <vt:i4>1245237</vt:i4>
      </vt:variant>
      <vt:variant>
        <vt:i4>215</vt:i4>
      </vt:variant>
      <vt:variant>
        <vt:i4>0</vt:i4>
      </vt:variant>
      <vt:variant>
        <vt:i4>5</vt:i4>
      </vt:variant>
      <vt:variant>
        <vt:lpwstr/>
      </vt:variant>
      <vt:variant>
        <vt:lpwstr>_Toc101532630</vt:lpwstr>
      </vt:variant>
      <vt:variant>
        <vt:i4>1179701</vt:i4>
      </vt:variant>
      <vt:variant>
        <vt:i4>209</vt:i4>
      </vt:variant>
      <vt:variant>
        <vt:i4>0</vt:i4>
      </vt:variant>
      <vt:variant>
        <vt:i4>5</vt:i4>
      </vt:variant>
      <vt:variant>
        <vt:lpwstr/>
      </vt:variant>
      <vt:variant>
        <vt:lpwstr>_Toc101532629</vt:lpwstr>
      </vt:variant>
      <vt:variant>
        <vt:i4>1179701</vt:i4>
      </vt:variant>
      <vt:variant>
        <vt:i4>203</vt:i4>
      </vt:variant>
      <vt:variant>
        <vt:i4>0</vt:i4>
      </vt:variant>
      <vt:variant>
        <vt:i4>5</vt:i4>
      </vt:variant>
      <vt:variant>
        <vt:lpwstr/>
      </vt:variant>
      <vt:variant>
        <vt:lpwstr>_Toc101532628</vt:lpwstr>
      </vt:variant>
      <vt:variant>
        <vt:i4>1179701</vt:i4>
      </vt:variant>
      <vt:variant>
        <vt:i4>197</vt:i4>
      </vt:variant>
      <vt:variant>
        <vt:i4>0</vt:i4>
      </vt:variant>
      <vt:variant>
        <vt:i4>5</vt:i4>
      </vt:variant>
      <vt:variant>
        <vt:lpwstr/>
      </vt:variant>
      <vt:variant>
        <vt:lpwstr>_Toc101532627</vt:lpwstr>
      </vt:variant>
      <vt:variant>
        <vt:i4>1179701</vt:i4>
      </vt:variant>
      <vt:variant>
        <vt:i4>191</vt:i4>
      </vt:variant>
      <vt:variant>
        <vt:i4>0</vt:i4>
      </vt:variant>
      <vt:variant>
        <vt:i4>5</vt:i4>
      </vt:variant>
      <vt:variant>
        <vt:lpwstr/>
      </vt:variant>
      <vt:variant>
        <vt:lpwstr>_Toc101532626</vt:lpwstr>
      </vt:variant>
      <vt:variant>
        <vt:i4>1179701</vt:i4>
      </vt:variant>
      <vt:variant>
        <vt:i4>185</vt:i4>
      </vt:variant>
      <vt:variant>
        <vt:i4>0</vt:i4>
      </vt:variant>
      <vt:variant>
        <vt:i4>5</vt:i4>
      </vt:variant>
      <vt:variant>
        <vt:lpwstr/>
      </vt:variant>
      <vt:variant>
        <vt:lpwstr>_Toc101532625</vt:lpwstr>
      </vt:variant>
      <vt:variant>
        <vt:i4>1179701</vt:i4>
      </vt:variant>
      <vt:variant>
        <vt:i4>179</vt:i4>
      </vt:variant>
      <vt:variant>
        <vt:i4>0</vt:i4>
      </vt:variant>
      <vt:variant>
        <vt:i4>5</vt:i4>
      </vt:variant>
      <vt:variant>
        <vt:lpwstr/>
      </vt:variant>
      <vt:variant>
        <vt:lpwstr>_Toc101532624</vt:lpwstr>
      </vt:variant>
      <vt:variant>
        <vt:i4>1179701</vt:i4>
      </vt:variant>
      <vt:variant>
        <vt:i4>173</vt:i4>
      </vt:variant>
      <vt:variant>
        <vt:i4>0</vt:i4>
      </vt:variant>
      <vt:variant>
        <vt:i4>5</vt:i4>
      </vt:variant>
      <vt:variant>
        <vt:lpwstr/>
      </vt:variant>
      <vt:variant>
        <vt:lpwstr>_Toc101532623</vt:lpwstr>
      </vt:variant>
      <vt:variant>
        <vt:i4>1179701</vt:i4>
      </vt:variant>
      <vt:variant>
        <vt:i4>167</vt:i4>
      </vt:variant>
      <vt:variant>
        <vt:i4>0</vt:i4>
      </vt:variant>
      <vt:variant>
        <vt:i4>5</vt:i4>
      </vt:variant>
      <vt:variant>
        <vt:lpwstr/>
      </vt:variant>
      <vt:variant>
        <vt:lpwstr>_Toc101532622</vt:lpwstr>
      </vt:variant>
      <vt:variant>
        <vt:i4>1179701</vt:i4>
      </vt:variant>
      <vt:variant>
        <vt:i4>161</vt:i4>
      </vt:variant>
      <vt:variant>
        <vt:i4>0</vt:i4>
      </vt:variant>
      <vt:variant>
        <vt:i4>5</vt:i4>
      </vt:variant>
      <vt:variant>
        <vt:lpwstr/>
      </vt:variant>
      <vt:variant>
        <vt:lpwstr>_Toc101532621</vt:lpwstr>
      </vt:variant>
      <vt:variant>
        <vt:i4>1179701</vt:i4>
      </vt:variant>
      <vt:variant>
        <vt:i4>155</vt:i4>
      </vt:variant>
      <vt:variant>
        <vt:i4>0</vt:i4>
      </vt:variant>
      <vt:variant>
        <vt:i4>5</vt:i4>
      </vt:variant>
      <vt:variant>
        <vt:lpwstr/>
      </vt:variant>
      <vt:variant>
        <vt:lpwstr>_Toc101532620</vt:lpwstr>
      </vt:variant>
      <vt:variant>
        <vt:i4>1114165</vt:i4>
      </vt:variant>
      <vt:variant>
        <vt:i4>149</vt:i4>
      </vt:variant>
      <vt:variant>
        <vt:i4>0</vt:i4>
      </vt:variant>
      <vt:variant>
        <vt:i4>5</vt:i4>
      </vt:variant>
      <vt:variant>
        <vt:lpwstr/>
      </vt:variant>
      <vt:variant>
        <vt:lpwstr>_Toc101532619</vt:lpwstr>
      </vt:variant>
      <vt:variant>
        <vt:i4>1114165</vt:i4>
      </vt:variant>
      <vt:variant>
        <vt:i4>143</vt:i4>
      </vt:variant>
      <vt:variant>
        <vt:i4>0</vt:i4>
      </vt:variant>
      <vt:variant>
        <vt:i4>5</vt:i4>
      </vt:variant>
      <vt:variant>
        <vt:lpwstr/>
      </vt:variant>
      <vt:variant>
        <vt:lpwstr>_Toc101532618</vt:lpwstr>
      </vt:variant>
      <vt:variant>
        <vt:i4>1114165</vt:i4>
      </vt:variant>
      <vt:variant>
        <vt:i4>137</vt:i4>
      </vt:variant>
      <vt:variant>
        <vt:i4>0</vt:i4>
      </vt:variant>
      <vt:variant>
        <vt:i4>5</vt:i4>
      </vt:variant>
      <vt:variant>
        <vt:lpwstr/>
      </vt:variant>
      <vt:variant>
        <vt:lpwstr>_Toc101532617</vt:lpwstr>
      </vt:variant>
      <vt:variant>
        <vt:i4>1114165</vt:i4>
      </vt:variant>
      <vt:variant>
        <vt:i4>131</vt:i4>
      </vt:variant>
      <vt:variant>
        <vt:i4>0</vt:i4>
      </vt:variant>
      <vt:variant>
        <vt:i4>5</vt:i4>
      </vt:variant>
      <vt:variant>
        <vt:lpwstr/>
      </vt:variant>
      <vt:variant>
        <vt:lpwstr>_Toc101532616</vt:lpwstr>
      </vt:variant>
      <vt:variant>
        <vt:i4>1114165</vt:i4>
      </vt:variant>
      <vt:variant>
        <vt:i4>125</vt:i4>
      </vt:variant>
      <vt:variant>
        <vt:i4>0</vt:i4>
      </vt:variant>
      <vt:variant>
        <vt:i4>5</vt:i4>
      </vt:variant>
      <vt:variant>
        <vt:lpwstr/>
      </vt:variant>
      <vt:variant>
        <vt:lpwstr>_Toc101532615</vt:lpwstr>
      </vt:variant>
      <vt:variant>
        <vt:i4>1114165</vt:i4>
      </vt:variant>
      <vt:variant>
        <vt:i4>119</vt:i4>
      </vt:variant>
      <vt:variant>
        <vt:i4>0</vt:i4>
      </vt:variant>
      <vt:variant>
        <vt:i4>5</vt:i4>
      </vt:variant>
      <vt:variant>
        <vt:lpwstr/>
      </vt:variant>
      <vt:variant>
        <vt:lpwstr>_Toc101532614</vt:lpwstr>
      </vt:variant>
      <vt:variant>
        <vt:i4>1114165</vt:i4>
      </vt:variant>
      <vt:variant>
        <vt:i4>113</vt:i4>
      </vt:variant>
      <vt:variant>
        <vt:i4>0</vt:i4>
      </vt:variant>
      <vt:variant>
        <vt:i4>5</vt:i4>
      </vt:variant>
      <vt:variant>
        <vt:lpwstr/>
      </vt:variant>
      <vt:variant>
        <vt:lpwstr>_Toc101532613</vt:lpwstr>
      </vt:variant>
      <vt:variant>
        <vt:i4>1114165</vt:i4>
      </vt:variant>
      <vt:variant>
        <vt:i4>107</vt:i4>
      </vt:variant>
      <vt:variant>
        <vt:i4>0</vt:i4>
      </vt:variant>
      <vt:variant>
        <vt:i4>5</vt:i4>
      </vt:variant>
      <vt:variant>
        <vt:lpwstr/>
      </vt:variant>
      <vt:variant>
        <vt:lpwstr>_Toc101532612</vt:lpwstr>
      </vt:variant>
      <vt:variant>
        <vt:i4>1114165</vt:i4>
      </vt:variant>
      <vt:variant>
        <vt:i4>101</vt:i4>
      </vt:variant>
      <vt:variant>
        <vt:i4>0</vt:i4>
      </vt:variant>
      <vt:variant>
        <vt:i4>5</vt:i4>
      </vt:variant>
      <vt:variant>
        <vt:lpwstr/>
      </vt:variant>
      <vt:variant>
        <vt:lpwstr>_Toc101532611</vt:lpwstr>
      </vt:variant>
      <vt:variant>
        <vt:i4>1114165</vt:i4>
      </vt:variant>
      <vt:variant>
        <vt:i4>95</vt:i4>
      </vt:variant>
      <vt:variant>
        <vt:i4>0</vt:i4>
      </vt:variant>
      <vt:variant>
        <vt:i4>5</vt:i4>
      </vt:variant>
      <vt:variant>
        <vt:lpwstr/>
      </vt:variant>
      <vt:variant>
        <vt:lpwstr>_Toc101532610</vt:lpwstr>
      </vt:variant>
      <vt:variant>
        <vt:i4>1048629</vt:i4>
      </vt:variant>
      <vt:variant>
        <vt:i4>89</vt:i4>
      </vt:variant>
      <vt:variant>
        <vt:i4>0</vt:i4>
      </vt:variant>
      <vt:variant>
        <vt:i4>5</vt:i4>
      </vt:variant>
      <vt:variant>
        <vt:lpwstr/>
      </vt:variant>
      <vt:variant>
        <vt:lpwstr>_Toc101532609</vt:lpwstr>
      </vt:variant>
      <vt:variant>
        <vt:i4>1048629</vt:i4>
      </vt:variant>
      <vt:variant>
        <vt:i4>83</vt:i4>
      </vt:variant>
      <vt:variant>
        <vt:i4>0</vt:i4>
      </vt:variant>
      <vt:variant>
        <vt:i4>5</vt:i4>
      </vt:variant>
      <vt:variant>
        <vt:lpwstr/>
      </vt:variant>
      <vt:variant>
        <vt:lpwstr>_Toc101532608</vt:lpwstr>
      </vt:variant>
      <vt:variant>
        <vt:i4>1048629</vt:i4>
      </vt:variant>
      <vt:variant>
        <vt:i4>77</vt:i4>
      </vt:variant>
      <vt:variant>
        <vt:i4>0</vt:i4>
      </vt:variant>
      <vt:variant>
        <vt:i4>5</vt:i4>
      </vt:variant>
      <vt:variant>
        <vt:lpwstr/>
      </vt:variant>
      <vt:variant>
        <vt:lpwstr>_Toc101532607</vt:lpwstr>
      </vt:variant>
      <vt:variant>
        <vt:i4>1048629</vt:i4>
      </vt:variant>
      <vt:variant>
        <vt:i4>71</vt:i4>
      </vt:variant>
      <vt:variant>
        <vt:i4>0</vt:i4>
      </vt:variant>
      <vt:variant>
        <vt:i4>5</vt:i4>
      </vt:variant>
      <vt:variant>
        <vt:lpwstr/>
      </vt:variant>
      <vt:variant>
        <vt:lpwstr>_Toc101532606</vt:lpwstr>
      </vt:variant>
      <vt:variant>
        <vt:i4>1048629</vt:i4>
      </vt:variant>
      <vt:variant>
        <vt:i4>65</vt:i4>
      </vt:variant>
      <vt:variant>
        <vt:i4>0</vt:i4>
      </vt:variant>
      <vt:variant>
        <vt:i4>5</vt:i4>
      </vt:variant>
      <vt:variant>
        <vt:lpwstr/>
      </vt:variant>
      <vt:variant>
        <vt:lpwstr>_Toc101532605</vt:lpwstr>
      </vt:variant>
      <vt:variant>
        <vt:i4>1048629</vt:i4>
      </vt:variant>
      <vt:variant>
        <vt:i4>59</vt:i4>
      </vt:variant>
      <vt:variant>
        <vt:i4>0</vt:i4>
      </vt:variant>
      <vt:variant>
        <vt:i4>5</vt:i4>
      </vt:variant>
      <vt:variant>
        <vt:lpwstr/>
      </vt:variant>
      <vt:variant>
        <vt:lpwstr>_Toc101532604</vt:lpwstr>
      </vt:variant>
      <vt:variant>
        <vt:i4>1048629</vt:i4>
      </vt:variant>
      <vt:variant>
        <vt:i4>53</vt:i4>
      </vt:variant>
      <vt:variant>
        <vt:i4>0</vt:i4>
      </vt:variant>
      <vt:variant>
        <vt:i4>5</vt:i4>
      </vt:variant>
      <vt:variant>
        <vt:lpwstr/>
      </vt:variant>
      <vt:variant>
        <vt:lpwstr>_Toc101532603</vt:lpwstr>
      </vt:variant>
      <vt:variant>
        <vt:i4>1048629</vt:i4>
      </vt:variant>
      <vt:variant>
        <vt:i4>47</vt:i4>
      </vt:variant>
      <vt:variant>
        <vt:i4>0</vt:i4>
      </vt:variant>
      <vt:variant>
        <vt:i4>5</vt:i4>
      </vt:variant>
      <vt:variant>
        <vt:lpwstr/>
      </vt:variant>
      <vt:variant>
        <vt:lpwstr>_Toc101532602</vt:lpwstr>
      </vt:variant>
      <vt:variant>
        <vt:i4>1048629</vt:i4>
      </vt:variant>
      <vt:variant>
        <vt:i4>41</vt:i4>
      </vt:variant>
      <vt:variant>
        <vt:i4>0</vt:i4>
      </vt:variant>
      <vt:variant>
        <vt:i4>5</vt:i4>
      </vt:variant>
      <vt:variant>
        <vt:lpwstr/>
      </vt:variant>
      <vt:variant>
        <vt:lpwstr>_Toc101532601</vt:lpwstr>
      </vt:variant>
      <vt:variant>
        <vt:i4>1048629</vt:i4>
      </vt:variant>
      <vt:variant>
        <vt:i4>35</vt:i4>
      </vt:variant>
      <vt:variant>
        <vt:i4>0</vt:i4>
      </vt:variant>
      <vt:variant>
        <vt:i4>5</vt:i4>
      </vt:variant>
      <vt:variant>
        <vt:lpwstr/>
      </vt:variant>
      <vt:variant>
        <vt:lpwstr>_Toc101532600</vt:lpwstr>
      </vt:variant>
      <vt:variant>
        <vt:i4>1638454</vt:i4>
      </vt:variant>
      <vt:variant>
        <vt:i4>29</vt:i4>
      </vt:variant>
      <vt:variant>
        <vt:i4>0</vt:i4>
      </vt:variant>
      <vt:variant>
        <vt:i4>5</vt:i4>
      </vt:variant>
      <vt:variant>
        <vt:lpwstr/>
      </vt:variant>
      <vt:variant>
        <vt:lpwstr>_Toc101532599</vt:lpwstr>
      </vt:variant>
      <vt:variant>
        <vt:i4>1638454</vt:i4>
      </vt:variant>
      <vt:variant>
        <vt:i4>23</vt:i4>
      </vt:variant>
      <vt:variant>
        <vt:i4>0</vt:i4>
      </vt:variant>
      <vt:variant>
        <vt:i4>5</vt:i4>
      </vt:variant>
      <vt:variant>
        <vt:lpwstr/>
      </vt:variant>
      <vt:variant>
        <vt:lpwstr>_Toc101532598</vt:lpwstr>
      </vt:variant>
      <vt:variant>
        <vt:i4>1638454</vt:i4>
      </vt:variant>
      <vt:variant>
        <vt:i4>17</vt:i4>
      </vt:variant>
      <vt:variant>
        <vt:i4>0</vt:i4>
      </vt:variant>
      <vt:variant>
        <vt:i4>5</vt:i4>
      </vt:variant>
      <vt:variant>
        <vt:lpwstr/>
      </vt:variant>
      <vt:variant>
        <vt:lpwstr>_Toc101532597</vt:lpwstr>
      </vt:variant>
      <vt:variant>
        <vt:i4>1638454</vt:i4>
      </vt:variant>
      <vt:variant>
        <vt:i4>11</vt:i4>
      </vt:variant>
      <vt:variant>
        <vt:i4>0</vt:i4>
      </vt:variant>
      <vt:variant>
        <vt:i4>5</vt:i4>
      </vt:variant>
      <vt:variant>
        <vt:lpwstr/>
      </vt:variant>
      <vt:variant>
        <vt:lpwstr>_Toc101532596</vt:lpwstr>
      </vt:variant>
      <vt:variant>
        <vt:i4>1638454</vt:i4>
      </vt:variant>
      <vt:variant>
        <vt:i4>5</vt:i4>
      </vt:variant>
      <vt:variant>
        <vt:i4>0</vt:i4>
      </vt:variant>
      <vt:variant>
        <vt:i4>5</vt:i4>
      </vt:variant>
      <vt:variant>
        <vt:lpwstr/>
      </vt:variant>
      <vt:variant>
        <vt:lpwstr>_Toc101532595</vt:lpwstr>
      </vt:variant>
      <vt:variant>
        <vt:i4>1310726</vt:i4>
      </vt:variant>
      <vt:variant>
        <vt:i4>0</vt:i4>
      </vt:variant>
      <vt:variant>
        <vt:i4>0</vt:i4>
      </vt:variant>
      <vt:variant>
        <vt:i4>5</vt:i4>
      </vt:variant>
      <vt:variant>
        <vt:lpwstr>http://www.teaho.govt.nz/</vt:lpwstr>
      </vt:variant>
      <vt:variant>
        <vt:lpwstr/>
      </vt:variant>
      <vt:variant>
        <vt:i4>4849705</vt:i4>
      </vt:variant>
      <vt:variant>
        <vt:i4>42</vt:i4>
      </vt:variant>
      <vt:variant>
        <vt:i4>0</vt:i4>
      </vt:variant>
      <vt:variant>
        <vt:i4>5</vt:i4>
      </vt:variant>
      <vt:variant>
        <vt:lpwstr/>
      </vt:variant>
      <vt:variant>
        <vt:lpwstr>Appendix_7_Table_7point17</vt:lpwstr>
      </vt:variant>
      <vt:variant>
        <vt:i4>4849705</vt:i4>
      </vt:variant>
      <vt:variant>
        <vt:i4>39</vt:i4>
      </vt:variant>
      <vt:variant>
        <vt:i4>0</vt:i4>
      </vt:variant>
      <vt:variant>
        <vt:i4>5</vt:i4>
      </vt:variant>
      <vt:variant>
        <vt:lpwstr/>
      </vt:variant>
      <vt:variant>
        <vt:lpwstr>Appendix_7_Table_7point15</vt:lpwstr>
      </vt:variant>
      <vt:variant>
        <vt:i4>4849705</vt:i4>
      </vt:variant>
      <vt:variant>
        <vt:i4>36</vt:i4>
      </vt:variant>
      <vt:variant>
        <vt:i4>0</vt:i4>
      </vt:variant>
      <vt:variant>
        <vt:i4>5</vt:i4>
      </vt:variant>
      <vt:variant>
        <vt:lpwstr/>
      </vt:variant>
      <vt:variant>
        <vt:lpwstr>Appendix_7_Table_7point14</vt:lpwstr>
      </vt:variant>
      <vt:variant>
        <vt:i4>4325417</vt:i4>
      </vt:variant>
      <vt:variant>
        <vt:i4>33</vt:i4>
      </vt:variant>
      <vt:variant>
        <vt:i4>0</vt:i4>
      </vt:variant>
      <vt:variant>
        <vt:i4>5</vt:i4>
      </vt:variant>
      <vt:variant>
        <vt:lpwstr/>
      </vt:variant>
      <vt:variant>
        <vt:lpwstr>Appendix_7_Table_7point9</vt:lpwstr>
      </vt:variant>
      <vt:variant>
        <vt:i4>4390953</vt:i4>
      </vt:variant>
      <vt:variant>
        <vt:i4>30</vt:i4>
      </vt:variant>
      <vt:variant>
        <vt:i4>0</vt:i4>
      </vt:variant>
      <vt:variant>
        <vt:i4>5</vt:i4>
      </vt:variant>
      <vt:variant>
        <vt:lpwstr/>
      </vt:variant>
      <vt:variant>
        <vt:lpwstr>Appendix_7_Table_7point8</vt:lpwstr>
      </vt:variant>
      <vt:variant>
        <vt:i4>4980777</vt:i4>
      </vt:variant>
      <vt:variant>
        <vt:i4>27</vt:i4>
      </vt:variant>
      <vt:variant>
        <vt:i4>0</vt:i4>
      </vt:variant>
      <vt:variant>
        <vt:i4>5</vt:i4>
      </vt:variant>
      <vt:variant>
        <vt:lpwstr/>
      </vt:variant>
      <vt:variant>
        <vt:lpwstr>Appendix_7_Table_7point7</vt:lpwstr>
      </vt:variant>
      <vt:variant>
        <vt:i4>4718633</vt:i4>
      </vt:variant>
      <vt:variant>
        <vt:i4>24</vt:i4>
      </vt:variant>
      <vt:variant>
        <vt:i4>0</vt:i4>
      </vt:variant>
      <vt:variant>
        <vt:i4>5</vt:i4>
      </vt:variant>
      <vt:variant>
        <vt:lpwstr/>
      </vt:variant>
      <vt:variant>
        <vt:lpwstr>Appendix_7_Table_7point3</vt:lpwstr>
      </vt:variant>
      <vt:variant>
        <vt:i4>4784169</vt:i4>
      </vt:variant>
      <vt:variant>
        <vt:i4>21</vt:i4>
      </vt:variant>
      <vt:variant>
        <vt:i4>0</vt:i4>
      </vt:variant>
      <vt:variant>
        <vt:i4>5</vt:i4>
      </vt:variant>
      <vt:variant>
        <vt:lpwstr/>
      </vt:variant>
      <vt:variant>
        <vt:lpwstr>Appendix_7_Table_7point2</vt:lpwstr>
      </vt:variant>
      <vt:variant>
        <vt:i4>4784169</vt:i4>
      </vt:variant>
      <vt:variant>
        <vt:i4>18</vt:i4>
      </vt:variant>
      <vt:variant>
        <vt:i4>0</vt:i4>
      </vt:variant>
      <vt:variant>
        <vt:i4>5</vt:i4>
      </vt:variant>
      <vt:variant>
        <vt:lpwstr/>
      </vt:variant>
      <vt:variant>
        <vt:lpwstr>Appendix_7_Table_7point2</vt:lpwstr>
      </vt:variant>
      <vt:variant>
        <vt:i4>4849705</vt:i4>
      </vt:variant>
      <vt:variant>
        <vt:i4>15</vt:i4>
      </vt:variant>
      <vt:variant>
        <vt:i4>0</vt:i4>
      </vt:variant>
      <vt:variant>
        <vt:i4>5</vt:i4>
      </vt:variant>
      <vt:variant>
        <vt:lpwstr/>
      </vt:variant>
      <vt:variant>
        <vt:lpwstr>Appendix_7_Table_7point1</vt:lpwstr>
      </vt:variant>
      <vt:variant>
        <vt:i4>4849705</vt:i4>
      </vt:variant>
      <vt:variant>
        <vt:i4>12</vt:i4>
      </vt:variant>
      <vt:variant>
        <vt:i4>0</vt:i4>
      </vt:variant>
      <vt:variant>
        <vt:i4>5</vt:i4>
      </vt:variant>
      <vt:variant>
        <vt:lpwstr/>
      </vt:variant>
      <vt:variant>
        <vt:lpwstr>Appendix_7_Table_7point1</vt:lpwstr>
      </vt:variant>
      <vt:variant>
        <vt:i4>4849705</vt:i4>
      </vt:variant>
      <vt:variant>
        <vt:i4>9</vt:i4>
      </vt:variant>
      <vt:variant>
        <vt:i4>0</vt:i4>
      </vt:variant>
      <vt:variant>
        <vt:i4>5</vt:i4>
      </vt:variant>
      <vt:variant>
        <vt:lpwstr/>
      </vt:variant>
      <vt:variant>
        <vt:lpwstr>Appendix_7_Table_7point1</vt:lpwstr>
      </vt:variant>
      <vt:variant>
        <vt:i4>4849705</vt:i4>
      </vt:variant>
      <vt:variant>
        <vt:i4>6</vt:i4>
      </vt:variant>
      <vt:variant>
        <vt:i4>0</vt:i4>
      </vt:variant>
      <vt:variant>
        <vt:i4>5</vt:i4>
      </vt:variant>
      <vt:variant>
        <vt:lpwstr/>
      </vt:variant>
      <vt:variant>
        <vt:lpwstr>Appendix_7_Table_7point1</vt:lpwstr>
      </vt:variant>
      <vt:variant>
        <vt:i4>458816</vt:i4>
      </vt:variant>
      <vt:variant>
        <vt:i4>3</vt:i4>
      </vt:variant>
      <vt:variant>
        <vt:i4>0</vt:i4>
      </vt:variant>
      <vt:variant>
        <vt:i4>5</vt:i4>
      </vt:variant>
      <vt:variant>
        <vt:lpwstr>https://pharmac.govt.nz/medicine-funding-and-supply/the-funding-process/</vt:lpwstr>
      </vt:variant>
      <vt:variant>
        <vt:lpwstr/>
      </vt:variant>
      <vt:variant>
        <vt:i4>327690</vt:i4>
      </vt:variant>
      <vt:variant>
        <vt:i4>0</vt:i4>
      </vt:variant>
      <vt:variant>
        <vt:i4>0</vt:i4>
      </vt:variant>
      <vt:variant>
        <vt:i4>5</vt:i4>
      </vt:variant>
      <vt:variant>
        <vt:lpwstr>http://www.who.int/groups/expert-committee-on-selection-and-use-of-essential-medicines/essential-medicines-lists</vt:lpwstr>
      </vt:variant>
      <vt:variant>
        <vt:lpwstr/>
      </vt:variant>
      <vt:variant>
        <vt:i4>983091</vt:i4>
      </vt:variant>
      <vt:variant>
        <vt:i4>3</vt:i4>
      </vt:variant>
      <vt:variant>
        <vt:i4>0</vt:i4>
      </vt:variant>
      <vt:variant>
        <vt:i4>5</vt:i4>
      </vt:variant>
      <vt:variant>
        <vt:lpwstr>mailto:Nisha.Nair@teaho.govt.nz</vt:lpwstr>
      </vt:variant>
      <vt:variant>
        <vt:lpwstr/>
      </vt:variant>
      <vt:variant>
        <vt:i4>983091</vt:i4>
      </vt:variant>
      <vt:variant>
        <vt:i4>0</vt:i4>
      </vt:variant>
      <vt:variant>
        <vt:i4>0</vt:i4>
      </vt:variant>
      <vt:variant>
        <vt:i4>5</vt:i4>
      </vt:variant>
      <vt:variant>
        <vt:lpwstr>mailto:Nisha.Nair@teaho.govt.nz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the Gap: an analysis of the availability of cancer medicines in Aotearoa</dc:title>
  <dc:subject/>
  <dc:creator>taotk@teaho.govt.nz</dc:creator>
  <cp:keywords/>
  <cp:lastModifiedBy>Nisha Nair</cp:lastModifiedBy>
  <cp:revision>430</cp:revision>
  <cp:lastPrinted>2022-04-21T02:22:00Z</cp:lastPrinted>
  <dcterms:created xsi:type="dcterms:W3CDTF">2022-04-21T22:35:00Z</dcterms:created>
  <dcterms:modified xsi:type="dcterms:W3CDTF">2022-04-26T22:11:00Z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0x0101001666BBFF82759F488643FBA3C49367F4</vt:lpwstr>
  </property>
</Properties>
</file>