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B3B35" w14:textId="1C70A053" w:rsidR="00C86248" w:rsidRPr="00C45E6C" w:rsidRDefault="009C114A" w:rsidP="007979D9">
      <w:pPr>
        <w:pStyle w:val="Title"/>
        <w:spacing w:line="240" w:lineRule="auto"/>
        <w:ind w:right="2835"/>
      </w:pPr>
      <w:r>
        <w:rPr>
          <w:noProof/>
        </w:rPr>
        <w:drawing>
          <wp:anchor distT="0" distB="0" distL="114300" distR="114300" simplePos="0" relativeHeight="251658240" behindDoc="0" locked="0" layoutInCell="1" allowOverlap="1" wp14:anchorId="6C2C5A02" wp14:editId="141D6408">
            <wp:simplePos x="0" y="0"/>
            <wp:positionH relativeFrom="page">
              <wp:align>left</wp:align>
            </wp:positionH>
            <wp:positionV relativeFrom="page">
              <wp:align>top</wp:align>
            </wp:positionV>
            <wp:extent cx="7556400" cy="10687977"/>
            <wp:effectExtent l="0" t="0" r="6985" b="0"/>
            <wp:wrapNone/>
            <wp:docPr id="1132736141" name="Picture 1132736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36141" name="Picture 1132736141"/>
                    <pic:cNvPicPr/>
                  </pic:nvPicPr>
                  <pic:blipFill>
                    <a:blip r:embed="rId11">
                      <a:extLst>
                        <a:ext uri="{28A0092B-C50C-407E-A947-70E740481C1C}">
                          <a14:useLocalDpi xmlns:a14="http://schemas.microsoft.com/office/drawing/2010/main" val="0"/>
                        </a:ext>
                      </a:extLst>
                    </a:blip>
                    <a:stretch>
                      <a:fillRect/>
                    </a:stretch>
                  </pic:blipFill>
                  <pic:spPr>
                    <a:xfrm>
                      <a:off x="0" y="0"/>
                      <a:ext cx="7556400" cy="10687977"/>
                    </a:xfrm>
                    <a:prstGeom prst="rect">
                      <a:avLst/>
                    </a:prstGeom>
                  </pic:spPr>
                </pic:pic>
              </a:graphicData>
            </a:graphic>
            <wp14:sizeRelH relativeFrom="margin">
              <wp14:pctWidth>0</wp14:pctWidth>
            </wp14:sizeRelH>
            <wp14:sizeRelV relativeFrom="margin">
              <wp14:pctHeight>0</wp14:pctHeight>
            </wp14:sizeRelV>
          </wp:anchor>
        </w:drawing>
      </w:r>
      <w:r w:rsidR="00EB32A1">
        <w:t>z</w:t>
      </w:r>
      <w:r w:rsidR="004976D3" w:rsidRPr="00C45E6C">
        <w:t xml:space="preserve"> </w:t>
      </w:r>
      <w:r w:rsidR="00D27922" w:rsidRPr="00C45E6C">
        <w:t>[Title]</w:t>
      </w:r>
    </w:p>
    <w:p w14:paraId="38BB0F9C" w14:textId="77777777" w:rsidR="00D27922" w:rsidRPr="00C45E6C" w:rsidRDefault="00D27922" w:rsidP="00D27922">
      <w:pPr>
        <w:pStyle w:val="Subhead"/>
      </w:pPr>
      <w:r w:rsidRPr="00C45E6C">
        <w:t>[Subhead]</w:t>
      </w:r>
    </w:p>
    <w:p w14:paraId="7B52A5B7" w14:textId="77777777" w:rsidR="00D27922" w:rsidRPr="00C45E6C" w:rsidRDefault="00FD4789" w:rsidP="005718A6">
      <w:pPr>
        <w:pStyle w:val="Year"/>
      </w:pPr>
      <w:r w:rsidRPr="00C45E6C">
        <w:t>[Year]</w:t>
      </w:r>
    </w:p>
    <w:p w14:paraId="2CAC59B7" w14:textId="77777777" w:rsidR="00C05132" w:rsidRPr="00C45E6C" w:rsidRDefault="00C05132" w:rsidP="00A06BE4"/>
    <w:p w14:paraId="6AFA7B3F" w14:textId="77777777" w:rsidR="00142954" w:rsidRPr="00C45E6C" w:rsidRDefault="00142954" w:rsidP="00142954">
      <w:pPr>
        <w:sectPr w:rsidR="00142954" w:rsidRPr="00C45E6C" w:rsidSect="00925892">
          <w:headerReference w:type="even" r:id="rId12"/>
          <w:headerReference w:type="default" r:id="rId13"/>
          <w:footerReference w:type="default" r:id="rId14"/>
          <w:headerReference w:type="first" r:id="rId15"/>
          <w:pgSz w:w="11907" w:h="16834" w:code="9"/>
          <w:pgMar w:top="5670" w:right="1134" w:bottom="1134" w:left="1134" w:header="567" w:footer="851" w:gutter="0"/>
          <w:pgNumType w:start="1"/>
          <w:cols w:space="720"/>
        </w:sectPr>
      </w:pPr>
    </w:p>
    <w:p w14:paraId="459045D2" w14:textId="36684506" w:rsidR="004A766C" w:rsidRPr="00C45E6C" w:rsidRDefault="004A766C" w:rsidP="004A766C">
      <w:pPr>
        <w:rPr>
          <w:lang w:eastAsia="en-NZ"/>
        </w:rPr>
      </w:pPr>
    </w:p>
    <w:p w14:paraId="0F6FFD2A" w14:textId="0EAD1A17" w:rsidR="00A80363" w:rsidRPr="00C45E6C" w:rsidRDefault="00A80363" w:rsidP="00A63DFF">
      <w:pPr>
        <w:pStyle w:val="Imprint"/>
        <w:spacing w:before="1200"/>
        <w:rPr>
          <w:rFonts w:cs="Segoe UI"/>
        </w:rPr>
      </w:pPr>
      <w:r w:rsidRPr="56C19864">
        <w:rPr>
          <w:rFonts w:cs="Segoe UI"/>
        </w:rPr>
        <w:t xml:space="preserve">Citation: </w:t>
      </w:r>
      <w:r w:rsidR="000E6010" w:rsidRPr="56C19864">
        <w:rPr>
          <w:rFonts w:cs="Segoe UI"/>
        </w:rPr>
        <w:t xml:space="preserve">Te Aho o Te Kahu. 2024. </w:t>
      </w:r>
      <w:r w:rsidR="000E6010" w:rsidRPr="56C19864">
        <w:rPr>
          <w:rFonts w:cs="Segoe UI"/>
          <w:i/>
          <w:iCs/>
        </w:rPr>
        <w:t xml:space="preserve">Te </w:t>
      </w:r>
      <w:proofErr w:type="spellStart"/>
      <w:r w:rsidR="000E6010" w:rsidRPr="56C19864">
        <w:rPr>
          <w:rFonts w:cs="Segoe UI"/>
          <w:i/>
          <w:iCs/>
        </w:rPr>
        <w:t>rere</w:t>
      </w:r>
      <w:proofErr w:type="spellEnd"/>
      <w:r w:rsidR="000E6010" w:rsidRPr="56C19864">
        <w:rPr>
          <w:rFonts w:cs="Segoe UI"/>
          <w:i/>
          <w:iCs/>
        </w:rPr>
        <w:t xml:space="preserve"> o </w:t>
      </w:r>
      <w:proofErr w:type="spellStart"/>
      <w:r w:rsidR="000E6010" w:rsidRPr="56C19864">
        <w:rPr>
          <w:rFonts w:cs="Segoe UI"/>
          <w:i/>
          <w:iCs/>
        </w:rPr>
        <w:t>te</w:t>
      </w:r>
      <w:proofErr w:type="spellEnd"/>
      <w:r w:rsidR="000E6010" w:rsidRPr="56C19864">
        <w:rPr>
          <w:rFonts w:cs="Segoe UI"/>
          <w:i/>
          <w:iCs/>
        </w:rPr>
        <w:t xml:space="preserve"> toto</w:t>
      </w:r>
      <w:r w:rsidR="00253C40" w:rsidRPr="56C19864">
        <w:rPr>
          <w:rFonts w:cs="Segoe UI"/>
          <w:i/>
          <w:iCs/>
        </w:rPr>
        <w:t xml:space="preserve"> </w:t>
      </w:r>
      <w:r w:rsidR="000054B4" w:rsidRPr="56C19864">
        <w:rPr>
          <w:rFonts w:cs="Segoe UI"/>
          <w:i/>
          <w:iCs/>
        </w:rPr>
        <w:t>–</w:t>
      </w:r>
      <w:r w:rsidR="00253C40" w:rsidRPr="56C19864">
        <w:rPr>
          <w:rFonts w:cs="Segoe UI"/>
          <w:i/>
          <w:iCs/>
        </w:rPr>
        <w:t xml:space="preserve"> </w:t>
      </w:r>
      <w:r w:rsidR="000E6010" w:rsidRPr="56C19864">
        <w:rPr>
          <w:rFonts w:cs="Segoe UI"/>
          <w:i/>
          <w:iCs/>
        </w:rPr>
        <w:t xml:space="preserve">Understanding blood cancer medicine availability in </w:t>
      </w:r>
      <w:r w:rsidR="00B02B56" w:rsidRPr="56C19864">
        <w:rPr>
          <w:rFonts w:cs="Segoe UI"/>
          <w:i/>
          <w:iCs/>
        </w:rPr>
        <w:t>Aotearoa New Zealand</w:t>
      </w:r>
      <w:r w:rsidR="000054B4" w:rsidRPr="56C19864">
        <w:rPr>
          <w:rFonts w:cs="Segoe UI"/>
          <w:i/>
          <w:iCs/>
        </w:rPr>
        <w:t>:</w:t>
      </w:r>
      <w:r w:rsidR="00081D91" w:rsidRPr="56C19864">
        <w:rPr>
          <w:rFonts w:cs="Segoe UI"/>
          <w:i/>
          <w:iCs/>
        </w:rPr>
        <w:t xml:space="preserve"> </w:t>
      </w:r>
      <w:r w:rsidR="009C114A" w:rsidRPr="56C19864">
        <w:rPr>
          <w:rFonts w:cs="Segoe UI"/>
          <w:i/>
          <w:iCs/>
        </w:rPr>
        <w:t>Summary</w:t>
      </w:r>
      <w:r w:rsidR="000E6010" w:rsidRPr="56C19864">
        <w:rPr>
          <w:rFonts w:cs="Segoe UI"/>
          <w:i/>
          <w:iCs/>
        </w:rPr>
        <w:t xml:space="preserve"> </w:t>
      </w:r>
      <w:r w:rsidR="00C574A0" w:rsidRPr="56C19864">
        <w:rPr>
          <w:rFonts w:cs="Segoe UI"/>
          <w:i/>
          <w:iCs/>
        </w:rPr>
        <w:t>r</w:t>
      </w:r>
      <w:r w:rsidR="000E6010" w:rsidRPr="56C19864">
        <w:rPr>
          <w:rFonts w:cs="Segoe UI"/>
          <w:i/>
          <w:iCs/>
        </w:rPr>
        <w:t>eport</w:t>
      </w:r>
      <w:r w:rsidR="000E6010" w:rsidRPr="56C19864">
        <w:rPr>
          <w:rFonts w:cs="Segoe UI"/>
        </w:rPr>
        <w:t>. Wellington: Te Aho o Te Kahu</w:t>
      </w:r>
      <w:r w:rsidR="00442C1C" w:rsidRPr="56C19864">
        <w:rPr>
          <w:rFonts w:cs="Segoe UI"/>
        </w:rPr>
        <w:t>.</w:t>
      </w:r>
    </w:p>
    <w:p w14:paraId="76E264C5" w14:textId="72D3A507" w:rsidR="004A766C" w:rsidRPr="00C45E6C" w:rsidRDefault="004A766C" w:rsidP="004A766C">
      <w:pPr>
        <w:pStyle w:val="Imprint"/>
      </w:pPr>
      <w:r>
        <w:t xml:space="preserve">Published in </w:t>
      </w:r>
      <w:r w:rsidR="383AA525">
        <w:t>October</w:t>
      </w:r>
      <w:r>
        <w:t xml:space="preserve"> 2024 by Te</w:t>
      </w:r>
      <w:r w:rsidR="00602693">
        <w:t xml:space="preserve"> </w:t>
      </w:r>
      <w:r>
        <w:t>Aho o Te</w:t>
      </w:r>
      <w:r w:rsidR="00602693">
        <w:t xml:space="preserve"> </w:t>
      </w:r>
      <w:r>
        <w:t xml:space="preserve">Kahu </w:t>
      </w:r>
      <w:r w:rsidR="000054B4">
        <w:t>–</w:t>
      </w:r>
      <w:r w:rsidR="007D0032">
        <w:t xml:space="preserve"> </w:t>
      </w:r>
      <w:r>
        <w:t>Cancer Control Agency</w:t>
      </w:r>
      <w:r>
        <w:br/>
        <w:t>PO Box 5013, Wellington 6140, New</w:t>
      </w:r>
      <w:r w:rsidR="00602693">
        <w:t xml:space="preserve"> </w:t>
      </w:r>
      <w:r>
        <w:t>Zealand</w:t>
      </w:r>
    </w:p>
    <w:p w14:paraId="0C14A11D" w14:textId="77777777" w:rsidR="00081D91" w:rsidRDefault="00081D91" w:rsidP="00081D91">
      <w:pPr>
        <w:rPr>
          <w:rFonts w:eastAsia="Fira Sans" w:cs="Fira Sans"/>
          <w:color w:val="000000"/>
        </w:rPr>
      </w:pPr>
      <w:r w:rsidRPr="3095720A">
        <w:rPr>
          <w:rFonts w:eastAsia="Fira Sans" w:cs="Fira Sans"/>
          <w:color w:val="000000"/>
        </w:rPr>
        <w:t>ISBN 978-1-</w:t>
      </w:r>
      <w:r w:rsidRPr="3095720A">
        <w:rPr>
          <w:rFonts w:eastAsia="Fira Sans" w:cs="Fira Sans"/>
          <w:color w:val="000000"/>
          <w:lang w:val="en-US"/>
        </w:rPr>
        <w:t>7385872</w:t>
      </w:r>
      <w:r w:rsidRPr="3095720A">
        <w:rPr>
          <w:rFonts w:eastAsia="Fira Sans" w:cs="Fira Sans"/>
          <w:color w:val="000000"/>
        </w:rPr>
        <w:t>-1-6 (online)</w:t>
      </w:r>
      <w:r>
        <w:br/>
      </w:r>
      <w:r w:rsidRPr="3095720A">
        <w:rPr>
          <w:rFonts w:eastAsia="Fira Sans" w:cs="Fira Sans"/>
          <w:color w:val="000000"/>
        </w:rPr>
        <w:t>TP0015</w:t>
      </w:r>
    </w:p>
    <w:p w14:paraId="693613AA" w14:textId="77777777" w:rsidR="005718A6" w:rsidRPr="00C45E6C" w:rsidRDefault="005718A6" w:rsidP="00D27922">
      <w:pPr>
        <w:spacing w:before="360"/>
      </w:pPr>
      <w:r w:rsidRPr="00C45E6C">
        <w:rPr>
          <w:noProof/>
          <w:lang w:eastAsia="en-NZ"/>
        </w:rPr>
        <w:drawing>
          <wp:inline distT="0" distB="0" distL="0" distR="0" wp14:anchorId="4FBBAB14" wp14:editId="6D9F0C55">
            <wp:extent cx="1396538" cy="65061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6"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5A9D4443" w14:textId="7C97B190" w:rsidR="00A63DFF" w:rsidRPr="00C45E6C" w:rsidRDefault="00A63DFF" w:rsidP="00A63DFF">
      <w:pPr>
        <w:pStyle w:val="Imprint"/>
        <w:spacing w:before="240" w:after="480"/>
      </w:pPr>
      <w:r w:rsidRPr="00C45E6C">
        <w:t xml:space="preserve">This document is available </w:t>
      </w:r>
      <w:r w:rsidR="004A766C" w:rsidRPr="00C45E6C">
        <w:t xml:space="preserve">at </w:t>
      </w:r>
      <w:hyperlink r:id="rId17" w:history="1">
        <w:r w:rsidR="004A766C" w:rsidRPr="00C45E6C">
          <w:rPr>
            <w:rStyle w:val="Hyperlink"/>
          </w:rPr>
          <w:t>teaho.govt.nz</w:t>
        </w:r>
      </w:hyperlink>
    </w:p>
    <w:tbl>
      <w:tblPr>
        <w:tblW w:w="0" w:type="auto"/>
        <w:tblLayout w:type="fixed"/>
        <w:tblLook w:val="04A0" w:firstRow="1" w:lastRow="0" w:firstColumn="1" w:lastColumn="0" w:noHBand="0" w:noVBand="1"/>
      </w:tblPr>
      <w:tblGrid>
        <w:gridCol w:w="1526"/>
        <w:gridCol w:w="6061"/>
      </w:tblGrid>
      <w:tr w:rsidR="00A63DFF" w:rsidRPr="00C45E6C" w14:paraId="129652C0" w14:textId="77777777" w:rsidTr="00A63DFF">
        <w:trPr>
          <w:cantSplit/>
        </w:trPr>
        <w:tc>
          <w:tcPr>
            <w:tcW w:w="1526" w:type="dxa"/>
          </w:tcPr>
          <w:p w14:paraId="5E50A092" w14:textId="77777777" w:rsidR="00A63DFF" w:rsidRPr="00C45E6C" w:rsidRDefault="00A63DFF" w:rsidP="00F103BE">
            <w:pPr>
              <w:spacing w:before="240"/>
              <w:rPr>
                <w:rFonts w:cs="Segoe UI"/>
                <w:sz w:val="15"/>
                <w:szCs w:val="15"/>
              </w:rPr>
            </w:pPr>
            <w:r w:rsidRPr="00C45E6C">
              <w:rPr>
                <w:rFonts w:cs="Segoe UI"/>
                <w:b/>
                <w:noProof/>
                <w:sz w:val="15"/>
                <w:szCs w:val="15"/>
                <w:lang w:eastAsia="en-NZ"/>
              </w:rPr>
              <w:drawing>
                <wp:inline distT="0" distB="0" distL="0" distR="0" wp14:anchorId="09A91291" wp14:editId="3639F78E">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562CDFE6" w14:textId="77777777" w:rsidR="00A63DFF" w:rsidRPr="00C45E6C" w:rsidRDefault="00A63DFF" w:rsidP="00A63DFF">
            <w:pPr>
              <w:rPr>
                <w:rFonts w:cs="Segoe UI"/>
                <w:sz w:val="15"/>
                <w:szCs w:val="15"/>
              </w:rPr>
            </w:pPr>
            <w:r w:rsidRPr="00C45E6C">
              <w:rPr>
                <w:rFonts w:cs="Segoe UI"/>
                <w:sz w:val="15"/>
                <w:szCs w:val="15"/>
              </w:rPr>
              <w:t xml:space="preserve">This work is licensed under the Creative Commons Attribution 4.0 International licence. In essence, </w:t>
            </w:r>
            <w:r w:rsidRPr="00C45E6C">
              <w:rPr>
                <w:rFonts w:cs="Segoe UI"/>
                <w:bCs/>
                <w:sz w:val="15"/>
                <w:szCs w:val="15"/>
              </w:rPr>
              <w:t xml:space="preserve">you are free to: </w:t>
            </w:r>
            <w:r w:rsidRPr="00C45E6C">
              <w:rPr>
                <w:rFonts w:cs="Segoe UI"/>
                <w:sz w:val="15"/>
                <w:szCs w:val="15"/>
              </w:rPr>
              <w:t xml:space="preserve">share </w:t>
            </w:r>
            <w:proofErr w:type="spellStart"/>
            <w:r w:rsidRPr="00C45E6C">
              <w:rPr>
                <w:rFonts w:cs="Segoe UI"/>
                <w:sz w:val="15"/>
                <w:szCs w:val="15"/>
              </w:rPr>
              <w:t>ie</w:t>
            </w:r>
            <w:proofErr w:type="spellEnd"/>
            <w:r w:rsidRPr="00C45E6C">
              <w:rPr>
                <w:rFonts w:cs="Segoe UI"/>
                <w:sz w:val="15"/>
                <w:szCs w:val="15"/>
              </w:rPr>
              <w:t xml:space="preserve">, copy and redistribute the material in any medium or format; adapt </w:t>
            </w:r>
            <w:proofErr w:type="spellStart"/>
            <w:r w:rsidRPr="00C45E6C">
              <w:rPr>
                <w:rFonts w:cs="Segoe UI"/>
                <w:sz w:val="15"/>
                <w:szCs w:val="15"/>
              </w:rPr>
              <w:t>ie</w:t>
            </w:r>
            <w:proofErr w:type="spellEnd"/>
            <w:r w:rsidRPr="00C45E6C">
              <w:rPr>
                <w:rFonts w:cs="Segoe UI"/>
                <w:sz w:val="15"/>
                <w:szCs w:val="15"/>
              </w:rPr>
              <w:t xml:space="preserve">, remix, transform and build upon the material. </w:t>
            </w:r>
            <w:r w:rsidRPr="00C45E6C">
              <w:rPr>
                <w:rFonts w:cs="Segoe UI"/>
                <w:bCs/>
                <w:sz w:val="15"/>
                <w:szCs w:val="15"/>
              </w:rPr>
              <w:t xml:space="preserve">You must give appropriate credit, provide a link to the </w:t>
            </w:r>
            <w:proofErr w:type="gramStart"/>
            <w:r w:rsidRPr="00C45E6C">
              <w:rPr>
                <w:rFonts w:cs="Segoe UI"/>
                <w:bCs/>
                <w:sz w:val="15"/>
                <w:szCs w:val="15"/>
              </w:rPr>
              <w:t>licence</w:t>
            </w:r>
            <w:proofErr w:type="gramEnd"/>
            <w:r w:rsidRPr="00C45E6C">
              <w:rPr>
                <w:rFonts w:cs="Segoe UI"/>
                <w:bCs/>
                <w:sz w:val="15"/>
                <w:szCs w:val="15"/>
              </w:rPr>
              <w:t xml:space="preserve"> and indicate if changes were made.</w:t>
            </w:r>
          </w:p>
        </w:tc>
      </w:tr>
    </w:tbl>
    <w:p w14:paraId="2BF13B36" w14:textId="77777777" w:rsidR="007E74F1" w:rsidRPr="00C45E6C" w:rsidRDefault="007E74F1" w:rsidP="006E2886">
      <w:pPr>
        <w:pStyle w:val="Imprint"/>
      </w:pPr>
    </w:p>
    <w:p w14:paraId="60794794" w14:textId="77777777" w:rsidR="00C86248" w:rsidRPr="00C45E6C" w:rsidRDefault="00C86248">
      <w:pPr>
        <w:jc w:val="center"/>
        <w:sectPr w:rsidR="00C86248" w:rsidRPr="00C45E6C" w:rsidSect="002950CD">
          <w:headerReference w:type="even" r:id="rId19"/>
          <w:headerReference w:type="default" r:id="rId20"/>
          <w:footerReference w:type="even" r:id="rId21"/>
          <w:footerReference w:type="default" r:id="rId22"/>
          <w:headerReference w:type="first" r:id="rId23"/>
          <w:pgSz w:w="11907" w:h="16834" w:code="9"/>
          <w:pgMar w:top="1701" w:right="2268" w:bottom="1418" w:left="2268" w:header="425" w:footer="284" w:gutter="0"/>
          <w:cols w:space="720"/>
          <w:vAlign w:val="bottom"/>
        </w:sectPr>
      </w:pPr>
    </w:p>
    <w:p w14:paraId="27BBE51D" w14:textId="5511B81E" w:rsidR="00414C35" w:rsidRPr="00C45E6C" w:rsidRDefault="00EF53E9" w:rsidP="00B74EE0">
      <w:pPr>
        <w:pStyle w:val="Heading1"/>
        <w:rPr>
          <w:color w:val="0AB58F"/>
        </w:rPr>
      </w:pPr>
      <w:bookmarkStart w:id="0" w:name="_Toc180138585"/>
      <w:bookmarkStart w:id="1" w:name="_Toc405792991"/>
      <w:bookmarkStart w:id="2" w:name="_Toc405793224"/>
      <w:r w:rsidRPr="00C45E6C">
        <w:lastRenderedPageBreak/>
        <w:t xml:space="preserve">HE KUPU TAKAMUA </w:t>
      </w:r>
      <w:r w:rsidRPr="00C45E6C">
        <w:rPr>
          <w:color w:val="FFFFFF" w:themeColor="background1"/>
        </w:rPr>
        <w:t>|</w:t>
      </w:r>
      <w:r w:rsidRPr="00C45E6C">
        <w:br/>
      </w:r>
      <w:r w:rsidR="00B74EE0" w:rsidRPr="00C45E6C">
        <w:rPr>
          <w:color w:val="0AB58F"/>
        </w:rPr>
        <w:t>FOREWORD</w:t>
      </w:r>
      <w:bookmarkEnd w:id="0"/>
    </w:p>
    <w:p w14:paraId="5789B0EC" w14:textId="5CEBA881" w:rsidR="004C6642" w:rsidRPr="00E44F3E" w:rsidRDefault="004C6642" w:rsidP="004C6642">
      <w:pPr>
        <w:rPr>
          <w:rFonts w:cs="Calibri"/>
        </w:rPr>
      </w:pPr>
      <w:r w:rsidRPr="00E44F3E">
        <w:rPr>
          <w:noProof/>
        </w:rPr>
        <w:drawing>
          <wp:anchor distT="180340" distB="180340" distL="180340" distR="180340" simplePos="0" relativeHeight="251658241" behindDoc="1" locked="0" layoutInCell="1" allowOverlap="1" wp14:anchorId="05EEFE2C" wp14:editId="3C998612">
            <wp:simplePos x="0" y="0"/>
            <wp:positionH relativeFrom="column">
              <wp:posOffset>0</wp:posOffset>
            </wp:positionH>
            <wp:positionV relativeFrom="paragraph">
              <wp:posOffset>22225</wp:posOffset>
            </wp:positionV>
            <wp:extent cx="1789200" cy="1789200"/>
            <wp:effectExtent l="0" t="0" r="1905" b="1905"/>
            <wp:wrapTight wrapText="bothSides">
              <wp:wrapPolygon edited="0">
                <wp:start x="0" y="0"/>
                <wp:lineTo x="0" y="21393"/>
                <wp:lineTo x="21393" y="21393"/>
                <wp:lineTo x="21393" y="0"/>
                <wp:lineTo x="0" y="0"/>
              </wp:wrapPolygon>
            </wp:wrapTight>
            <wp:docPr id="8" name="Picture 8" descr="A photo of Te Aho o Te Kahu's Tumuaki or Chief Executive, Rami Rahal, wearing a grey suit, blue check shirt and red and blue striped tie.  He is standing outside with blurred background of native bush. The photo is from his chest upw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hoto of Te Aho o Te Kahu's Tumuaki or Chief Executive, Rami Rahal, wearing a grey suit, blue check shirt and red and blue striped tie.  He is standing outside with blurred background of native bush. The photo is from his chest upwards. "/>
                    <pic:cNvPicPr/>
                  </pic:nvPicPr>
                  <pic:blipFill>
                    <a:blip r:embed="rId24">
                      <a:extLst>
                        <a:ext uri="{28A0092B-C50C-407E-A947-70E740481C1C}">
                          <a14:useLocalDpi xmlns:a14="http://schemas.microsoft.com/office/drawing/2010/main" val="0"/>
                        </a:ext>
                      </a:extLst>
                    </a:blip>
                    <a:stretch>
                      <a:fillRect/>
                    </a:stretch>
                  </pic:blipFill>
                  <pic:spPr>
                    <a:xfrm>
                      <a:off x="0" y="0"/>
                      <a:ext cx="1789200" cy="17892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E44F3E">
        <w:rPr>
          <w:rFonts w:cs="Calibri"/>
        </w:rPr>
        <w:t>Tēnā</w:t>
      </w:r>
      <w:proofErr w:type="spellEnd"/>
      <w:r w:rsidRPr="00E44F3E">
        <w:rPr>
          <w:rFonts w:cs="Calibri"/>
        </w:rPr>
        <w:t xml:space="preserve"> koutou, </w:t>
      </w:r>
    </w:p>
    <w:p w14:paraId="58553C2D" w14:textId="77777777" w:rsidR="004C6642" w:rsidRPr="00E44F3E" w:rsidRDefault="004C6642" w:rsidP="004C6642"/>
    <w:p w14:paraId="58F28082" w14:textId="2FEC7CFD" w:rsidR="004C6642" w:rsidRPr="00E44F3E" w:rsidRDefault="004C6642" w:rsidP="004C6642">
      <w:r w:rsidRPr="00E44F3E">
        <w:t>Every year in Aotearoa New Zealand, around 2,800 people are diagnosed with a blood cancer. There are no known prevention or screening interventions for blood cancers. For the people diagnosed, cancer medicines are often the principal treatment option. It is incredibly important to all people with cancer, their whānau, and their cancer treatment teams that the most appropriate treatment is available to them</w:t>
      </w:r>
      <w:r>
        <w:t>,</w:t>
      </w:r>
      <w:r w:rsidRPr="00E44F3E">
        <w:t xml:space="preserve"> when and where they need it. </w:t>
      </w:r>
    </w:p>
    <w:p w14:paraId="6A38E639" w14:textId="77777777" w:rsidR="004C6642" w:rsidRPr="00E44F3E" w:rsidRDefault="004C6642" w:rsidP="004C6642"/>
    <w:p w14:paraId="23E5013C" w14:textId="12293BEA" w:rsidR="004C6642" w:rsidRPr="00E44F3E" w:rsidRDefault="004C6642" w:rsidP="004C6642">
      <w:pPr>
        <w:rPr>
          <w:rFonts w:ascii="Segoe UI" w:hAnsi="Segoe UI"/>
        </w:rPr>
      </w:pPr>
      <w:r w:rsidRPr="00E44F3E">
        <w:t xml:space="preserve">For </w:t>
      </w:r>
      <w:proofErr w:type="gramStart"/>
      <w:r w:rsidRPr="00E44F3E">
        <w:t>a number of</w:t>
      </w:r>
      <w:proofErr w:type="gramEnd"/>
      <w:r w:rsidRPr="00E44F3E">
        <w:t xml:space="preserve"> years, there has been concern that Australia has more cancer medicines available than </w:t>
      </w:r>
      <w:r w:rsidR="00B02B56">
        <w:t>Aotearoa New Zealand</w:t>
      </w:r>
      <w:r w:rsidRPr="00E44F3E">
        <w:t xml:space="preserve">. The report </w:t>
      </w:r>
      <w:r w:rsidRPr="00E44F3E">
        <w:rPr>
          <w:i/>
          <w:iCs/>
        </w:rPr>
        <w:t xml:space="preserve">Understanding the Gap: an analysis of the availability of cancer medicines in Aotearoa </w:t>
      </w:r>
      <w:r w:rsidRPr="00E44F3E">
        <w:t xml:space="preserve">was written in 2022 to provide clarity as to the extent and materiality of the difference in medicine availability between Australia and </w:t>
      </w:r>
      <w:r w:rsidR="00152DDE">
        <w:t>Aotearoa New Zealand</w:t>
      </w:r>
      <w:r w:rsidRPr="00E44F3E">
        <w:t>. Only medicines that met a minimum threshold of clinical benefit (based on an internationally recognised tool) were identified as a gap in the report.</w:t>
      </w:r>
      <w:r w:rsidRPr="00E44F3E">
        <w:rPr>
          <w:rFonts w:cs="Segoe UI"/>
        </w:rPr>
        <w:t xml:space="preserve"> </w:t>
      </w:r>
    </w:p>
    <w:p w14:paraId="236D1D2F" w14:textId="77777777" w:rsidR="004C6642" w:rsidRPr="00E44F3E" w:rsidRDefault="004C6642" w:rsidP="004C6642"/>
    <w:p w14:paraId="2C056B5E" w14:textId="2A974C31" w:rsidR="004C6642" w:rsidRPr="00E44F3E" w:rsidRDefault="004C6642" w:rsidP="004C6642">
      <w:pPr>
        <w:rPr>
          <w:rFonts w:ascii="Segoe UI" w:hAnsi="Segoe UI"/>
        </w:rPr>
      </w:pPr>
      <w:r w:rsidRPr="00E44F3E">
        <w:t xml:space="preserve">At the time of the 2022 report, it was not possible to assess the magnitude of clinical benefit for blood cancer medicines funded in Australia but not in </w:t>
      </w:r>
      <w:r w:rsidR="00152DDE">
        <w:t>Aotearoa New Zealand</w:t>
      </w:r>
      <w:r w:rsidRPr="00E44F3E">
        <w:t>. Te Aho o Te Kahu made the commitment to complete that part of the analysis as soon as possible. We are very pleased to now deliver on that commitment and complete this work.</w:t>
      </w:r>
      <w:r>
        <w:t xml:space="preserve"> </w:t>
      </w:r>
    </w:p>
    <w:p w14:paraId="66F4C013" w14:textId="77777777" w:rsidR="004C6642" w:rsidRPr="00E44F3E" w:rsidRDefault="004C6642" w:rsidP="004C6642"/>
    <w:p w14:paraId="56798B51" w14:textId="4D549EF4" w:rsidR="004C6642" w:rsidRPr="00E44F3E" w:rsidRDefault="004C6642" w:rsidP="004C6642">
      <w:r w:rsidRPr="00E44F3E">
        <w:t xml:space="preserve">The information in this report will make clear how blood cancer medicine availability in </w:t>
      </w:r>
      <w:r w:rsidR="00D25E90">
        <w:t>Aotearoa New Zealand</w:t>
      </w:r>
      <w:r w:rsidR="00D25E90" w:rsidRPr="00E44F3E">
        <w:t xml:space="preserve"> </w:t>
      </w:r>
      <w:r w:rsidRPr="00E44F3E">
        <w:t xml:space="preserve">is different from Australia, a country we are routinely compared with. We hope the report will contribute further to the understanding of the availability of cancer medicines in </w:t>
      </w:r>
      <w:r w:rsidR="00152DDE">
        <w:t>Aotearoa New Zealand</w:t>
      </w:r>
      <w:r w:rsidRPr="00E44F3E">
        <w:t xml:space="preserve"> and that it will be a useful reference for the health system. The insights gained from </w:t>
      </w:r>
      <w:r>
        <w:t>this</w:t>
      </w:r>
      <w:r w:rsidRPr="00E44F3E">
        <w:t xml:space="preserve"> report can add to the discourse about access to medicines in this country and be considered alongside the many other sources of evidence and advice that inform decisions about medicines funding. </w:t>
      </w:r>
    </w:p>
    <w:p w14:paraId="0FE28A48" w14:textId="77777777" w:rsidR="004C6642" w:rsidRPr="00E44F3E" w:rsidRDefault="004C6642" w:rsidP="004C6642"/>
    <w:p w14:paraId="00DF9632" w14:textId="2C3ACFE4" w:rsidR="004C6642" w:rsidRPr="00E44F3E" w:rsidRDefault="004C6642" w:rsidP="004C6642">
      <w:r w:rsidRPr="00E44F3E">
        <w:t xml:space="preserve">Cancer medicines are an important part of providing quality cancer care, </w:t>
      </w:r>
      <w:r>
        <w:t xml:space="preserve">but </w:t>
      </w:r>
      <w:r w:rsidRPr="00E44F3E">
        <w:t xml:space="preserve">they are </w:t>
      </w:r>
      <w:r>
        <w:t xml:space="preserve">just </w:t>
      </w:r>
      <w:r w:rsidRPr="00E44F3E">
        <w:t xml:space="preserve">one of a broad range of approaches needed to combat cancer. Coordinated efforts across the entire cancer continuum are required to ensure the system functions as efficiently and equitably as possible to deliver the best health outcomes. This includes focusing on prevention activities, </w:t>
      </w:r>
      <w:proofErr w:type="gramStart"/>
      <w:r w:rsidRPr="00E44F3E">
        <w:t>identifying</w:t>
      </w:r>
      <w:proofErr w:type="gramEnd"/>
      <w:r w:rsidRPr="00E44F3E">
        <w:t xml:space="preserve"> and diagnosing people with cancer early (including through screening), and ensuring there is adequate workforce and infrastructure to support high-quality care (including surgery and radiation therapy) and quality-of-life supports (including palliative and end-of-life care). The full health benefits of cancer medicines can only be realised if all parts of the cancer care continuum are working well and adequately resourced. </w:t>
      </w:r>
    </w:p>
    <w:p w14:paraId="1C91ABD2" w14:textId="77777777" w:rsidR="004C6642" w:rsidRPr="00E44F3E" w:rsidRDefault="004C6642" w:rsidP="004C6642"/>
    <w:p w14:paraId="1B795ED9" w14:textId="77777777" w:rsidR="004C6642" w:rsidRPr="00E44F3E" w:rsidRDefault="004C6642" w:rsidP="004C6642">
      <w:r w:rsidRPr="00E44F3E">
        <w:lastRenderedPageBreak/>
        <w:t>People with cancer, and their whānau, must always remain at the centre of any conversation about cancer treatments. While this report is technical, it has been written with those people in mind.</w:t>
      </w:r>
    </w:p>
    <w:p w14:paraId="1A387BB8" w14:textId="77777777" w:rsidR="004C6642" w:rsidRPr="00E44F3E" w:rsidRDefault="004C6642" w:rsidP="004C6642"/>
    <w:p w14:paraId="03EF0B9D" w14:textId="77777777" w:rsidR="004C6642" w:rsidRPr="00E44F3E" w:rsidRDefault="004C6642" w:rsidP="004C6642">
      <w:r w:rsidRPr="00E44F3E">
        <w:t xml:space="preserve">I would like to thank all those who provided their expertise to support this report, including the staff at Te Aho o Te Kahu and the wider project team of clinical pharmacists and haematologists who are at the front line of care delivery. The release of this report brings to completion over three years of work for this group. </w:t>
      </w:r>
    </w:p>
    <w:p w14:paraId="049D45FE" w14:textId="77777777" w:rsidR="004C6642" w:rsidRPr="00E44F3E" w:rsidRDefault="004C6642" w:rsidP="004C6642"/>
    <w:p w14:paraId="2092C2BB" w14:textId="77777777" w:rsidR="004C6642" w:rsidRPr="00E44F3E" w:rsidRDefault="004C6642" w:rsidP="004C6642">
      <w:pPr>
        <w:rPr>
          <w:rFonts w:ascii="Segoe UI" w:hAnsi="Segoe UI"/>
        </w:rPr>
      </w:pPr>
      <w:r w:rsidRPr="00E44F3E">
        <w:t>It is my hope that this report will provide additional clarity and insights to all those invested in ensuring there are fewer cancers, better survival, and equity for all.</w:t>
      </w:r>
      <w:r w:rsidRPr="00E44F3E">
        <w:rPr>
          <w:rFonts w:cs="Segoe UI"/>
        </w:rPr>
        <w:t xml:space="preserve"> </w:t>
      </w:r>
    </w:p>
    <w:p w14:paraId="39454A87" w14:textId="77777777" w:rsidR="004C6642" w:rsidRPr="00E44F3E" w:rsidRDefault="004C6642" w:rsidP="004C6642"/>
    <w:p w14:paraId="3248DCEC" w14:textId="77777777" w:rsidR="004C6642" w:rsidRPr="00E44F3E" w:rsidRDefault="004C6642" w:rsidP="004C6642">
      <w:pPr>
        <w:keepNext/>
      </w:pPr>
      <w:r w:rsidRPr="00E44F3E">
        <w:t>Mauri ora</w:t>
      </w:r>
    </w:p>
    <w:p w14:paraId="30500AA0" w14:textId="77777777" w:rsidR="004C6642" w:rsidRPr="00E44F3E" w:rsidRDefault="004C6642" w:rsidP="004C6642">
      <w:pPr>
        <w:keepNext/>
      </w:pPr>
    </w:p>
    <w:p w14:paraId="09B45B25" w14:textId="77777777" w:rsidR="004C6642" w:rsidRPr="00E44F3E" w:rsidRDefault="004C6642" w:rsidP="004C6642">
      <w:pPr>
        <w:keepNext/>
      </w:pPr>
      <w:r w:rsidRPr="00E44F3E">
        <w:rPr>
          <w:noProof/>
        </w:rPr>
        <w:drawing>
          <wp:inline distT="0" distB="0" distL="0" distR="0" wp14:anchorId="68B94132" wp14:editId="26070125">
            <wp:extent cx="1047750" cy="657778"/>
            <wp:effectExtent l="0" t="0" r="0" b="9525"/>
            <wp:docPr id="10" name="Picture 10" descr="Te Aho o Te Kahu's Tumuaki | Chief Executive Rami Rahal's written signature in black ink on a white backgrou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 Aho o Te Kahu's Tumuaki | Chief Executive Rami Rahal's written signature in black ink on a white background&#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63922" cy="667931"/>
                    </a:xfrm>
                    <a:prstGeom prst="rect">
                      <a:avLst/>
                    </a:prstGeom>
                  </pic:spPr>
                </pic:pic>
              </a:graphicData>
            </a:graphic>
          </wp:inline>
        </w:drawing>
      </w:r>
    </w:p>
    <w:p w14:paraId="671944B3" w14:textId="77777777" w:rsidR="004C6642" w:rsidRPr="00E44F3E" w:rsidRDefault="004C6642" w:rsidP="004C6642"/>
    <w:p w14:paraId="4F6D71F3" w14:textId="77777777" w:rsidR="004C6642" w:rsidRPr="00E44F3E" w:rsidRDefault="004C6642" w:rsidP="004C6642">
      <w:pPr>
        <w:tabs>
          <w:tab w:val="center" w:pos="4039"/>
        </w:tabs>
      </w:pPr>
      <w:r w:rsidRPr="00E44F3E">
        <w:t xml:space="preserve">Rami Rahal </w:t>
      </w:r>
    </w:p>
    <w:p w14:paraId="34B958D6" w14:textId="77777777" w:rsidR="004C6642" w:rsidRPr="00E44F3E" w:rsidRDefault="004C6642" w:rsidP="004C6642">
      <w:pPr>
        <w:rPr>
          <w:b/>
          <w:bCs/>
        </w:rPr>
      </w:pPr>
      <w:r w:rsidRPr="00E44F3E">
        <w:rPr>
          <w:b/>
          <w:bCs/>
        </w:rPr>
        <w:t>Chief Executive and National Director of Cancer Control</w:t>
      </w:r>
    </w:p>
    <w:p w14:paraId="4591D040" w14:textId="77777777" w:rsidR="004C6642" w:rsidRPr="00E44F3E" w:rsidRDefault="004C6642" w:rsidP="004C6642">
      <w:r w:rsidRPr="00E44F3E">
        <w:rPr>
          <w:b/>
          <w:bCs/>
        </w:rPr>
        <w:t>Te Aho o Te Kahu | Cancer Control Agency</w:t>
      </w:r>
    </w:p>
    <w:p w14:paraId="217C964E" w14:textId="77777777" w:rsidR="00CA0D24" w:rsidRPr="00C45E6C" w:rsidRDefault="00CA0D24" w:rsidP="00414C35"/>
    <w:bookmarkEnd w:id="1"/>
    <w:bookmarkEnd w:id="2"/>
    <w:p w14:paraId="06817D45" w14:textId="741C8F60" w:rsidR="00F60111" w:rsidRPr="00C45E6C" w:rsidRDefault="00C22F24" w:rsidP="00BC6DFF">
      <w:pPr>
        <w:pStyle w:val="IntroHead"/>
        <w:rPr>
          <w:color w:val="0AB58F"/>
        </w:rPr>
      </w:pPr>
      <w:r w:rsidRPr="00C45E6C">
        <w:lastRenderedPageBreak/>
        <w:t>NG</w:t>
      </w:r>
      <w:r w:rsidR="00354FBE">
        <w:t>Ā</w:t>
      </w:r>
      <w:r w:rsidRPr="00C45E6C">
        <w:t xml:space="preserve"> </w:t>
      </w:r>
      <w:r w:rsidR="00354FBE" w:rsidRPr="00C45E6C">
        <w:t>IHIRANGI</w:t>
      </w:r>
      <w:r w:rsidR="00F60111" w:rsidRPr="00C45E6C">
        <w:br/>
      </w:r>
      <w:r w:rsidR="00BC6DFF" w:rsidRPr="00C45E6C">
        <w:rPr>
          <w:color w:val="0AB58F"/>
        </w:rPr>
        <w:t>CONTENTS</w:t>
      </w:r>
    </w:p>
    <w:p w14:paraId="20576CE4" w14:textId="0EC59DE0" w:rsidR="00957100" w:rsidRDefault="00D67309">
      <w:pPr>
        <w:pStyle w:val="TOC1"/>
        <w:rPr>
          <w:rFonts w:asciiTheme="minorHAnsi" w:eastAsiaTheme="minorEastAsia" w:hAnsiTheme="minorHAnsi" w:cstheme="minorBidi"/>
          <w:noProof/>
          <w:kern w:val="2"/>
          <w:sz w:val="22"/>
          <w:szCs w:val="22"/>
          <w:lang w:eastAsia="en-NZ"/>
          <w14:ligatures w14:val="standardContextual"/>
        </w:rPr>
      </w:pPr>
      <w:r>
        <w:rPr>
          <w:rFonts w:ascii="Segoe UI Semibold" w:hAnsi="Segoe UI Semibold"/>
          <w:b/>
        </w:rPr>
        <w:fldChar w:fldCharType="begin"/>
      </w:r>
      <w:r>
        <w:rPr>
          <w:rFonts w:ascii="Segoe UI Semibold" w:hAnsi="Segoe UI Semibold"/>
          <w:b/>
        </w:rPr>
        <w:instrText xml:space="preserve"> TOC \o "1-2" \h \z </w:instrText>
      </w:r>
      <w:r>
        <w:rPr>
          <w:rFonts w:ascii="Segoe UI Semibold" w:hAnsi="Segoe UI Semibold"/>
          <w:b/>
        </w:rPr>
        <w:fldChar w:fldCharType="separate"/>
      </w:r>
      <w:hyperlink w:anchor="_Toc180138585" w:history="1">
        <w:r w:rsidR="00957100" w:rsidRPr="00526955">
          <w:rPr>
            <w:rStyle w:val="Hyperlink"/>
            <w:noProof/>
          </w:rPr>
          <w:t>HE KUPU TAKAMUA | FOREWORD</w:t>
        </w:r>
        <w:r w:rsidR="00957100">
          <w:rPr>
            <w:noProof/>
            <w:webHidden/>
          </w:rPr>
          <w:tab/>
        </w:r>
        <w:r w:rsidR="00957100">
          <w:rPr>
            <w:noProof/>
            <w:webHidden/>
          </w:rPr>
          <w:fldChar w:fldCharType="begin"/>
        </w:r>
        <w:r w:rsidR="00957100">
          <w:rPr>
            <w:noProof/>
            <w:webHidden/>
          </w:rPr>
          <w:instrText xml:space="preserve"> PAGEREF _Toc180138585 \h </w:instrText>
        </w:r>
        <w:r w:rsidR="00957100">
          <w:rPr>
            <w:noProof/>
            <w:webHidden/>
          </w:rPr>
        </w:r>
        <w:r w:rsidR="00957100">
          <w:rPr>
            <w:noProof/>
            <w:webHidden/>
          </w:rPr>
          <w:fldChar w:fldCharType="separate"/>
        </w:r>
        <w:r w:rsidR="003D5664">
          <w:rPr>
            <w:noProof/>
            <w:webHidden/>
          </w:rPr>
          <w:t>iii</w:t>
        </w:r>
        <w:r w:rsidR="00957100">
          <w:rPr>
            <w:noProof/>
            <w:webHidden/>
          </w:rPr>
          <w:fldChar w:fldCharType="end"/>
        </w:r>
      </w:hyperlink>
    </w:p>
    <w:p w14:paraId="54F91AAD" w14:textId="3305795B" w:rsidR="00957100"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180138586" w:history="1">
        <w:r w:rsidR="00957100" w:rsidRPr="00526955">
          <w:rPr>
            <w:rStyle w:val="Hyperlink"/>
            <w:noProof/>
          </w:rPr>
          <w:t>TE RERE O TE TOTO: UNDERSTANDING BLOOD CANCER MEDICINE AVAILABILITY IN AOTEAROA – SUMMARY REPORT</w:t>
        </w:r>
        <w:r w:rsidR="00957100">
          <w:rPr>
            <w:noProof/>
            <w:webHidden/>
          </w:rPr>
          <w:tab/>
        </w:r>
        <w:r w:rsidR="00957100">
          <w:rPr>
            <w:noProof/>
            <w:webHidden/>
          </w:rPr>
          <w:fldChar w:fldCharType="begin"/>
        </w:r>
        <w:r w:rsidR="00957100">
          <w:rPr>
            <w:noProof/>
            <w:webHidden/>
          </w:rPr>
          <w:instrText xml:space="preserve"> PAGEREF _Toc180138586 \h </w:instrText>
        </w:r>
        <w:r w:rsidR="00957100">
          <w:rPr>
            <w:noProof/>
            <w:webHidden/>
          </w:rPr>
        </w:r>
        <w:r w:rsidR="00957100">
          <w:rPr>
            <w:noProof/>
            <w:webHidden/>
          </w:rPr>
          <w:fldChar w:fldCharType="separate"/>
        </w:r>
        <w:r w:rsidR="003D5664">
          <w:rPr>
            <w:noProof/>
            <w:webHidden/>
          </w:rPr>
          <w:t>1</w:t>
        </w:r>
        <w:r w:rsidR="00957100">
          <w:rPr>
            <w:noProof/>
            <w:webHidden/>
          </w:rPr>
          <w:fldChar w:fldCharType="end"/>
        </w:r>
      </w:hyperlink>
    </w:p>
    <w:p w14:paraId="7381535C" w14:textId="43027449" w:rsidR="00957100"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138587" w:history="1">
        <w:r w:rsidR="00957100" w:rsidRPr="00526955">
          <w:rPr>
            <w:rStyle w:val="Hyperlink"/>
            <w:noProof/>
          </w:rPr>
          <w:t>Cancer has a significant impact on the health of New Zealanders</w:t>
        </w:r>
        <w:r w:rsidR="00957100">
          <w:rPr>
            <w:noProof/>
            <w:webHidden/>
          </w:rPr>
          <w:tab/>
        </w:r>
        <w:r w:rsidR="00957100">
          <w:rPr>
            <w:noProof/>
            <w:webHidden/>
          </w:rPr>
          <w:fldChar w:fldCharType="begin"/>
        </w:r>
        <w:r w:rsidR="00957100">
          <w:rPr>
            <w:noProof/>
            <w:webHidden/>
          </w:rPr>
          <w:instrText xml:space="preserve"> PAGEREF _Toc180138587 \h </w:instrText>
        </w:r>
        <w:r w:rsidR="00957100">
          <w:rPr>
            <w:noProof/>
            <w:webHidden/>
          </w:rPr>
        </w:r>
        <w:r w:rsidR="00957100">
          <w:rPr>
            <w:noProof/>
            <w:webHidden/>
          </w:rPr>
          <w:fldChar w:fldCharType="separate"/>
        </w:r>
        <w:r w:rsidR="003D5664">
          <w:rPr>
            <w:noProof/>
            <w:webHidden/>
          </w:rPr>
          <w:t>1</w:t>
        </w:r>
        <w:r w:rsidR="00957100">
          <w:rPr>
            <w:noProof/>
            <w:webHidden/>
          </w:rPr>
          <w:fldChar w:fldCharType="end"/>
        </w:r>
      </w:hyperlink>
    </w:p>
    <w:p w14:paraId="4367DB92" w14:textId="7579B800" w:rsidR="00957100"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138588" w:history="1">
        <w:r w:rsidR="00957100" w:rsidRPr="00526955">
          <w:rPr>
            <w:rStyle w:val="Hyperlink"/>
            <w:noProof/>
          </w:rPr>
          <w:t>Cancer medicines are a critical part of cancer treatment</w:t>
        </w:r>
        <w:r w:rsidR="00957100">
          <w:rPr>
            <w:noProof/>
            <w:webHidden/>
          </w:rPr>
          <w:tab/>
        </w:r>
        <w:r w:rsidR="00957100">
          <w:rPr>
            <w:noProof/>
            <w:webHidden/>
          </w:rPr>
          <w:fldChar w:fldCharType="begin"/>
        </w:r>
        <w:r w:rsidR="00957100">
          <w:rPr>
            <w:noProof/>
            <w:webHidden/>
          </w:rPr>
          <w:instrText xml:space="preserve"> PAGEREF _Toc180138588 \h </w:instrText>
        </w:r>
        <w:r w:rsidR="00957100">
          <w:rPr>
            <w:noProof/>
            <w:webHidden/>
          </w:rPr>
        </w:r>
        <w:r w:rsidR="00957100">
          <w:rPr>
            <w:noProof/>
            <w:webHidden/>
          </w:rPr>
          <w:fldChar w:fldCharType="separate"/>
        </w:r>
        <w:r w:rsidR="003D5664">
          <w:rPr>
            <w:noProof/>
            <w:webHidden/>
          </w:rPr>
          <w:t>2</w:t>
        </w:r>
        <w:r w:rsidR="00957100">
          <w:rPr>
            <w:noProof/>
            <w:webHidden/>
          </w:rPr>
          <w:fldChar w:fldCharType="end"/>
        </w:r>
      </w:hyperlink>
    </w:p>
    <w:p w14:paraId="025F404B" w14:textId="3F118ACF" w:rsidR="00957100"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138589" w:history="1">
        <w:r w:rsidR="00957100" w:rsidRPr="00526955">
          <w:rPr>
            <w:rStyle w:val="Hyperlink"/>
            <w:noProof/>
          </w:rPr>
          <w:t>Cancer medicine funding decisions are complex</w:t>
        </w:r>
        <w:r w:rsidR="00957100">
          <w:rPr>
            <w:noProof/>
            <w:webHidden/>
          </w:rPr>
          <w:tab/>
        </w:r>
        <w:r w:rsidR="00957100">
          <w:rPr>
            <w:noProof/>
            <w:webHidden/>
          </w:rPr>
          <w:fldChar w:fldCharType="begin"/>
        </w:r>
        <w:r w:rsidR="00957100">
          <w:rPr>
            <w:noProof/>
            <w:webHidden/>
          </w:rPr>
          <w:instrText xml:space="preserve"> PAGEREF _Toc180138589 \h </w:instrText>
        </w:r>
        <w:r w:rsidR="00957100">
          <w:rPr>
            <w:noProof/>
            <w:webHidden/>
          </w:rPr>
        </w:r>
        <w:r w:rsidR="00957100">
          <w:rPr>
            <w:noProof/>
            <w:webHidden/>
          </w:rPr>
          <w:fldChar w:fldCharType="separate"/>
        </w:r>
        <w:r w:rsidR="003D5664">
          <w:rPr>
            <w:noProof/>
            <w:webHidden/>
          </w:rPr>
          <w:t>2</w:t>
        </w:r>
        <w:r w:rsidR="00957100">
          <w:rPr>
            <w:noProof/>
            <w:webHidden/>
          </w:rPr>
          <w:fldChar w:fldCharType="end"/>
        </w:r>
      </w:hyperlink>
    </w:p>
    <w:p w14:paraId="1B321EF7" w14:textId="6AC84DEA" w:rsidR="00957100"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138590" w:history="1">
        <w:r w:rsidR="00957100" w:rsidRPr="00526955">
          <w:rPr>
            <w:rStyle w:val="Hyperlink"/>
            <w:noProof/>
          </w:rPr>
          <w:t>Why compare which blood cancer medicines are funded in Australia and Aotearoa New Zealand?</w:t>
        </w:r>
        <w:r w:rsidR="00957100">
          <w:rPr>
            <w:noProof/>
            <w:webHidden/>
          </w:rPr>
          <w:tab/>
        </w:r>
        <w:r w:rsidR="00957100">
          <w:rPr>
            <w:noProof/>
            <w:webHidden/>
          </w:rPr>
          <w:fldChar w:fldCharType="begin"/>
        </w:r>
        <w:r w:rsidR="00957100">
          <w:rPr>
            <w:noProof/>
            <w:webHidden/>
          </w:rPr>
          <w:instrText xml:space="preserve"> PAGEREF _Toc180138590 \h </w:instrText>
        </w:r>
        <w:r w:rsidR="00957100">
          <w:rPr>
            <w:noProof/>
            <w:webHidden/>
          </w:rPr>
        </w:r>
        <w:r w:rsidR="00957100">
          <w:rPr>
            <w:noProof/>
            <w:webHidden/>
          </w:rPr>
          <w:fldChar w:fldCharType="separate"/>
        </w:r>
        <w:r w:rsidR="003D5664">
          <w:rPr>
            <w:noProof/>
            <w:webHidden/>
          </w:rPr>
          <w:t>3</w:t>
        </w:r>
        <w:r w:rsidR="00957100">
          <w:rPr>
            <w:noProof/>
            <w:webHidden/>
          </w:rPr>
          <w:fldChar w:fldCharType="end"/>
        </w:r>
      </w:hyperlink>
    </w:p>
    <w:p w14:paraId="6CDAB987" w14:textId="47430167" w:rsidR="00957100"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138591" w:history="1">
        <w:r w:rsidR="00957100" w:rsidRPr="00526955">
          <w:rPr>
            <w:rStyle w:val="Hyperlink"/>
            <w:noProof/>
          </w:rPr>
          <w:t>The findings of the 2022 report</w:t>
        </w:r>
        <w:r w:rsidR="00957100">
          <w:rPr>
            <w:noProof/>
            <w:webHidden/>
          </w:rPr>
          <w:tab/>
        </w:r>
        <w:r w:rsidR="00957100">
          <w:rPr>
            <w:noProof/>
            <w:webHidden/>
          </w:rPr>
          <w:fldChar w:fldCharType="begin"/>
        </w:r>
        <w:r w:rsidR="00957100">
          <w:rPr>
            <w:noProof/>
            <w:webHidden/>
          </w:rPr>
          <w:instrText xml:space="preserve"> PAGEREF _Toc180138591 \h </w:instrText>
        </w:r>
        <w:r w:rsidR="00957100">
          <w:rPr>
            <w:noProof/>
            <w:webHidden/>
          </w:rPr>
        </w:r>
        <w:r w:rsidR="00957100">
          <w:rPr>
            <w:noProof/>
            <w:webHidden/>
          </w:rPr>
          <w:fldChar w:fldCharType="separate"/>
        </w:r>
        <w:r w:rsidR="003D5664">
          <w:rPr>
            <w:noProof/>
            <w:webHidden/>
          </w:rPr>
          <w:t>3</w:t>
        </w:r>
        <w:r w:rsidR="00957100">
          <w:rPr>
            <w:noProof/>
            <w:webHidden/>
          </w:rPr>
          <w:fldChar w:fldCharType="end"/>
        </w:r>
      </w:hyperlink>
    </w:p>
    <w:p w14:paraId="1E0C720C" w14:textId="539A0BFB" w:rsidR="00957100"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138592" w:history="1">
        <w:r w:rsidR="00957100" w:rsidRPr="00526955">
          <w:rPr>
            <w:rStyle w:val="Hyperlink"/>
            <w:noProof/>
          </w:rPr>
          <w:t>How the 2024 report differs to the 2022 report</w:t>
        </w:r>
        <w:r w:rsidR="00957100">
          <w:rPr>
            <w:noProof/>
            <w:webHidden/>
          </w:rPr>
          <w:tab/>
        </w:r>
        <w:r w:rsidR="00957100">
          <w:rPr>
            <w:noProof/>
            <w:webHidden/>
          </w:rPr>
          <w:fldChar w:fldCharType="begin"/>
        </w:r>
        <w:r w:rsidR="00957100">
          <w:rPr>
            <w:noProof/>
            <w:webHidden/>
          </w:rPr>
          <w:instrText xml:space="preserve"> PAGEREF _Toc180138592 \h </w:instrText>
        </w:r>
        <w:r w:rsidR="00957100">
          <w:rPr>
            <w:noProof/>
            <w:webHidden/>
          </w:rPr>
        </w:r>
        <w:r w:rsidR="00957100">
          <w:rPr>
            <w:noProof/>
            <w:webHidden/>
          </w:rPr>
          <w:fldChar w:fldCharType="separate"/>
        </w:r>
        <w:r w:rsidR="003D5664">
          <w:rPr>
            <w:noProof/>
            <w:webHidden/>
          </w:rPr>
          <w:t>4</w:t>
        </w:r>
        <w:r w:rsidR="00957100">
          <w:rPr>
            <w:noProof/>
            <w:webHidden/>
          </w:rPr>
          <w:fldChar w:fldCharType="end"/>
        </w:r>
      </w:hyperlink>
    </w:p>
    <w:p w14:paraId="5E7FEF87" w14:textId="0F073FDF" w:rsidR="00957100"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138593" w:history="1">
        <w:r w:rsidR="00957100" w:rsidRPr="00526955">
          <w:rPr>
            <w:rStyle w:val="Hyperlink"/>
            <w:noProof/>
          </w:rPr>
          <w:t>What did the 2024 report involve?</w:t>
        </w:r>
        <w:r w:rsidR="00957100">
          <w:rPr>
            <w:noProof/>
            <w:webHidden/>
          </w:rPr>
          <w:tab/>
        </w:r>
        <w:r w:rsidR="00957100">
          <w:rPr>
            <w:noProof/>
            <w:webHidden/>
          </w:rPr>
          <w:fldChar w:fldCharType="begin"/>
        </w:r>
        <w:r w:rsidR="00957100">
          <w:rPr>
            <w:noProof/>
            <w:webHidden/>
          </w:rPr>
          <w:instrText xml:space="preserve"> PAGEREF _Toc180138593 \h </w:instrText>
        </w:r>
        <w:r w:rsidR="00957100">
          <w:rPr>
            <w:noProof/>
            <w:webHidden/>
          </w:rPr>
        </w:r>
        <w:r w:rsidR="00957100">
          <w:rPr>
            <w:noProof/>
            <w:webHidden/>
          </w:rPr>
          <w:fldChar w:fldCharType="separate"/>
        </w:r>
        <w:r w:rsidR="003D5664">
          <w:rPr>
            <w:noProof/>
            <w:webHidden/>
          </w:rPr>
          <w:t>4</w:t>
        </w:r>
        <w:r w:rsidR="00957100">
          <w:rPr>
            <w:noProof/>
            <w:webHidden/>
          </w:rPr>
          <w:fldChar w:fldCharType="end"/>
        </w:r>
      </w:hyperlink>
    </w:p>
    <w:p w14:paraId="6D14FE95" w14:textId="78F57C2F" w:rsidR="00957100"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138594" w:history="1">
        <w:r w:rsidR="00957100" w:rsidRPr="00526955">
          <w:rPr>
            <w:rStyle w:val="Hyperlink"/>
            <w:noProof/>
          </w:rPr>
          <w:t>What did we find?</w:t>
        </w:r>
        <w:r w:rsidR="00957100">
          <w:rPr>
            <w:noProof/>
            <w:webHidden/>
          </w:rPr>
          <w:tab/>
        </w:r>
        <w:r w:rsidR="00957100">
          <w:rPr>
            <w:noProof/>
            <w:webHidden/>
          </w:rPr>
          <w:fldChar w:fldCharType="begin"/>
        </w:r>
        <w:r w:rsidR="00957100">
          <w:rPr>
            <w:noProof/>
            <w:webHidden/>
          </w:rPr>
          <w:instrText xml:space="preserve"> PAGEREF _Toc180138594 \h </w:instrText>
        </w:r>
        <w:r w:rsidR="00957100">
          <w:rPr>
            <w:noProof/>
            <w:webHidden/>
          </w:rPr>
        </w:r>
        <w:r w:rsidR="00957100">
          <w:rPr>
            <w:noProof/>
            <w:webHidden/>
          </w:rPr>
          <w:fldChar w:fldCharType="separate"/>
        </w:r>
        <w:r w:rsidR="003D5664">
          <w:rPr>
            <w:noProof/>
            <w:webHidden/>
          </w:rPr>
          <w:t>8</w:t>
        </w:r>
        <w:r w:rsidR="00957100">
          <w:rPr>
            <w:noProof/>
            <w:webHidden/>
          </w:rPr>
          <w:fldChar w:fldCharType="end"/>
        </w:r>
      </w:hyperlink>
    </w:p>
    <w:p w14:paraId="59779396" w14:textId="24740EBB" w:rsidR="00957100"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138595" w:history="1">
        <w:r w:rsidR="00957100" w:rsidRPr="00526955">
          <w:rPr>
            <w:rStyle w:val="Hyperlink"/>
            <w:noProof/>
          </w:rPr>
          <w:t>What are the key strengths and limitations of this analysis?</w:t>
        </w:r>
        <w:r w:rsidR="00957100">
          <w:rPr>
            <w:noProof/>
            <w:webHidden/>
          </w:rPr>
          <w:tab/>
        </w:r>
        <w:r w:rsidR="00957100">
          <w:rPr>
            <w:noProof/>
            <w:webHidden/>
          </w:rPr>
          <w:fldChar w:fldCharType="begin"/>
        </w:r>
        <w:r w:rsidR="00957100">
          <w:rPr>
            <w:noProof/>
            <w:webHidden/>
          </w:rPr>
          <w:instrText xml:space="preserve"> PAGEREF _Toc180138595 \h </w:instrText>
        </w:r>
        <w:r w:rsidR="00957100">
          <w:rPr>
            <w:noProof/>
            <w:webHidden/>
          </w:rPr>
        </w:r>
        <w:r w:rsidR="00957100">
          <w:rPr>
            <w:noProof/>
            <w:webHidden/>
          </w:rPr>
          <w:fldChar w:fldCharType="separate"/>
        </w:r>
        <w:r w:rsidR="003D5664">
          <w:rPr>
            <w:noProof/>
            <w:webHidden/>
          </w:rPr>
          <w:t>9</w:t>
        </w:r>
        <w:r w:rsidR="00957100">
          <w:rPr>
            <w:noProof/>
            <w:webHidden/>
          </w:rPr>
          <w:fldChar w:fldCharType="end"/>
        </w:r>
      </w:hyperlink>
    </w:p>
    <w:p w14:paraId="5B65CC43" w14:textId="47A9D496" w:rsidR="00957100"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138596" w:history="1">
        <w:r w:rsidR="00957100" w:rsidRPr="00526955">
          <w:rPr>
            <w:rStyle w:val="Hyperlink"/>
            <w:noProof/>
          </w:rPr>
          <w:t>Key things to consider when interpreting the findings of this report</w:t>
        </w:r>
        <w:r w:rsidR="00957100">
          <w:rPr>
            <w:noProof/>
            <w:webHidden/>
          </w:rPr>
          <w:tab/>
        </w:r>
        <w:r w:rsidR="00957100">
          <w:rPr>
            <w:noProof/>
            <w:webHidden/>
          </w:rPr>
          <w:fldChar w:fldCharType="begin"/>
        </w:r>
        <w:r w:rsidR="00957100">
          <w:rPr>
            <w:noProof/>
            <w:webHidden/>
          </w:rPr>
          <w:instrText xml:space="preserve"> PAGEREF _Toc180138596 \h </w:instrText>
        </w:r>
        <w:r w:rsidR="00957100">
          <w:rPr>
            <w:noProof/>
            <w:webHidden/>
          </w:rPr>
        </w:r>
        <w:r w:rsidR="00957100">
          <w:rPr>
            <w:noProof/>
            <w:webHidden/>
          </w:rPr>
          <w:fldChar w:fldCharType="separate"/>
        </w:r>
        <w:r w:rsidR="003D5664">
          <w:rPr>
            <w:noProof/>
            <w:webHidden/>
          </w:rPr>
          <w:t>10</w:t>
        </w:r>
        <w:r w:rsidR="00957100">
          <w:rPr>
            <w:noProof/>
            <w:webHidden/>
          </w:rPr>
          <w:fldChar w:fldCharType="end"/>
        </w:r>
      </w:hyperlink>
    </w:p>
    <w:p w14:paraId="6B5A2052" w14:textId="08B27600" w:rsidR="00957100"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180138597" w:history="1">
        <w:r w:rsidR="00957100" w:rsidRPr="00526955">
          <w:rPr>
            <w:rStyle w:val="Hyperlink"/>
            <w:noProof/>
          </w:rPr>
          <w:t>HE KUPU WHAKAKAPI | CONCLUSION</w:t>
        </w:r>
        <w:r w:rsidR="00957100">
          <w:rPr>
            <w:noProof/>
            <w:webHidden/>
          </w:rPr>
          <w:tab/>
        </w:r>
        <w:r w:rsidR="00957100">
          <w:rPr>
            <w:noProof/>
            <w:webHidden/>
          </w:rPr>
          <w:fldChar w:fldCharType="begin"/>
        </w:r>
        <w:r w:rsidR="00957100">
          <w:rPr>
            <w:noProof/>
            <w:webHidden/>
          </w:rPr>
          <w:instrText xml:space="preserve"> PAGEREF _Toc180138597 \h </w:instrText>
        </w:r>
        <w:r w:rsidR="00957100">
          <w:rPr>
            <w:noProof/>
            <w:webHidden/>
          </w:rPr>
        </w:r>
        <w:r w:rsidR="00957100">
          <w:rPr>
            <w:noProof/>
            <w:webHidden/>
          </w:rPr>
          <w:fldChar w:fldCharType="separate"/>
        </w:r>
        <w:r w:rsidR="003D5664">
          <w:rPr>
            <w:noProof/>
            <w:webHidden/>
          </w:rPr>
          <w:t>12</w:t>
        </w:r>
        <w:r w:rsidR="00957100">
          <w:rPr>
            <w:noProof/>
            <w:webHidden/>
          </w:rPr>
          <w:fldChar w:fldCharType="end"/>
        </w:r>
      </w:hyperlink>
    </w:p>
    <w:p w14:paraId="7B96DEE6" w14:textId="71E97736" w:rsidR="00957100" w:rsidRDefault="00000000">
      <w:pPr>
        <w:pStyle w:val="TOC1"/>
        <w:rPr>
          <w:rFonts w:asciiTheme="minorHAnsi" w:eastAsiaTheme="minorEastAsia" w:hAnsiTheme="minorHAnsi" w:cstheme="minorBidi"/>
          <w:noProof/>
          <w:kern w:val="2"/>
          <w:sz w:val="22"/>
          <w:szCs w:val="22"/>
          <w:lang w:eastAsia="en-NZ"/>
          <w14:ligatures w14:val="standardContextual"/>
        </w:rPr>
      </w:pPr>
      <w:hyperlink w:anchor="_Toc180138598" w:history="1">
        <w:r w:rsidR="00957100" w:rsidRPr="00526955">
          <w:rPr>
            <w:rStyle w:val="Hyperlink"/>
            <w:noProof/>
          </w:rPr>
          <w:t>NGĀ ĀPITIHANGA | APPENDICES</w:t>
        </w:r>
        <w:r w:rsidR="00957100">
          <w:rPr>
            <w:noProof/>
            <w:webHidden/>
          </w:rPr>
          <w:tab/>
        </w:r>
        <w:r w:rsidR="00957100">
          <w:rPr>
            <w:noProof/>
            <w:webHidden/>
          </w:rPr>
          <w:fldChar w:fldCharType="begin"/>
        </w:r>
        <w:r w:rsidR="00957100">
          <w:rPr>
            <w:noProof/>
            <w:webHidden/>
          </w:rPr>
          <w:instrText xml:space="preserve"> PAGEREF _Toc180138598 \h </w:instrText>
        </w:r>
        <w:r w:rsidR="00957100">
          <w:rPr>
            <w:noProof/>
            <w:webHidden/>
          </w:rPr>
        </w:r>
        <w:r w:rsidR="00957100">
          <w:rPr>
            <w:noProof/>
            <w:webHidden/>
          </w:rPr>
          <w:fldChar w:fldCharType="separate"/>
        </w:r>
        <w:r w:rsidR="003D5664">
          <w:rPr>
            <w:noProof/>
            <w:webHidden/>
          </w:rPr>
          <w:t>13</w:t>
        </w:r>
        <w:r w:rsidR="00957100">
          <w:rPr>
            <w:noProof/>
            <w:webHidden/>
          </w:rPr>
          <w:fldChar w:fldCharType="end"/>
        </w:r>
      </w:hyperlink>
    </w:p>
    <w:p w14:paraId="65F21A29" w14:textId="28BC9BCC" w:rsidR="00957100"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138599" w:history="1">
        <w:r w:rsidR="00957100" w:rsidRPr="00526955">
          <w:rPr>
            <w:rStyle w:val="Hyperlink"/>
            <w:noProof/>
          </w:rPr>
          <w:t>Appendix 1: Summary of medicine availability gaps by type of cancer and ESMO-MCBS:H score</w:t>
        </w:r>
        <w:r w:rsidR="00957100">
          <w:rPr>
            <w:noProof/>
            <w:webHidden/>
          </w:rPr>
          <w:tab/>
        </w:r>
        <w:r w:rsidR="00957100">
          <w:rPr>
            <w:noProof/>
            <w:webHidden/>
          </w:rPr>
          <w:fldChar w:fldCharType="begin"/>
        </w:r>
        <w:r w:rsidR="00957100">
          <w:rPr>
            <w:noProof/>
            <w:webHidden/>
          </w:rPr>
          <w:instrText xml:space="preserve"> PAGEREF _Toc180138599 \h </w:instrText>
        </w:r>
        <w:r w:rsidR="00957100">
          <w:rPr>
            <w:noProof/>
            <w:webHidden/>
          </w:rPr>
        </w:r>
        <w:r w:rsidR="00957100">
          <w:rPr>
            <w:noProof/>
            <w:webHidden/>
          </w:rPr>
          <w:fldChar w:fldCharType="separate"/>
        </w:r>
        <w:r w:rsidR="003D5664">
          <w:rPr>
            <w:noProof/>
            <w:webHidden/>
          </w:rPr>
          <w:t>13</w:t>
        </w:r>
        <w:r w:rsidR="00957100">
          <w:rPr>
            <w:noProof/>
            <w:webHidden/>
          </w:rPr>
          <w:fldChar w:fldCharType="end"/>
        </w:r>
      </w:hyperlink>
    </w:p>
    <w:p w14:paraId="13E2736F" w14:textId="4927876D" w:rsidR="00957100"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138600" w:history="1">
        <w:r w:rsidR="00957100" w:rsidRPr="00526955">
          <w:rPr>
            <w:rStyle w:val="Hyperlink"/>
            <w:noProof/>
          </w:rPr>
          <w:t>Appendix 2: Medicine</w:t>
        </w:r>
        <w:r w:rsidR="00957100" w:rsidRPr="00526955">
          <w:rPr>
            <w:rStyle w:val="Hyperlink"/>
            <w:bCs/>
            <w:noProof/>
          </w:rPr>
          <w:t>-indication pairs</w:t>
        </w:r>
        <w:r w:rsidR="00957100" w:rsidRPr="00526955">
          <w:rPr>
            <w:rStyle w:val="Hyperlink"/>
            <w:noProof/>
          </w:rPr>
          <w:t xml:space="preserve"> funded in Australia but not in Aotearoa New Zealand with a substantial magnitude of clinical benefit</w:t>
        </w:r>
        <w:r w:rsidR="00957100">
          <w:rPr>
            <w:noProof/>
            <w:webHidden/>
          </w:rPr>
          <w:tab/>
        </w:r>
        <w:r w:rsidR="00957100">
          <w:rPr>
            <w:noProof/>
            <w:webHidden/>
          </w:rPr>
          <w:fldChar w:fldCharType="begin"/>
        </w:r>
        <w:r w:rsidR="00957100">
          <w:rPr>
            <w:noProof/>
            <w:webHidden/>
          </w:rPr>
          <w:instrText xml:space="preserve"> PAGEREF _Toc180138600 \h </w:instrText>
        </w:r>
        <w:r w:rsidR="00957100">
          <w:rPr>
            <w:noProof/>
            <w:webHidden/>
          </w:rPr>
        </w:r>
        <w:r w:rsidR="00957100">
          <w:rPr>
            <w:noProof/>
            <w:webHidden/>
          </w:rPr>
          <w:fldChar w:fldCharType="separate"/>
        </w:r>
        <w:r w:rsidR="003D5664">
          <w:rPr>
            <w:noProof/>
            <w:webHidden/>
          </w:rPr>
          <w:t>14</w:t>
        </w:r>
        <w:r w:rsidR="00957100">
          <w:rPr>
            <w:noProof/>
            <w:webHidden/>
          </w:rPr>
          <w:fldChar w:fldCharType="end"/>
        </w:r>
      </w:hyperlink>
    </w:p>
    <w:p w14:paraId="7173294F" w14:textId="22430267" w:rsidR="00957100"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138601" w:history="1">
        <w:r w:rsidR="00957100" w:rsidRPr="00526955">
          <w:rPr>
            <w:rStyle w:val="Hyperlink"/>
            <w:noProof/>
          </w:rPr>
          <w:t>Appendix 3: Medicine-indication pairs funded in Australia but not in Aotearoa New Zealand that were determined to not have a substantial magnitude of clinical benefit</w:t>
        </w:r>
        <w:r w:rsidR="00957100">
          <w:rPr>
            <w:noProof/>
            <w:webHidden/>
          </w:rPr>
          <w:tab/>
        </w:r>
        <w:r w:rsidR="00957100">
          <w:rPr>
            <w:noProof/>
            <w:webHidden/>
          </w:rPr>
          <w:fldChar w:fldCharType="begin"/>
        </w:r>
        <w:r w:rsidR="00957100">
          <w:rPr>
            <w:noProof/>
            <w:webHidden/>
          </w:rPr>
          <w:instrText xml:space="preserve"> PAGEREF _Toc180138601 \h </w:instrText>
        </w:r>
        <w:r w:rsidR="00957100">
          <w:rPr>
            <w:noProof/>
            <w:webHidden/>
          </w:rPr>
        </w:r>
        <w:r w:rsidR="00957100">
          <w:rPr>
            <w:noProof/>
            <w:webHidden/>
          </w:rPr>
          <w:fldChar w:fldCharType="separate"/>
        </w:r>
        <w:r w:rsidR="003D5664">
          <w:rPr>
            <w:noProof/>
            <w:webHidden/>
          </w:rPr>
          <w:t>17</w:t>
        </w:r>
        <w:r w:rsidR="00957100">
          <w:rPr>
            <w:noProof/>
            <w:webHidden/>
          </w:rPr>
          <w:fldChar w:fldCharType="end"/>
        </w:r>
      </w:hyperlink>
    </w:p>
    <w:p w14:paraId="6A04C08B" w14:textId="02A8FF68" w:rsidR="00957100" w:rsidRDefault="00000000">
      <w:pPr>
        <w:pStyle w:val="TOC2"/>
        <w:rPr>
          <w:rFonts w:asciiTheme="minorHAnsi" w:eastAsiaTheme="minorEastAsia" w:hAnsiTheme="minorHAnsi" w:cstheme="minorBidi"/>
          <w:noProof/>
          <w:kern w:val="2"/>
          <w:sz w:val="22"/>
          <w:szCs w:val="22"/>
          <w:lang w:eastAsia="en-NZ"/>
          <w14:ligatures w14:val="standardContextual"/>
        </w:rPr>
      </w:pPr>
      <w:hyperlink w:anchor="_Toc180138602" w:history="1">
        <w:r w:rsidR="00957100" w:rsidRPr="00526955">
          <w:rPr>
            <w:rStyle w:val="Hyperlink"/>
            <w:noProof/>
          </w:rPr>
          <w:t>Appendix 4: Key sources of information</w:t>
        </w:r>
        <w:r w:rsidR="00957100">
          <w:rPr>
            <w:noProof/>
            <w:webHidden/>
          </w:rPr>
          <w:tab/>
        </w:r>
        <w:r w:rsidR="00957100">
          <w:rPr>
            <w:noProof/>
            <w:webHidden/>
          </w:rPr>
          <w:fldChar w:fldCharType="begin"/>
        </w:r>
        <w:r w:rsidR="00957100">
          <w:rPr>
            <w:noProof/>
            <w:webHidden/>
          </w:rPr>
          <w:instrText xml:space="preserve"> PAGEREF _Toc180138602 \h </w:instrText>
        </w:r>
        <w:r w:rsidR="00957100">
          <w:rPr>
            <w:noProof/>
            <w:webHidden/>
          </w:rPr>
        </w:r>
        <w:r w:rsidR="00957100">
          <w:rPr>
            <w:noProof/>
            <w:webHidden/>
          </w:rPr>
          <w:fldChar w:fldCharType="separate"/>
        </w:r>
        <w:r w:rsidR="003D5664">
          <w:rPr>
            <w:noProof/>
            <w:webHidden/>
          </w:rPr>
          <w:t>23</w:t>
        </w:r>
        <w:r w:rsidR="00957100">
          <w:rPr>
            <w:noProof/>
            <w:webHidden/>
          </w:rPr>
          <w:fldChar w:fldCharType="end"/>
        </w:r>
      </w:hyperlink>
    </w:p>
    <w:p w14:paraId="50DB1AF9" w14:textId="535B96A5" w:rsidR="00D67309" w:rsidRDefault="00D67309" w:rsidP="00D67309">
      <w:r>
        <w:rPr>
          <w:rFonts w:ascii="Segoe UI Semibold" w:hAnsi="Segoe UI Semibold"/>
          <w:b/>
          <w:sz w:val="24"/>
        </w:rPr>
        <w:fldChar w:fldCharType="end"/>
      </w:r>
    </w:p>
    <w:p w14:paraId="340B6D19" w14:textId="3DB1742D" w:rsidR="0033448B" w:rsidRPr="00C45E6C" w:rsidRDefault="0033448B" w:rsidP="0033448B">
      <w:pPr>
        <w:pStyle w:val="TOC1"/>
      </w:pPr>
      <w:r w:rsidRPr="00C45E6C">
        <w:t xml:space="preserve">List of </w:t>
      </w:r>
      <w:r w:rsidR="00D67309" w:rsidRPr="00C45E6C">
        <w:t>figures</w:t>
      </w:r>
    </w:p>
    <w:p w14:paraId="0386B006" w14:textId="01BB4F21" w:rsidR="00957100" w:rsidRDefault="00483132">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r w:rsidRPr="00C45E6C">
        <w:fldChar w:fldCharType="begin"/>
      </w:r>
      <w:r w:rsidRPr="00C45E6C">
        <w:instrText xml:space="preserve"> TOC \h \z \c "Figure" </w:instrText>
      </w:r>
      <w:r w:rsidRPr="00C45E6C">
        <w:fldChar w:fldCharType="separate"/>
      </w:r>
      <w:hyperlink w:anchor="_Toc180138603" w:history="1">
        <w:r w:rsidR="00957100" w:rsidRPr="00196676">
          <w:rPr>
            <w:rStyle w:val="Hyperlink"/>
            <w:noProof/>
          </w:rPr>
          <w:t>Figure 1: ESMO-MCBS:H possible scores</w:t>
        </w:r>
        <w:r w:rsidR="00957100">
          <w:rPr>
            <w:noProof/>
            <w:webHidden/>
          </w:rPr>
          <w:tab/>
        </w:r>
        <w:r w:rsidR="00957100">
          <w:rPr>
            <w:noProof/>
            <w:webHidden/>
          </w:rPr>
          <w:fldChar w:fldCharType="begin"/>
        </w:r>
        <w:r w:rsidR="00957100">
          <w:rPr>
            <w:noProof/>
            <w:webHidden/>
          </w:rPr>
          <w:instrText xml:space="preserve"> PAGEREF _Toc180138603 \h </w:instrText>
        </w:r>
        <w:r w:rsidR="00957100">
          <w:rPr>
            <w:noProof/>
            <w:webHidden/>
          </w:rPr>
        </w:r>
        <w:r w:rsidR="00957100">
          <w:rPr>
            <w:noProof/>
            <w:webHidden/>
          </w:rPr>
          <w:fldChar w:fldCharType="separate"/>
        </w:r>
        <w:r w:rsidR="003D5664">
          <w:rPr>
            <w:noProof/>
            <w:webHidden/>
          </w:rPr>
          <w:t>7</w:t>
        </w:r>
        <w:r w:rsidR="00957100">
          <w:rPr>
            <w:noProof/>
            <w:webHidden/>
          </w:rPr>
          <w:fldChar w:fldCharType="end"/>
        </w:r>
      </w:hyperlink>
    </w:p>
    <w:p w14:paraId="611B85D5" w14:textId="265B140B" w:rsidR="00957100" w:rsidRDefault="00000000">
      <w:pPr>
        <w:pStyle w:val="TableofFigures"/>
        <w:tabs>
          <w:tab w:val="right" w:leader="dot" w:pos="8069"/>
        </w:tabs>
        <w:rPr>
          <w:rFonts w:asciiTheme="minorHAnsi" w:eastAsiaTheme="minorEastAsia" w:hAnsiTheme="minorHAnsi" w:cstheme="minorBidi"/>
          <w:noProof/>
          <w:kern w:val="2"/>
          <w:sz w:val="22"/>
          <w:szCs w:val="22"/>
          <w:lang w:eastAsia="en-NZ"/>
          <w14:ligatures w14:val="standardContextual"/>
        </w:rPr>
      </w:pPr>
      <w:hyperlink w:anchor="_Toc180138604" w:history="1">
        <w:r w:rsidR="00957100" w:rsidRPr="00196676">
          <w:rPr>
            <w:rStyle w:val="Hyperlink"/>
            <w:noProof/>
          </w:rPr>
          <w:t>Figure 2: Summary of results in blood medicine availability between Australia and Aotearoa New Zealand on 1 January 2024</w:t>
        </w:r>
        <w:r w:rsidR="00957100">
          <w:rPr>
            <w:noProof/>
            <w:webHidden/>
          </w:rPr>
          <w:tab/>
        </w:r>
        <w:r w:rsidR="00957100">
          <w:rPr>
            <w:noProof/>
            <w:webHidden/>
          </w:rPr>
          <w:fldChar w:fldCharType="begin"/>
        </w:r>
        <w:r w:rsidR="00957100">
          <w:rPr>
            <w:noProof/>
            <w:webHidden/>
          </w:rPr>
          <w:instrText xml:space="preserve"> PAGEREF _Toc180138604 \h </w:instrText>
        </w:r>
        <w:r w:rsidR="00957100">
          <w:rPr>
            <w:noProof/>
            <w:webHidden/>
          </w:rPr>
        </w:r>
        <w:r w:rsidR="00957100">
          <w:rPr>
            <w:noProof/>
            <w:webHidden/>
          </w:rPr>
          <w:fldChar w:fldCharType="separate"/>
        </w:r>
        <w:r w:rsidR="003D5664">
          <w:rPr>
            <w:noProof/>
            <w:webHidden/>
          </w:rPr>
          <w:t>8</w:t>
        </w:r>
        <w:r w:rsidR="00957100">
          <w:rPr>
            <w:noProof/>
            <w:webHidden/>
          </w:rPr>
          <w:fldChar w:fldCharType="end"/>
        </w:r>
      </w:hyperlink>
    </w:p>
    <w:p w14:paraId="01EEEDD0" w14:textId="77EA2A4C" w:rsidR="0033448B" w:rsidRPr="00C45E6C" w:rsidRDefault="00483132" w:rsidP="0033448B">
      <w:r w:rsidRPr="00C45E6C">
        <w:fldChar w:fldCharType="end"/>
      </w:r>
    </w:p>
    <w:p w14:paraId="233AE544" w14:textId="77777777" w:rsidR="00F16595" w:rsidRPr="00C45E6C" w:rsidRDefault="00F16595" w:rsidP="00260ACB">
      <w:pPr>
        <w:spacing w:after="120"/>
      </w:pPr>
    </w:p>
    <w:p w14:paraId="257A34A7" w14:textId="77777777" w:rsidR="001D3E4E" w:rsidRPr="00C45E6C" w:rsidRDefault="001D3E4E" w:rsidP="003A5FEA">
      <w:pPr>
        <w:sectPr w:rsidR="001D3E4E" w:rsidRPr="00C45E6C" w:rsidSect="002950CD">
          <w:headerReference w:type="even" r:id="rId26"/>
          <w:headerReference w:type="default" r:id="rId27"/>
          <w:footerReference w:type="even" r:id="rId28"/>
          <w:footerReference w:type="default" r:id="rId29"/>
          <w:headerReference w:type="first" r:id="rId30"/>
          <w:pgSz w:w="11907" w:h="16840" w:code="9"/>
          <w:pgMar w:top="1418" w:right="1701" w:bottom="1418" w:left="1843" w:header="284" w:footer="425" w:gutter="284"/>
          <w:pgNumType w:fmt="lowerRoman"/>
          <w:cols w:space="720"/>
        </w:sectPr>
      </w:pPr>
    </w:p>
    <w:p w14:paraId="60F666BC" w14:textId="101CD17D" w:rsidR="009A2970" w:rsidRPr="00C45E6C" w:rsidRDefault="00E63C81" w:rsidP="009A2970">
      <w:pPr>
        <w:pStyle w:val="Heading1"/>
        <w:rPr>
          <w:color w:val="0AB58F"/>
        </w:rPr>
      </w:pPr>
      <w:bookmarkStart w:id="3" w:name="_Toc180138586"/>
      <w:r>
        <w:lastRenderedPageBreak/>
        <w:t>TE RERE O TE TOTO:</w:t>
      </w:r>
      <w:r>
        <w:br/>
      </w:r>
      <w:r w:rsidR="00177610" w:rsidRPr="2AEC9302">
        <w:rPr>
          <w:color w:val="0AB58F"/>
        </w:rPr>
        <w:t>UNDERSTANDING BLOOD CANCER MEDICINE AVAILABILITY IN AOTEAROA – SUMMARY REPORT</w:t>
      </w:r>
      <w:bookmarkEnd w:id="3"/>
    </w:p>
    <w:p w14:paraId="1867DBB0" w14:textId="77777777" w:rsidR="002F1E74" w:rsidRDefault="002F1E74" w:rsidP="00B65954">
      <w:pPr>
        <w:pStyle w:val="Heading2"/>
      </w:pPr>
      <w:bookmarkStart w:id="4" w:name="_Toc170721428"/>
      <w:bookmarkStart w:id="5" w:name="_Toc180138587"/>
      <w:r>
        <w:t>Cancer has a significant impact on the health of New Zealanders</w:t>
      </w:r>
      <w:bookmarkEnd w:id="4"/>
      <w:bookmarkEnd w:id="5"/>
    </w:p>
    <w:p w14:paraId="63639F6A" w14:textId="3A4D3ECE" w:rsidR="002F1E74" w:rsidRDefault="002F1E74" w:rsidP="00B65954">
      <w:r>
        <w:t xml:space="preserve">Cancer is the leading </w:t>
      </w:r>
      <w:r w:rsidRPr="00B831B9">
        <w:t>cause of death in Aotearoa</w:t>
      </w:r>
      <w:r>
        <w:t xml:space="preserve"> </w:t>
      </w:r>
      <w:r w:rsidRPr="00B831B9">
        <w:t xml:space="preserve">New Zealand and </w:t>
      </w:r>
      <w:r>
        <w:t xml:space="preserve">is </w:t>
      </w:r>
      <w:r w:rsidRPr="00B831B9">
        <w:t xml:space="preserve">a major contributor to </w:t>
      </w:r>
      <w:r>
        <w:t xml:space="preserve">loss of </w:t>
      </w:r>
      <w:r w:rsidRPr="00B831B9">
        <w:t xml:space="preserve">health. </w:t>
      </w:r>
      <w:r w:rsidR="00E101A6">
        <w:t>E</w:t>
      </w:r>
      <w:r w:rsidR="00E101A6" w:rsidRPr="00E101A6">
        <w:t>ach year</w:t>
      </w:r>
      <w:r w:rsidR="00E101A6">
        <w:t>,</w:t>
      </w:r>
      <w:r w:rsidR="00E101A6" w:rsidRPr="00E101A6">
        <w:t xml:space="preserve"> </w:t>
      </w:r>
      <w:r w:rsidR="00E101A6">
        <w:t>a</w:t>
      </w:r>
      <w:r w:rsidRPr="00B831B9">
        <w:t xml:space="preserve">pproximately 27,000 people are diagnosed with cancer </w:t>
      </w:r>
      <w:r>
        <w:t xml:space="preserve">and </w:t>
      </w:r>
      <w:r w:rsidRPr="00B831B9">
        <w:t>around 9,000 people</w:t>
      </w:r>
      <w:r>
        <w:t xml:space="preserve"> die of cancer in </w:t>
      </w:r>
      <w:r w:rsidR="00152DDE">
        <w:t>Aotearoa New Zealand</w:t>
      </w:r>
      <w:r>
        <w:t xml:space="preserve">. Ninety percent of those people diagnosed with cancer, or dying from cancer, have a solid tumour cancer. The remaining 10% have a blood cancer. The most diagnosed solid tumour cancers are breast, lung, </w:t>
      </w:r>
      <w:proofErr w:type="gramStart"/>
      <w:r>
        <w:t>prostate</w:t>
      </w:r>
      <w:proofErr w:type="gramEnd"/>
      <w:r>
        <w:t xml:space="preserve"> and colorectal cancers. The </w:t>
      </w:r>
      <w:proofErr w:type="gramStart"/>
      <w:r>
        <w:t>most commonly diagnosed</w:t>
      </w:r>
      <w:proofErr w:type="gramEnd"/>
      <w:r>
        <w:t xml:space="preserve"> blood cancers are non-Hodgkin</w:t>
      </w:r>
      <w:r w:rsidR="00146F7B">
        <w:t>’s</w:t>
      </w:r>
      <w:r>
        <w:t xml:space="preserve"> lymphoma, leukaemia, and myeloma.</w:t>
      </w:r>
    </w:p>
    <w:p w14:paraId="7FE79359" w14:textId="77777777" w:rsidR="002F1E74" w:rsidRPr="00B65954" w:rsidRDefault="002F1E74" w:rsidP="00B65954"/>
    <w:p w14:paraId="720CC879" w14:textId="03F0BE26" w:rsidR="002F1E74" w:rsidRDefault="002F1E74" w:rsidP="00B65954">
      <w:r>
        <w:t>Cancer does not impact everyone equally. The burden of cancer disproportionally affects Māori</w:t>
      </w:r>
      <w:r w:rsidR="00146F7B">
        <w:t>,</w:t>
      </w:r>
      <w:r>
        <w:t xml:space="preserve"> who are diagnosed at greater rates, often at younger ages, with more severe disease and have poorer survival outcomes. Other inequities are also evident</w:t>
      </w:r>
      <w:r w:rsidR="00146F7B">
        <w:t>,</w:t>
      </w:r>
      <w:r>
        <w:t xml:space="preserve"> with high rates of cancer incidence and death experienced by Pacific peoples, disabled </w:t>
      </w:r>
      <w:r w:rsidR="00146F7B">
        <w:t xml:space="preserve">people, and </w:t>
      </w:r>
      <w:r w:rsidR="00146F7B" w:rsidRPr="00146F7B">
        <w:t>New Zealanders living in areas of high deprivation</w:t>
      </w:r>
      <w:r>
        <w:t xml:space="preserve">. These inequities in cancer are unjust and unfair and are the result of many factors. </w:t>
      </w:r>
    </w:p>
    <w:p w14:paraId="6F73AFA2" w14:textId="77777777" w:rsidR="002F1E74" w:rsidRPr="00B65954" w:rsidRDefault="002F1E74" w:rsidP="00B65954"/>
    <w:p w14:paraId="4425C66C" w14:textId="02B93B6F" w:rsidR="002F1E74" w:rsidRDefault="002F1E74" w:rsidP="00B65954">
      <w:pPr>
        <w:rPr>
          <w:rFonts w:eastAsia="Fira Sans" w:cs="Fira Sans"/>
        </w:rPr>
      </w:pPr>
      <w:r w:rsidRPr="3095720A">
        <w:rPr>
          <w:rFonts w:eastAsia="Fira Sans" w:cs="Fira Sans"/>
        </w:rPr>
        <w:t xml:space="preserve">We know that timely access to cancer medicines is a central part of cancer treatment for many New Zealanders. We also know that the public funding of medicines, including cancer medicines, is complex due to the considerable number of medicines available, the increasing cost of medicines and limited budgets. Although these factors are not unique to our country, it is generally established that </w:t>
      </w:r>
      <w:r w:rsidR="00152DDE">
        <w:rPr>
          <w:rFonts w:eastAsia="Fira Sans" w:cs="Fira Sans"/>
        </w:rPr>
        <w:t>Aotearoa New Zealand</w:t>
      </w:r>
      <w:r w:rsidRPr="3095720A">
        <w:rPr>
          <w:rFonts w:eastAsia="Fira Sans" w:cs="Fira Sans"/>
        </w:rPr>
        <w:t xml:space="preserve"> has access to fewer cancer medicines than countries we like to compare ourselves to</w:t>
      </w:r>
      <w:r w:rsidR="00DB37F9">
        <w:rPr>
          <w:rFonts w:eastAsia="Fira Sans" w:cs="Fira Sans"/>
        </w:rPr>
        <w:t>,</w:t>
      </w:r>
      <w:r w:rsidRPr="3095720A">
        <w:rPr>
          <w:rFonts w:eastAsia="Fira Sans" w:cs="Fira Sans"/>
        </w:rPr>
        <w:t xml:space="preserve"> including Australia, the United Kingdom and Canada.</w:t>
      </w:r>
    </w:p>
    <w:p w14:paraId="63ED9862" w14:textId="77777777" w:rsidR="002F1E74" w:rsidRDefault="002F1E74" w:rsidP="00B65954">
      <w:pPr>
        <w:pStyle w:val="Heading2"/>
      </w:pPr>
      <w:bookmarkStart w:id="6" w:name="_Toc170721429"/>
      <w:bookmarkStart w:id="7" w:name="_Toc180138588"/>
      <w:r>
        <w:lastRenderedPageBreak/>
        <w:t>Cancer medicines are a critical part of cancer treatment</w:t>
      </w:r>
      <w:bookmarkEnd w:id="6"/>
      <w:bookmarkEnd w:id="7"/>
    </w:p>
    <w:p w14:paraId="2CFBC2A4" w14:textId="1631A6F3" w:rsidR="002F1E74" w:rsidRDefault="002F1E74" w:rsidP="00B65954">
      <w:pPr>
        <w:rPr>
          <w:rFonts w:eastAsia="Calibri" w:cs="Arial"/>
        </w:rPr>
      </w:pPr>
      <w:r w:rsidRPr="00802A79">
        <w:rPr>
          <w:rFonts w:eastAsia="Calibri" w:cs="Arial"/>
        </w:rPr>
        <w:t>Access to appropriate and effective cancer medicines is central to high-quality cancer care. Many people with cancer will have cancer medicines as part of their treatment plan. For those with blood cancer</w:t>
      </w:r>
      <w:r w:rsidRPr="007D2AF9">
        <w:rPr>
          <w:rFonts w:eastAsia="Calibri" w:cs="Arial"/>
        </w:rPr>
        <w:t>,</w:t>
      </w:r>
      <w:r w:rsidRPr="00802A79">
        <w:rPr>
          <w:rFonts w:eastAsia="Calibri" w:cs="Arial"/>
        </w:rPr>
        <w:t xml:space="preserve"> medicines are the </w:t>
      </w:r>
      <w:r w:rsidR="00DF5A02">
        <w:rPr>
          <w:rFonts w:eastAsia="Calibri" w:cs="Arial"/>
        </w:rPr>
        <w:t>primary</w:t>
      </w:r>
      <w:r w:rsidRPr="00802A79">
        <w:rPr>
          <w:rFonts w:eastAsia="Calibri" w:cs="Arial"/>
        </w:rPr>
        <w:t>, and often the only, treatment option. Some people with blood cancers may also be able to have a stem cell transplant, receive radiation therapy or need surgery. However, people with solid tumours are more likely to receive medicines in combination with surg</w:t>
      </w:r>
      <w:r w:rsidRPr="007D2AF9">
        <w:rPr>
          <w:rFonts w:eastAsia="Calibri" w:cs="Arial"/>
        </w:rPr>
        <w:t>ical interventions</w:t>
      </w:r>
      <w:r w:rsidRPr="00802A79">
        <w:rPr>
          <w:rFonts w:eastAsia="Calibri" w:cs="Arial"/>
        </w:rPr>
        <w:t xml:space="preserve"> and radiation therapy.</w:t>
      </w:r>
      <w:r>
        <w:rPr>
          <w:rFonts w:eastAsia="Calibri" w:cs="Arial"/>
        </w:rPr>
        <w:t xml:space="preserve"> </w:t>
      </w:r>
    </w:p>
    <w:p w14:paraId="5166DBA7" w14:textId="77777777" w:rsidR="002F1E74" w:rsidRPr="00B65954" w:rsidRDefault="002F1E74" w:rsidP="00B65954">
      <w:pPr>
        <w:rPr>
          <w:rFonts w:eastAsia="Calibri"/>
        </w:rPr>
      </w:pPr>
    </w:p>
    <w:p w14:paraId="720579D8" w14:textId="77777777" w:rsidR="002F1E74" w:rsidRDefault="002F1E74" w:rsidP="00B65954">
      <w:pPr>
        <w:rPr>
          <w:rFonts w:eastAsia="Calibri" w:cs="Arial"/>
        </w:rPr>
      </w:pPr>
      <w:r>
        <w:rPr>
          <w:rFonts w:eastAsia="Calibri" w:cs="Arial"/>
        </w:rPr>
        <w:t>Cancer medicines are commonly administered to a person as a series of infusions in a hospital setting, or orally as tablets/capsules that may be taken at home, in primary care or in a hospital setting. Medicines</w:t>
      </w:r>
      <w:r w:rsidRPr="002C4A63">
        <w:rPr>
          <w:rFonts w:eastAsia="Calibri" w:cs="Arial"/>
        </w:rPr>
        <w:t xml:space="preserve"> may be used with an aim of curing cancer</w:t>
      </w:r>
      <w:r>
        <w:rPr>
          <w:rFonts w:eastAsia="Calibri" w:cs="Arial"/>
        </w:rPr>
        <w:t xml:space="preserve">, prolonging survival, or improving quality of life. </w:t>
      </w:r>
    </w:p>
    <w:p w14:paraId="57204E0D" w14:textId="77777777" w:rsidR="002F1E74" w:rsidRDefault="002F1E74" w:rsidP="00B65954">
      <w:pPr>
        <w:pStyle w:val="Heading2"/>
      </w:pPr>
      <w:bookmarkStart w:id="8" w:name="_Toc170721430"/>
      <w:bookmarkStart w:id="9" w:name="_Toc180138589"/>
      <w:r>
        <w:t>Cancer medicine funding decisions are complex</w:t>
      </w:r>
      <w:bookmarkEnd w:id="8"/>
      <w:bookmarkEnd w:id="9"/>
    </w:p>
    <w:p w14:paraId="0D5F28DC" w14:textId="77777777" w:rsidR="002F1E74" w:rsidRDefault="002F1E74" w:rsidP="00B65954">
      <w:r>
        <w:t>All c</w:t>
      </w:r>
      <w:r w:rsidRPr="00E13B50">
        <w:t xml:space="preserve">ountries </w:t>
      </w:r>
      <w:r>
        <w:t xml:space="preserve">must </w:t>
      </w:r>
      <w:r w:rsidRPr="00E13B50">
        <w:t xml:space="preserve">assess the value of new </w:t>
      </w:r>
      <w:r w:rsidRPr="00E13B50" w:rsidDel="00C56C66">
        <w:t>medicines and</w:t>
      </w:r>
      <w:r w:rsidRPr="00E13B50">
        <w:t xml:space="preserve"> choose wh</w:t>
      </w:r>
      <w:r>
        <w:t>ich</w:t>
      </w:r>
      <w:r w:rsidRPr="00E13B50">
        <w:t xml:space="preserve"> medicines to fund</w:t>
      </w:r>
      <w:r>
        <w:t>. The way this is achieved</w:t>
      </w:r>
      <w:r w:rsidRPr="00E13B50">
        <w:t xml:space="preserve"> varies</w:t>
      </w:r>
      <w:r>
        <w:t xml:space="preserve"> between countries, but the assessment and decision-making process is always complex. There are benefits and drawbacks to all approaches. </w:t>
      </w:r>
    </w:p>
    <w:p w14:paraId="16AF3520" w14:textId="77777777" w:rsidR="002F1E74" w:rsidRPr="00B65954" w:rsidRDefault="002F1E74" w:rsidP="00B65954"/>
    <w:p w14:paraId="5A95BEC0" w14:textId="56AD5D88" w:rsidR="002F1E74" w:rsidRDefault="002F1E74" w:rsidP="00B65954">
      <w:r>
        <w:t xml:space="preserve">Decisions about which medicines are publicly funded in </w:t>
      </w:r>
      <w:r w:rsidR="00152DDE">
        <w:t>Aotearoa New Zealand</w:t>
      </w:r>
      <w:r>
        <w:t xml:space="preserve"> are made by Pharmac. Pharmac is an independent Crown </w:t>
      </w:r>
      <w:r w:rsidR="00DB37F9">
        <w:t>e</w:t>
      </w:r>
      <w:r>
        <w:t xml:space="preserve">ntity tasked with publicly funding medicines that secure the best health outcomes that can reasonably be achieved within the fixed pharmaceutical budget </w:t>
      </w:r>
      <w:r w:rsidR="00C24DA0">
        <w:t xml:space="preserve">it is </w:t>
      </w:r>
      <w:r>
        <w:t xml:space="preserve">allocated by the Government. </w:t>
      </w:r>
    </w:p>
    <w:p w14:paraId="3DC3B972" w14:textId="77777777" w:rsidR="002F1E74" w:rsidRPr="00B65954" w:rsidRDefault="002F1E74" w:rsidP="00B65954"/>
    <w:p w14:paraId="18AE2142" w14:textId="37A58888" w:rsidR="002F1E74" w:rsidRDefault="002F1E74" w:rsidP="00B65954">
      <w:r>
        <w:t xml:space="preserve">Budget constraints, combined with the high cost of many medicines, mean </w:t>
      </w:r>
      <w:r w:rsidR="00152DDE">
        <w:t>Aotearoa New Zealand</w:t>
      </w:r>
      <w:r>
        <w:t xml:space="preserve">, like other countries, cannot fund every medicine on the market. This requires prioritised decisions about the medicines that can be funded in </w:t>
      </w:r>
      <w:r w:rsidR="00152DDE">
        <w:t>Aotearoa New Zealand</w:t>
      </w:r>
      <w:r>
        <w:t>.</w:t>
      </w:r>
      <w:r w:rsidDel="00EE2EAF">
        <w:t xml:space="preserve"> </w:t>
      </w:r>
    </w:p>
    <w:p w14:paraId="6B3EA875" w14:textId="77777777" w:rsidR="002F1E74" w:rsidRPr="00B65954" w:rsidRDefault="002F1E74" w:rsidP="00B65954"/>
    <w:p w14:paraId="5DD17548" w14:textId="77777777" w:rsidR="002F1E74" w:rsidRDefault="002F1E74" w:rsidP="00B65954">
      <w:r>
        <w:t>Pharmac uses a framework called the Factors for Consideration to evaluate the benefit of a proposed new medicine and how this compares to other proposed new medicines. The Factors for Consideration include:</w:t>
      </w:r>
    </w:p>
    <w:p w14:paraId="478D30D5" w14:textId="77777777" w:rsidR="002F1E74" w:rsidRPr="00B65954" w:rsidRDefault="002F1E74" w:rsidP="00B65954">
      <w:pPr>
        <w:pStyle w:val="Bullet"/>
      </w:pPr>
      <w:r w:rsidRPr="00B65954">
        <w:t>the health need of the patient population</w:t>
      </w:r>
    </w:p>
    <w:p w14:paraId="0E9747E1" w14:textId="63E1DE19" w:rsidR="002F1E74" w:rsidRPr="00B65954" w:rsidRDefault="002F1E74" w:rsidP="00B65954">
      <w:pPr>
        <w:pStyle w:val="Bullet"/>
      </w:pPr>
      <w:r w:rsidRPr="00B65954">
        <w:t>the health/clinical benefits of the new medicine compared to what is already available</w:t>
      </w:r>
    </w:p>
    <w:p w14:paraId="5CAD36D0" w14:textId="0B8228B2" w:rsidR="002F1E74" w:rsidRPr="00B65954" w:rsidRDefault="002F1E74" w:rsidP="00B65954">
      <w:pPr>
        <w:pStyle w:val="Bullet"/>
      </w:pPr>
      <w:r w:rsidRPr="00B65954">
        <w:t>the cost implication of funding this new medicine, including potential savings</w:t>
      </w:r>
    </w:p>
    <w:p w14:paraId="7C1CAC9D" w14:textId="77777777" w:rsidR="002F1E74" w:rsidRPr="00B65954" w:rsidRDefault="002F1E74" w:rsidP="00B65954">
      <w:pPr>
        <w:pStyle w:val="Bullet"/>
      </w:pPr>
      <w:r w:rsidRPr="00B65954">
        <w:t xml:space="preserve">how suitable the new medicine is compared to what patients receive now. </w:t>
      </w:r>
    </w:p>
    <w:p w14:paraId="7317082E" w14:textId="77777777" w:rsidR="002F1E74" w:rsidRPr="00B65954" w:rsidRDefault="002F1E74" w:rsidP="00B65954"/>
    <w:p w14:paraId="55A1C45F" w14:textId="407EB38A" w:rsidR="002F1E74" w:rsidRDefault="002F1E74" w:rsidP="00150F8B">
      <w:pPr>
        <w:keepNext/>
      </w:pPr>
      <w:r>
        <w:lastRenderedPageBreak/>
        <w:t xml:space="preserve">Using the Factors for Consideration, Pharmac creates a list of medicines in priority order </w:t>
      </w:r>
      <w:r w:rsidRPr="00B65954">
        <w:t>that</w:t>
      </w:r>
      <w:r>
        <w:t xml:space="preserve"> </w:t>
      </w:r>
      <w:r w:rsidR="009E4289">
        <w:t xml:space="preserve">it </w:t>
      </w:r>
      <w:r>
        <w:t>would fund if/when budget is available. This is the Options for Investment</w:t>
      </w:r>
      <w:r w:rsidR="000A7F8F">
        <w:t xml:space="preserve"> (OFI)</w:t>
      </w:r>
      <w:r>
        <w:t xml:space="preserve"> list. Additional budget to fund new medicines primarily arises due to:</w:t>
      </w:r>
    </w:p>
    <w:p w14:paraId="39F74D80" w14:textId="6A23534B" w:rsidR="002F1E74" w:rsidRDefault="002F1E74" w:rsidP="00150F8B">
      <w:pPr>
        <w:pStyle w:val="Bullet"/>
        <w:keepNext/>
      </w:pPr>
      <w:r>
        <w:t>savings Pharmac achieves in payment for medicines it already funds</w:t>
      </w:r>
    </w:p>
    <w:p w14:paraId="5F64EAEF" w14:textId="77777777" w:rsidR="002F1E74" w:rsidRDefault="002F1E74" w:rsidP="00B65954">
      <w:pPr>
        <w:pStyle w:val="Bullet"/>
      </w:pPr>
      <w:r>
        <w:t xml:space="preserve">additional budget provided by the Government. </w:t>
      </w:r>
    </w:p>
    <w:p w14:paraId="3D95BEF2" w14:textId="77777777" w:rsidR="002F1E74" w:rsidRPr="00B65954" w:rsidRDefault="002F1E74" w:rsidP="00B65954"/>
    <w:p w14:paraId="34CB27E0" w14:textId="7CE95156" w:rsidR="002F1E74" w:rsidRDefault="002F1E74" w:rsidP="00B65954">
      <w:r w:rsidRPr="00A462A5">
        <w:t xml:space="preserve">As of </w:t>
      </w:r>
      <w:r w:rsidR="00DF5A02">
        <w:t>October</w:t>
      </w:r>
      <w:r w:rsidRPr="00A462A5">
        <w:t xml:space="preserve"> 2024, there are </w:t>
      </w:r>
      <w:r w:rsidR="00604E2B">
        <w:t>132</w:t>
      </w:r>
      <w:r w:rsidRPr="00A462A5">
        <w:t xml:space="preserve"> medicines on the OFI </w:t>
      </w:r>
      <w:r w:rsidR="0071600B">
        <w:t xml:space="preserve">list </w:t>
      </w:r>
      <w:r w:rsidRPr="00A462A5">
        <w:t xml:space="preserve">that Pharmac would fund if </w:t>
      </w:r>
      <w:r w:rsidR="00D9551A">
        <w:t xml:space="preserve">it </w:t>
      </w:r>
      <w:r w:rsidRPr="00A462A5">
        <w:t xml:space="preserve">had available budget. </w:t>
      </w:r>
      <w:r w:rsidR="00DB48A0">
        <w:t>Fifty</w:t>
      </w:r>
      <w:r w:rsidR="00DB48A0" w:rsidRPr="00A462A5">
        <w:t xml:space="preserve"> </w:t>
      </w:r>
      <w:r w:rsidRPr="00A462A5">
        <w:t xml:space="preserve">are for the treatment of cancer generally, with </w:t>
      </w:r>
      <w:r w:rsidR="00721E24">
        <w:t>14</w:t>
      </w:r>
      <w:r w:rsidRPr="00A462A5">
        <w:t xml:space="preserve"> specifically for blood cancers.</w:t>
      </w:r>
      <w:r>
        <w:t xml:space="preserve"> </w:t>
      </w:r>
    </w:p>
    <w:p w14:paraId="70C58DAB" w14:textId="649B8579" w:rsidR="002F1E74" w:rsidRPr="00427BFF" w:rsidRDefault="002F1E74" w:rsidP="00B65954">
      <w:pPr>
        <w:pStyle w:val="Heading2"/>
        <w:rPr>
          <w:rStyle w:val="Heading2Char"/>
          <w:b/>
        </w:rPr>
      </w:pPr>
      <w:bookmarkStart w:id="10" w:name="_Toc170721431"/>
      <w:bookmarkStart w:id="11" w:name="_Toc180138590"/>
      <w:r w:rsidRPr="00427BFF">
        <w:rPr>
          <w:rStyle w:val="Heading2Char"/>
          <w:b/>
        </w:rPr>
        <w:t xml:space="preserve">Why </w:t>
      </w:r>
      <w:r>
        <w:rPr>
          <w:rStyle w:val="Heading2Char"/>
          <w:b/>
        </w:rPr>
        <w:t>compare which</w:t>
      </w:r>
      <w:r w:rsidRPr="00427BFF">
        <w:rPr>
          <w:rStyle w:val="Heading2Char"/>
          <w:b/>
        </w:rPr>
        <w:t xml:space="preserve"> blood cancer medicines are funded </w:t>
      </w:r>
      <w:r>
        <w:rPr>
          <w:rStyle w:val="Heading2Char"/>
          <w:b/>
        </w:rPr>
        <w:t xml:space="preserve">in Australia and </w:t>
      </w:r>
      <w:r w:rsidR="00152DDE">
        <w:t>Aotearoa New Zealand</w:t>
      </w:r>
      <w:r w:rsidRPr="00427BFF">
        <w:rPr>
          <w:rStyle w:val="Heading2Char"/>
          <w:b/>
        </w:rPr>
        <w:t>?</w:t>
      </w:r>
      <w:bookmarkEnd w:id="10"/>
      <w:bookmarkEnd w:id="11"/>
      <w:r w:rsidRPr="00427BFF">
        <w:rPr>
          <w:rStyle w:val="Heading2Char"/>
          <w:b/>
        </w:rPr>
        <w:t xml:space="preserve"> </w:t>
      </w:r>
    </w:p>
    <w:p w14:paraId="52BD6B8F" w14:textId="424B2055" w:rsidR="002F1E74" w:rsidRDefault="00150F8B" w:rsidP="00B65954">
      <w:r>
        <w:t>I</w:t>
      </w:r>
      <w:r w:rsidR="002F1E74">
        <w:t xml:space="preserve">t is generally established that </w:t>
      </w:r>
      <w:r w:rsidR="00152DDE">
        <w:t>Aotearoa New Zealand</w:t>
      </w:r>
      <w:r w:rsidR="002F1E74">
        <w:t xml:space="preserve"> has access to fewer cancer medicines than countries we like to compare ourselves to</w:t>
      </w:r>
      <w:r w:rsidR="009E4289">
        <w:t>,</w:t>
      </w:r>
      <w:r w:rsidR="002F1E74">
        <w:t xml:space="preserve"> including Australia, the United Kingdom and Canada. </w:t>
      </w:r>
    </w:p>
    <w:p w14:paraId="47D42A89" w14:textId="77777777" w:rsidR="002F1E74" w:rsidRPr="00B65954" w:rsidRDefault="002F1E74" w:rsidP="00B65954"/>
    <w:p w14:paraId="31709E97" w14:textId="74B09B1E" w:rsidR="002F1E74" w:rsidRDefault="002F1E74" w:rsidP="00B65954">
      <w:r>
        <w:t xml:space="preserve">In 2022 Te Aho o Te Kahu published </w:t>
      </w:r>
      <w:r w:rsidRPr="00150F8B">
        <w:rPr>
          <w:i/>
          <w:iCs/>
        </w:rPr>
        <w:t xml:space="preserve">Mārama ana ki </w:t>
      </w:r>
      <w:proofErr w:type="spellStart"/>
      <w:r w:rsidRPr="00150F8B">
        <w:rPr>
          <w:i/>
          <w:iCs/>
        </w:rPr>
        <w:t>te</w:t>
      </w:r>
      <w:proofErr w:type="spellEnd"/>
      <w:r w:rsidRPr="00150F8B">
        <w:rPr>
          <w:i/>
          <w:iCs/>
        </w:rPr>
        <w:t xml:space="preserve"> Āputa: he tātari </w:t>
      </w:r>
      <w:proofErr w:type="spellStart"/>
      <w:r w:rsidRPr="00150F8B">
        <w:rPr>
          <w:i/>
          <w:iCs/>
        </w:rPr>
        <w:t>i</w:t>
      </w:r>
      <w:proofErr w:type="spellEnd"/>
      <w:r w:rsidRPr="00150F8B">
        <w:rPr>
          <w:i/>
          <w:iCs/>
        </w:rPr>
        <w:t xml:space="preserve"> </w:t>
      </w:r>
      <w:proofErr w:type="spellStart"/>
      <w:r w:rsidRPr="00150F8B">
        <w:rPr>
          <w:i/>
          <w:iCs/>
        </w:rPr>
        <w:t>te</w:t>
      </w:r>
      <w:proofErr w:type="spellEnd"/>
      <w:r w:rsidRPr="00150F8B">
        <w:rPr>
          <w:i/>
          <w:iCs/>
        </w:rPr>
        <w:t xml:space="preserve"> wāteatanga o </w:t>
      </w:r>
      <w:proofErr w:type="spellStart"/>
      <w:r w:rsidRPr="00150F8B">
        <w:rPr>
          <w:i/>
          <w:iCs/>
        </w:rPr>
        <w:t>ngā</w:t>
      </w:r>
      <w:proofErr w:type="spellEnd"/>
      <w:r w:rsidRPr="00150F8B">
        <w:rPr>
          <w:i/>
          <w:iCs/>
        </w:rPr>
        <w:t xml:space="preserve"> rongoā mate </w:t>
      </w:r>
      <w:proofErr w:type="spellStart"/>
      <w:r w:rsidRPr="00150F8B">
        <w:rPr>
          <w:i/>
          <w:iCs/>
        </w:rPr>
        <w:t>pukupuku</w:t>
      </w:r>
      <w:proofErr w:type="spellEnd"/>
      <w:r w:rsidRPr="00150F8B">
        <w:rPr>
          <w:i/>
          <w:iCs/>
        </w:rPr>
        <w:t xml:space="preserve"> </w:t>
      </w:r>
      <w:proofErr w:type="spellStart"/>
      <w:r w:rsidRPr="00150F8B">
        <w:rPr>
          <w:i/>
          <w:iCs/>
        </w:rPr>
        <w:t>i</w:t>
      </w:r>
      <w:proofErr w:type="spellEnd"/>
      <w:r w:rsidRPr="00150F8B">
        <w:rPr>
          <w:i/>
          <w:iCs/>
        </w:rPr>
        <w:t xml:space="preserve"> Aotearoa | Understanding the Gap: an analysis of the availability of cancer medicines in Aotearoa </w:t>
      </w:r>
      <w:r w:rsidRPr="00150F8B">
        <w:t>(</w:t>
      </w:r>
      <w:r>
        <w:t xml:space="preserve">the 2022 </w:t>
      </w:r>
      <w:r w:rsidR="004C72E0">
        <w:t>r</w:t>
      </w:r>
      <w:r>
        <w:t>eport)</w:t>
      </w:r>
      <w:r w:rsidR="00EB68AF">
        <w:t>,</w:t>
      </w:r>
      <w:r w:rsidR="005B0107">
        <w:rPr>
          <w:rStyle w:val="FootnoteReference"/>
        </w:rPr>
        <w:footnoteReference w:id="2"/>
      </w:r>
      <w:r>
        <w:t xml:space="preserve"> </w:t>
      </w:r>
      <w:r w:rsidR="00EB68AF">
        <w:t xml:space="preserve">which </w:t>
      </w:r>
      <w:r>
        <w:t xml:space="preserve">confirmed that more cancer medicines were publicly funded in Australia than in </w:t>
      </w:r>
      <w:r w:rsidR="00152DDE">
        <w:t>Aotearoa New Zealand</w:t>
      </w:r>
      <w:r>
        <w:t xml:space="preserve"> (medicine </w:t>
      </w:r>
      <w:r w:rsidR="00044206">
        <w:t>‘</w:t>
      </w:r>
      <w:r>
        <w:t>gap</w:t>
      </w:r>
      <w:r w:rsidR="000F5095">
        <w:t>s</w:t>
      </w:r>
      <w:r w:rsidR="00044206">
        <w:t>’</w:t>
      </w:r>
      <w:r>
        <w:t>)</w:t>
      </w:r>
      <w:r w:rsidR="001D5C26">
        <w:t>,</w:t>
      </w:r>
      <w:r>
        <w:t xml:space="preserve"> and some of the gaps were associated with substantial clinical benefit.</w:t>
      </w:r>
      <w:r w:rsidRPr="001E16E4">
        <w:t xml:space="preserve"> </w:t>
      </w:r>
      <w:r>
        <w:t xml:space="preserve">The 2022 </w:t>
      </w:r>
      <w:r w:rsidR="004C72E0">
        <w:t>r</w:t>
      </w:r>
      <w:r>
        <w:t xml:space="preserve">eport was designed to improve understanding of the difference in availability of publicly funded cancer medicines between Australia and </w:t>
      </w:r>
      <w:r w:rsidR="00152DDE">
        <w:t>Aotearoa New Zealand</w:t>
      </w:r>
      <w:r>
        <w:t xml:space="preserve"> and the clinical benefit those medicines would provide if they were available in </w:t>
      </w:r>
      <w:r w:rsidR="00152DDE">
        <w:t>Aotearoa New Zealand</w:t>
      </w:r>
      <w:r>
        <w:t xml:space="preserve">. </w:t>
      </w:r>
    </w:p>
    <w:p w14:paraId="4880D202" w14:textId="751F3E65" w:rsidR="002F1E74" w:rsidRPr="00427BFF" w:rsidRDefault="002F1E74" w:rsidP="00B65954">
      <w:pPr>
        <w:pStyle w:val="Heading2"/>
        <w:rPr>
          <w:rStyle w:val="Heading2Char"/>
          <w:b/>
        </w:rPr>
      </w:pPr>
      <w:bookmarkStart w:id="12" w:name="_Toc170721432"/>
      <w:bookmarkStart w:id="13" w:name="_Toc180138591"/>
      <w:r>
        <w:rPr>
          <w:rStyle w:val="Heading2Char"/>
          <w:b/>
        </w:rPr>
        <w:t>T</w:t>
      </w:r>
      <w:r w:rsidRPr="00427BFF">
        <w:rPr>
          <w:rStyle w:val="Heading2Char"/>
          <w:b/>
        </w:rPr>
        <w:t xml:space="preserve">he </w:t>
      </w:r>
      <w:r>
        <w:rPr>
          <w:rStyle w:val="Heading2Char"/>
          <w:b/>
        </w:rPr>
        <w:t xml:space="preserve">findings </w:t>
      </w:r>
      <w:r w:rsidRPr="00427BFF">
        <w:rPr>
          <w:rStyle w:val="Heading2Char"/>
          <w:b/>
        </w:rPr>
        <w:t xml:space="preserve">of the 2022 </w:t>
      </w:r>
      <w:r w:rsidR="004C72E0">
        <w:rPr>
          <w:rStyle w:val="Heading2Char"/>
          <w:b/>
        </w:rPr>
        <w:t>r</w:t>
      </w:r>
      <w:r>
        <w:rPr>
          <w:rStyle w:val="Heading2Char"/>
          <w:b/>
        </w:rPr>
        <w:t>eport</w:t>
      </w:r>
      <w:bookmarkEnd w:id="12"/>
      <w:bookmarkEnd w:id="13"/>
    </w:p>
    <w:p w14:paraId="110577B0" w14:textId="1F1C550C" w:rsidR="002F1E74" w:rsidRDefault="002F1E74" w:rsidP="00B65954">
      <w:r>
        <w:t xml:space="preserve">The 2022 </w:t>
      </w:r>
      <w:r w:rsidR="004C72E0">
        <w:t>r</w:t>
      </w:r>
      <w:r>
        <w:t xml:space="preserve">eport found that there were 72 individual cancer medicines available in Australia but not in </w:t>
      </w:r>
      <w:r w:rsidR="00152DDE">
        <w:t>Aotearoa New Zealand</w:t>
      </w:r>
      <w:r>
        <w:t>.</w:t>
      </w:r>
      <w:r w:rsidR="008854DF">
        <w:rPr>
          <w:rStyle w:val="FootnoteReference"/>
        </w:rPr>
        <w:footnoteReference w:id="3"/>
      </w:r>
      <w:r>
        <w:t xml:space="preserve"> This included medicines that were available in </w:t>
      </w:r>
      <w:r w:rsidR="00152DDE">
        <w:t>Aotearoa New Zealand</w:t>
      </w:r>
      <w:r>
        <w:t xml:space="preserve"> but for the treatment of a different cancer than it is used for in Australia. </w:t>
      </w:r>
      <w:r w:rsidR="00017500">
        <w:t xml:space="preserve">The </w:t>
      </w:r>
      <w:r>
        <w:t xml:space="preserve">72 individual medicines translated to 126 different treatment uses, called indications, 98 of which were for solid tumour cancers and 28 for blood cancers. This decreased to 88 regimens for solid tumour cancers and 26 for blood cancers when medicines used in combination were </w:t>
      </w:r>
      <w:proofErr w:type="gramStart"/>
      <w:r>
        <w:t>taken into account</w:t>
      </w:r>
      <w:proofErr w:type="gramEnd"/>
      <w:r>
        <w:t xml:space="preserve"> (that is</w:t>
      </w:r>
      <w:r w:rsidR="00017500">
        <w:t>,</w:t>
      </w:r>
      <w:r>
        <w:t xml:space="preserve"> when two or more medicines are used at the same time as part of one treatment). </w:t>
      </w:r>
    </w:p>
    <w:p w14:paraId="19CD5010" w14:textId="77777777" w:rsidR="002F1E74" w:rsidRPr="00B65954" w:rsidRDefault="002F1E74" w:rsidP="00B65954"/>
    <w:p w14:paraId="74854755" w14:textId="3622B534" w:rsidR="002F1E74" w:rsidRDefault="002F1E74" w:rsidP="00B65954">
      <w:r>
        <w:t xml:space="preserve">The 2022 </w:t>
      </w:r>
      <w:r w:rsidR="004C72E0">
        <w:t>r</w:t>
      </w:r>
      <w:r>
        <w:t xml:space="preserve">eport also assessed the clinical benefit the medicine gaps would provide if they were funded in </w:t>
      </w:r>
      <w:r w:rsidR="00152DDE">
        <w:t>Aotearoa New Zealand</w:t>
      </w:r>
      <w:r>
        <w:t>. This was</w:t>
      </w:r>
      <w:r w:rsidDel="006B0DFD">
        <w:t xml:space="preserve"> </w:t>
      </w:r>
      <w:r>
        <w:t xml:space="preserve">achieved using a validated tool developed by the European Society </w:t>
      </w:r>
      <w:r w:rsidR="005B0E6A">
        <w:t xml:space="preserve">for </w:t>
      </w:r>
      <w:r>
        <w:t xml:space="preserve">Medical Oncology (ESMO) called the </w:t>
      </w:r>
      <w:r w:rsidRPr="00150F8B">
        <w:t xml:space="preserve">Magnitude </w:t>
      </w:r>
      <w:r w:rsidRPr="00150F8B">
        <w:lastRenderedPageBreak/>
        <w:t>of Clinical Benefit Scale (ESMO-MCBS)</w:t>
      </w:r>
      <w:r>
        <w:t>.</w:t>
      </w:r>
      <w:r w:rsidR="006837B4">
        <w:rPr>
          <w:rStyle w:val="FootnoteReference"/>
        </w:rPr>
        <w:footnoteReference w:id="4"/>
      </w:r>
      <w:r>
        <w:t xml:space="preserve"> At the time the</w:t>
      </w:r>
      <w:r w:rsidDel="007D4AAD">
        <w:t xml:space="preserve"> </w:t>
      </w:r>
      <w:r>
        <w:t xml:space="preserve">analysis was conducted the tool was only available to assess the clinical benefit of solid tumour cancer medicines. </w:t>
      </w:r>
    </w:p>
    <w:p w14:paraId="380E79B2" w14:textId="77777777" w:rsidR="002F1E74" w:rsidRPr="00B65954" w:rsidRDefault="002F1E74" w:rsidP="00B65954"/>
    <w:p w14:paraId="1E5F7835" w14:textId="6EB49CEA" w:rsidR="002F1E74" w:rsidRDefault="002F1E74" w:rsidP="00B65954">
      <w:r>
        <w:t>Three of the identified gaps were likely to be associated with substantial clinical benefit in a curative clinical setting</w:t>
      </w:r>
      <w:r w:rsidR="00B901B4">
        <w:t>,</w:t>
      </w:r>
      <w:r>
        <w:t xml:space="preserve"> and 17 additional gaps were likely to be associated with substantial clinical benefit in a non-curative setting. Since the publication of </w:t>
      </w:r>
      <w:r w:rsidR="006D155F">
        <w:t xml:space="preserve">the 2022 </w:t>
      </w:r>
      <w:r>
        <w:t>report</w:t>
      </w:r>
      <w:r w:rsidR="00640A21">
        <w:t xml:space="preserve"> and </w:t>
      </w:r>
      <w:r w:rsidR="00DD3D72">
        <w:t>the 1 January 2024</w:t>
      </w:r>
      <w:r>
        <w:t xml:space="preserve">, five of the identified 20 have been funded by Pharmac and are publicly available in </w:t>
      </w:r>
      <w:r w:rsidR="00152DDE">
        <w:t>Aotearoa New Zealand</w:t>
      </w:r>
      <w:r>
        <w:t xml:space="preserve">. </w:t>
      </w:r>
    </w:p>
    <w:p w14:paraId="4CBCA433" w14:textId="427A7062" w:rsidR="002F1E74" w:rsidRPr="00B65954" w:rsidRDefault="002F1E74" w:rsidP="00B65954">
      <w:pPr>
        <w:pStyle w:val="Heading2"/>
      </w:pPr>
      <w:bookmarkStart w:id="14" w:name="_Toc170721433"/>
      <w:bookmarkStart w:id="15" w:name="_Toc180138592"/>
      <w:r w:rsidRPr="00B65954">
        <w:t xml:space="preserve">How the 2024 </w:t>
      </w:r>
      <w:r w:rsidR="004C72E0">
        <w:t>r</w:t>
      </w:r>
      <w:r w:rsidRPr="00B65954">
        <w:t xml:space="preserve">eport differs to the 2022 </w:t>
      </w:r>
      <w:r w:rsidR="004C72E0">
        <w:t>r</w:t>
      </w:r>
      <w:r w:rsidRPr="00B65954">
        <w:t>eport</w:t>
      </w:r>
      <w:bookmarkEnd w:id="14"/>
      <w:bookmarkEnd w:id="15"/>
    </w:p>
    <w:p w14:paraId="7BF405C6" w14:textId="2CFD07FF" w:rsidR="002F1E74" w:rsidRDefault="002F1E74" w:rsidP="00B65954">
      <w:r>
        <w:t xml:space="preserve">The 2022 </w:t>
      </w:r>
      <w:r w:rsidR="004C72E0">
        <w:t>r</w:t>
      </w:r>
      <w:r>
        <w:t xml:space="preserve">eport did not comment on the magnitude of clinical benefit for blood cancer medicines that were available in Australia but not in </w:t>
      </w:r>
      <w:r w:rsidR="00152DDE">
        <w:t>Aotearoa New Zealand</w:t>
      </w:r>
      <w:r>
        <w:t xml:space="preserve">. This was because the ESMO-MCBS was not validated for blood cancers at that time. </w:t>
      </w:r>
    </w:p>
    <w:p w14:paraId="5B8E878C" w14:textId="77777777" w:rsidR="002F1E74" w:rsidRPr="00B65954" w:rsidRDefault="002F1E74" w:rsidP="00B65954"/>
    <w:p w14:paraId="05F2E133" w14:textId="037F8399" w:rsidR="002F1E74" w:rsidRDefault="002F1E74" w:rsidP="00B65954">
      <w:r>
        <w:t xml:space="preserve">In 2023, ESMO released a new version of the ESMO-MCBS called </w:t>
      </w:r>
      <w:r w:rsidRPr="002C0839">
        <w:t xml:space="preserve">the </w:t>
      </w:r>
      <w:r w:rsidRPr="00150F8B">
        <w:t>ESMO-MCBS:H</w:t>
      </w:r>
      <w:r w:rsidRPr="002C0839">
        <w:t xml:space="preserve"> </w:t>
      </w:r>
      <w:r>
        <w:t>(</w:t>
      </w:r>
      <w:r w:rsidR="002C0839">
        <w:t>‘</w:t>
      </w:r>
      <w:r>
        <w:t>H</w:t>
      </w:r>
      <w:r w:rsidR="002C0839">
        <w:t>’ </w:t>
      </w:r>
      <w:r>
        <w:t>for haematological or blood cancers)</w:t>
      </w:r>
      <w:r w:rsidR="00132A50">
        <w:t>,</w:t>
      </w:r>
      <w:r>
        <w:t xml:space="preserve"> </w:t>
      </w:r>
      <w:r w:rsidR="00132A50">
        <w:t xml:space="preserve">which </w:t>
      </w:r>
      <w:r>
        <w:t xml:space="preserve">can be used to assess the clinical value of blood cancer medicines. This version of the tool allowed Te Aho o Te Kahu to determine the magnitude of clinical benefit for blood cancer medicines and complete the picture of medicine availability differences between Australia and </w:t>
      </w:r>
      <w:r w:rsidR="00152DDE">
        <w:t>Aotearoa New Zealand</w:t>
      </w:r>
      <w:r>
        <w:t>.</w:t>
      </w:r>
    </w:p>
    <w:p w14:paraId="51B6251D" w14:textId="77777777" w:rsidR="002F1E74" w:rsidRPr="00B65954" w:rsidRDefault="002F1E74" w:rsidP="00B65954"/>
    <w:p w14:paraId="53BA9D3B" w14:textId="10F62B94" w:rsidR="002F1E74" w:rsidRDefault="002F1E74" w:rsidP="00B65954">
      <w:r>
        <w:t xml:space="preserve">While a very similar methodology was used for both the 2022 and 2024 reports, it should be noted that the calculation of magnitude of clinical benefit scores did differ for some medicines in each analysis. The magnitude of clinical benefit analysis in the 2022 </w:t>
      </w:r>
      <w:r w:rsidR="004C72E0">
        <w:t>r</w:t>
      </w:r>
      <w:r>
        <w:t>eport was largely based upon ESMO-MCBS scores published by ESMO for specific solid tumour medicines. For some medicines, these published scores were not available. At the time of the 2024 report, published ESMO</w:t>
      </w:r>
      <w:r w:rsidR="00A11832">
        <w:t>-</w:t>
      </w:r>
      <w:r w:rsidR="00A11832" w:rsidRPr="00A11832">
        <w:t>MCBS</w:t>
      </w:r>
      <w:r w:rsidR="00A11832">
        <w:t>:H</w:t>
      </w:r>
      <w:r>
        <w:t xml:space="preserve"> scores for blood cancer medicine gaps were not available. For those medicines, the project team used the ESMO-MCBS:H to manually determine the clinical benefit scores. </w:t>
      </w:r>
    </w:p>
    <w:p w14:paraId="392EB627" w14:textId="77777777" w:rsidR="002F1E74" w:rsidRPr="00B65954" w:rsidRDefault="002F1E74" w:rsidP="00B65954"/>
    <w:p w14:paraId="500EC837" w14:textId="3C32FCA8" w:rsidR="002F1E74" w:rsidRPr="00E379DB" w:rsidRDefault="002F1E74" w:rsidP="00B65954">
      <w:r>
        <w:t xml:space="preserve">This 2024 </w:t>
      </w:r>
      <w:r w:rsidR="004C72E0">
        <w:t>r</w:t>
      </w:r>
      <w:r>
        <w:t xml:space="preserve">eport re-evaluates the difference in blood cancer medicine availability between </w:t>
      </w:r>
      <w:r w:rsidR="00152DDE">
        <w:t>Aotearoa New Zealand</w:t>
      </w:r>
      <w:r>
        <w:t xml:space="preserve"> and Australia and assess</w:t>
      </w:r>
      <w:r w:rsidR="00A11832">
        <w:t>es</w:t>
      </w:r>
      <w:r>
        <w:t xml:space="preserve"> the magnitude of clinical benefit for all identified medicine gaps using the recently released ESMO-MCBS:H. Re-evaluation of medicine availability and clinical benefit for solid tumour medicines was not within </w:t>
      </w:r>
      <w:r w:rsidR="00465C80">
        <w:t xml:space="preserve">the </w:t>
      </w:r>
      <w:r>
        <w:t xml:space="preserve">scope of this complementary report. </w:t>
      </w:r>
    </w:p>
    <w:p w14:paraId="6223BBD9" w14:textId="1A8D3689" w:rsidR="002F1E74" w:rsidRPr="00B65954" w:rsidRDefault="002F1E74" w:rsidP="00150F8B">
      <w:pPr>
        <w:pStyle w:val="Heading2"/>
        <w:tabs>
          <w:tab w:val="right" w:pos="8079"/>
        </w:tabs>
      </w:pPr>
      <w:bookmarkStart w:id="16" w:name="_Toc170721434"/>
      <w:bookmarkStart w:id="17" w:name="_Toc180138593"/>
      <w:r w:rsidRPr="00B65954">
        <w:t xml:space="preserve">What did the 2024 </w:t>
      </w:r>
      <w:r w:rsidR="004C72E0">
        <w:t>r</w:t>
      </w:r>
      <w:r w:rsidRPr="00B65954">
        <w:t>eport involve?</w:t>
      </w:r>
      <w:bookmarkEnd w:id="16"/>
      <w:bookmarkEnd w:id="17"/>
      <w:r w:rsidRPr="00B65954">
        <w:t xml:space="preserve"> </w:t>
      </w:r>
      <w:r w:rsidR="00150F8B">
        <w:tab/>
      </w:r>
    </w:p>
    <w:p w14:paraId="0FEA53D2" w14:textId="77777777" w:rsidR="002F1E74" w:rsidRDefault="002F1E74" w:rsidP="00150F8B">
      <w:pPr>
        <w:keepNext/>
      </w:pPr>
      <w:r>
        <w:t>This project had two key parts:</w:t>
      </w:r>
    </w:p>
    <w:p w14:paraId="2B9E468E" w14:textId="518DBD8F" w:rsidR="002F1E74" w:rsidRDefault="002F1E74" w:rsidP="00150F8B">
      <w:pPr>
        <w:pStyle w:val="Bullet"/>
        <w:keepNext/>
      </w:pPr>
      <w:r>
        <w:t xml:space="preserve">Part 1: Determining the current difference in blood cancer medicine availability between Australia and </w:t>
      </w:r>
      <w:r w:rsidR="00152DDE">
        <w:t>Aotearoa New Zealand</w:t>
      </w:r>
      <w:r>
        <w:t xml:space="preserve"> </w:t>
      </w:r>
    </w:p>
    <w:p w14:paraId="72056FF4" w14:textId="4CA593AD" w:rsidR="002F1E74" w:rsidRDefault="002F1E74" w:rsidP="00B65954">
      <w:pPr>
        <w:pStyle w:val="Bullet"/>
      </w:pPr>
      <w:r>
        <w:t>Part 2: Assessing the magnitude of clinical benefit for blood cancer medicine</w:t>
      </w:r>
      <w:r w:rsidR="00862437">
        <w:t xml:space="preserve"> </w:t>
      </w:r>
      <w:r>
        <w:t xml:space="preserve">available in Australia but not in </w:t>
      </w:r>
      <w:r w:rsidR="00152DDE">
        <w:t>Aotearoa New Zealand</w:t>
      </w:r>
      <w:r>
        <w:t xml:space="preserve">. </w:t>
      </w:r>
    </w:p>
    <w:p w14:paraId="55A4D096" w14:textId="77777777" w:rsidR="002F1E74" w:rsidRPr="00B65954" w:rsidRDefault="002F1E74" w:rsidP="00B65954"/>
    <w:p w14:paraId="2EE2E887" w14:textId="525600BB" w:rsidR="002F1E74" w:rsidRDefault="002F1E74" w:rsidP="00B65954">
      <w:r>
        <w:lastRenderedPageBreak/>
        <w:t xml:space="preserve">A primary project team was convened consisting of a pharmacist, a health economist, and haematologists. The general methodology was the same as </w:t>
      </w:r>
      <w:r w:rsidR="002168C0">
        <w:t xml:space="preserve">that used for </w:t>
      </w:r>
      <w:r>
        <w:t xml:space="preserve">the 2022 </w:t>
      </w:r>
      <w:r w:rsidR="004C72E0">
        <w:t>r</w:t>
      </w:r>
      <w:r>
        <w:t xml:space="preserve">eport. Each part is explained in more detail below. </w:t>
      </w:r>
    </w:p>
    <w:p w14:paraId="51FF5B4F" w14:textId="77777777" w:rsidR="002F1E74" w:rsidRPr="00B65954" w:rsidRDefault="002F1E74" w:rsidP="00B65954">
      <w:pPr>
        <w:pStyle w:val="Heading3"/>
      </w:pPr>
      <w:r w:rsidRPr="00B65954">
        <w:t xml:space="preserve">Part one: Determining differences in medicine availability </w:t>
      </w:r>
    </w:p>
    <w:p w14:paraId="4C5EBE7D" w14:textId="3509C41E" w:rsidR="002F1E74" w:rsidRDefault="002F1E74" w:rsidP="00856388">
      <w:r>
        <w:t xml:space="preserve">In this report, we compared the list of medicines for the treatment of blood cancers that are publicly funded in Australia with those that are publicly funded in </w:t>
      </w:r>
      <w:r w:rsidR="00152DDE">
        <w:t>Aotearoa New Zealand</w:t>
      </w:r>
      <w:r>
        <w:t xml:space="preserve">. From this comparison we were able to determine which blood cancer medicines are available in: </w:t>
      </w:r>
    </w:p>
    <w:p w14:paraId="69BEA49D" w14:textId="16D4FBE3" w:rsidR="002F1E74" w:rsidRPr="005441FC" w:rsidRDefault="002F1E74" w:rsidP="00856388">
      <w:pPr>
        <w:pStyle w:val="Bullet"/>
      </w:pPr>
      <w:r>
        <w:t xml:space="preserve">both Australia and </w:t>
      </w:r>
      <w:r w:rsidR="00152DDE">
        <w:t>Aotearoa New Zealand</w:t>
      </w:r>
      <w:r>
        <w:t xml:space="preserve"> </w:t>
      </w:r>
    </w:p>
    <w:p w14:paraId="51BE07C1" w14:textId="4C612A8D" w:rsidR="002F1E74" w:rsidRDefault="002F1E74" w:rsidP="00856388">
      <w:pPr>
        <w:pStyle w:val="Bullet"/>
      </w:pPr>
      <w:r>
        <w:t xml:space="preserve">Australia but not in </w:t>
      </w:r>
      <w:r w:rsidR="00152DDE">
        <w:t>Aotearoa New Zealand</w:t>
      </w:r>
      <w:r>
        <w:t xml:space="preserve"> </w:t>
      </w:r>
    </w:p>
    <w:p w14:paraId="023C6676" w14:textId="34D79CA6" w:rsidR="002F1E74" w:rsidRDefault="00152DDE" w:rsidP="00856388">
      <w:pPr>
        <w:pStyle w:val="Bullet"/>
      </w:pPr>
      <w:r>
        <w:t>Aotearoa New Zealand</w:t>
      </w:r>
      <w:r w:rsidR="002F1E74">
        <w:t xml:space="preserve"> but not in Australia. </w:t>
      </w:r>
    </w:p>
    <w:p w14:paraId="62336D32" w14:textId="77777777" w:rsidR="002F1E74" w:rsidRPr="00856388" w:rsidRDefault="002F1E74" w:rsidP="00856388"/>
    <w:p w14:paraId="69F0F713" w14:textId="76B61482" w:rsidR="002F1E74" w:rsidRDefault="002F1E74" w:rsidP="00856388">
      <w:r>
        <w:t>A list of</w:t>
      </w:r>
      <w:r w:rsidDel="00D57070">
        <w:t xml:space="preserve"> </w:t>
      </w:r>
      <w:r>
        <w:t>medicines publicly funded in Australia is available through the Pharmaceutical Benefits Scheme</w:t>
      </w:r>
      <w:r w:rsidR="006F6879">
        <w:t>,</w:t>
      </w:r>
      <w:r>
        <w:t xml:space="preserve"> which is a part of Australia’s Department of Health and Aged Care. A list of</w:t>
      </w:r>
      <w:r w:rsidDel="00BF706E">
        <w:t xml:space="preserve"> </w:t>
      </w:r>
      <w:r>
        <w:t xml:space="preserve">medicines publicly funded in </w:t>
      </w:r>
      <w:r w:rsidR="00152DDE">
        <w:t>Aotearoa New Zealand</w:t>
      </w:r>
      <w:r>
        <w:t xml:space="preserve"> is available through </w:t>
      </w:r>
      <w:proofErr w:type="spellStart"/>
      <w:r>
        <w:t>Pharmac’s</w:t>
      </w:r>
      <w:proofErr w:type="spellEnd"/>
      <w:r>
        <w:t xml:space="preserve"> Pharmaceutical Schedule. We compared blood cancer medicine availability between the two lists as of 1 January 2024. </w:t>
      </w:r>
    </w:p>
    <w:p w14:paraId="5C437190" w14:textId="77777777" w:rsidR="002F1E74" w:rsidRPr="00856388" w:rsidRDefault="002F1E74" w:rsidP="00856388">
      <w:pPr>
        <w:pStyle w:val="Heading4"/>
      </w:pPr>
      <w:bookmarkStart w:id="18" w:name="_Toc167798236"/>
      <w:r w:rsidRPr="00856388">
        <w:t>What was considered a ‘gap’?</w:t>
      </w:r>
      <w:bookmarkEnd w:id="18"/>
    </w:p>
    <w:p w14:paraId="22687D1A" w14:textId="0322387A" w:rsidR="002F1E74" w:rsidRDefault="002F1E74" w:rsidP="00856388">
      <w:r>
        <w:t xml:space="preserve">One cancer medicine may be used in the treatment of more than one cancer type or clinical circumstance. The specific clinical circumstance a medicine is used for is called the </w:t>
      </w:r>
      <w:r w:rsidRPr="004A5B7B">
        <w:rPr>
          <w:b/>
          <w:bCs/>
        </w:rPr>
        <w:t>indication</w:t>
      </w:r>
      <w:r w:rsidRPr="00150F8B">
        <w:t>.</w:t>
      </w:r>
      <w:r>
        <w:t xml:space="preserve"> An example of this is the blood cancer medicine pembrolizumab</w:t>
      </w:r>
      <w:r w:rsidR="00496C88">
        <w:t>,</w:t>
      </w:r>
      <w:r>
        <w:t xml:space="preserve"> which can be used for two indications: one being relapsed or refractory Hodgkin’s lymphoma and the other being r</w:t>
      </w:r>
      <w:r w:rsidRPr="00D02BBF">
        <w:t>elapsed or refractory primary mediastinal B-cell lymphoma</w:t>
      </w:r>
      <w:r>
        <w:t xml:space="preserve">. Some cancer treatment consists of more than one cancer medicine being used at the same time (that is, used in combination) for a specific indication. The combination of treatments to treat a single indication is called a </w:t>
      </w:r>
      <w:r w:rsidRPr="00E216B0">
        <w:rPr>
          <w:b/>
          <w:bCs/>
        </w:rPr>
        <w:t>regimen</w:t>
      </w:r>
      <w:r w:rsidRPr="00150F8B">
        <w:t>.</w:t>
      </w:r>
      <w:r>
        <w:t xml:space="preserve"> </w:t>
      </w:r>
    </w:p>
    <w:p w14:paraId="1D94157B" w14:textId="77777777" w:rsidR="002F1E74" w:rsidRPr="00856388" w:rsidRDefault="002F1E74" w:rsidP="00856388"/>
    <w:p w14:paraId="5508CAA7" w14:textId="6F9B23CD" w:rsidR="002F1E74" w:rsidRDefault="002F1E74" w:rsidP="00856388">
      <w:r>
        <w:t>In this report</w:t>
      </w:r>
      <w:r w:rsidR="00496C88">
        <w:t>,</w:t>
      </w:r>
      <w:r>
        <w:t xml:space="preserve"> gaps were defined in three ways: </w:t>
      </w:r>
    </w:p>
    <w:p w14:paraId="4D5340A2" w14:textId="7BA90FD0" w:rsidR="002F1E74" w:rsidRPr="00856388" w:rsidRDefault="002F1E74" w:rsidP="00856388">
      <w:pPr>
        <w:pStyle w:val="ListNumber"/>
        <w:rPr>
          <w:b/>
          <w:bCs/>
        </w:rPr>
      </w:pPr>
      <w:bookmarkStart w:id="19" w:name="_Ref166510924"/>
      <w:r w:rsidRPr="00856388">
        <w:rPr>
          <w:b/>
          <w:bCs/>
        </w:rPr>
        <w:t>Individual medicine gaps (</w:t>
      </w:r>
      <w:proofErr w:type="spellStart"/>
      <w:r w:rsidRPr="00856388">
        <w:rPr>
          <w:b/>
          <w:bCs/>
        </w:rPr>
        <w:t>eg</w:t>
      </w:r>
      <w:proofErr w:type="spellEnd"/>
      <w:r w:rsidR="00971901">
        <w:rPr>
          <w:b/>
          <w:bCs/>
        </w:rPr>
        <w:t>,</w:t>
      </w:r>
      <w:r w:rsidRPr="00856388">
        <w:rPr>
          <w:b/>
          <w:bCs/>
        </w:rPr>
        <w:t xml:space="preserve"> azacitidine) </w:t>
      </w:r>
      <w:bookmarkEnd w:id="19"/>
    </w:p>
    <w:p w14:paraId="0DE36A23" w14:textId="4D4B7DE9" w:rsidR="002F1E74" w:rsidRDefault="00971901" w:rsidP="00856388">
      <w:pPr>
        <w:pStyle w:val="Normalindent"/>
      </w:pPr>
      <w:r>
        <w:t>‘</w:t>
      </w:r>
      <w:r w:rsidR="002F1E74" w:rsidRPr="008E08B5">
        <w:t>Individual medicine gaps</w:t>
      </w:r>
      <w:r>
        <w:t>’</w:t>
      </w:r>
      <w:r w:rsidR="002F1E74">
        <w:t xml:space="preserve"> refer</w:t>
      </w:r>
      <w:r>
        <w:t>s</w:t>
      </w:r>
      <w:r w:rsidR="002F1E74">
        <w:t xml:space="preserve"> to individual medicines </w:t>
      </w:r>
      <w:r w:rsidR="002F1E74" w:rsidRPr="00653812">
        <w:t xml:space="preserve">that are funded in Australia but not in </w:t>
      </w:r>
      <w:r w:rsidR="00152DDE">
        <w:t>Aotearoa New Zealand</w:t>
      </w:r>
      <w:r w:rsidR="002F1E74" w:rsidRPr="00653812">
        <w:t xml:space="preserve"> irrespective of </w:t>
      </w:r>
      <w:r w:rsidR="002F1E74">
        <w:t>the specific clinical circumstance the medicine is used for (</w:t>
      </w:r>
      <w:r w:rsidR="002F1E74" w:rsidRPr="00653812">
        <w:t>indication</w:t>
      </w:r>
      <w:r w:rsidR="002F1E74">
        <w:t>)</w:t>
      </w:r>
      <w:r w:rsidR="002F1E74" w:rsidRPr="00653812">
        <w:t xml:space="preserve"> or</w:t>
      </w:r>
      <w:r w:rsidR="002F1E74">
        <w:t xml:space="preserve"> whether it needs to be used with another medicine at the same time (</w:t>
      </w:r>
      <w:r w:rsidR="002F1E74" w:rsidRPr="00653812">
        <w:t>regimen</w:t>
      </w:r>
      <w:r w:rsidR="002F1E74">
        <w:t>)</w:t>
      </w:r>
      <w:r w:rsidR="002F1E74" w:rsidRPr="00653812">
        <w:t xml:space="preserve">. </w:t>
      </w:r>
    </w:p>
    <w:p w14:paraId="7B754311" w14:textId="411245A7" w:rsidR="002F1E74" w:rsidRPr="00856388" w:rsidRDefault="002F1E74" w:rsidP="00F4682E">
      <w:pPr>
        <w:pStyle w:val="ListNumber"/>
        <w:spacing w:before="180"/>
        <w:rPr>
          <w:b/>
          <w:bCs/>
        </w:rPr>
      </w:pPr>
      <w:r w:rsidRPr="00856388">
        <w:rPr>
          <w:b/>
          <w:bCs/>
        </w:rPr>
        <w:t>Medicine-indication pair gaps (</w:t>
      </w:r>
      <w:proofErr w:type="spellStart"/>
      <w:r w:rsidRPr="00856388">
        <w:rPr>
          <w:b/>
          <w:bCs/>
        </w:rPr>
        <w:t>eg</w:t>
      </w:r>
      <w:proofErr w:type="spellEnd"/>
      <w:r w:rsidR="00B3523B">
        <w:rPr>
          <w:b/>
          <w:bCs/>
        </w:rPr>
        <w:t>,</w:t>
      </w:r>
      <w:r w:rsidRPr="00856388">
        <w:rPr>
          <w:b/>
          <w:bCs/>
        </w:rPr>
        <w:t xml:space="preserve"> azacitidine for patients who are unfit for intensive chemotherapy) </w:t>
      </w:r>
    </w:p>
    <w:p w14:paraId="5C9AE09B" w14:textId="49D60377" w:rsidR="002F1E74" w:rsidRDefault="00B3523B" w:rsidP="00856388">
      <w:pPr>
        <w:pStyle w:val="Normalindent"/>
      </w:pPr>
      <w:r>
        <w:t>‘</w:t>
      </w:r>
      <w:r w:rsidR="002F1E74">
        <w:t>Medicine-indication pair gaps</w:t>
      </w:r>
      <w:r>
        <w:t>’</w:t>
      </w:r>
      <w:r w:rsidR="002F1E74">
        <w:t xml:space="preserve"> refer</w:t>
      </w:r>
      <w:r>
        <w:t>s</w:t>
      </w:r>
      <w:r w:rsidR="002F1E74">
        <w:t xml:space="preserve"> to medicines </w:t>
      </w:r>
      <w:r w:rsidR="002F1E74" w:rsidRPr="00653812">
        <w:t xml:space="preserve">that are funded in Australia but not in </w:t>
      </w:r>
      <w:r w:rsidR="00152DDE">
        <w:t>Aotearoa New Zealand</w:t>
      </w:r>
      <w:r w:rsidR="002F1E74">
        <w:t>, with reference to each specific and different indication for the medicine</w:t>
      </w:r>
      <w:r>
        <w:t>’</w:t>
      </w:r>
      <w:r w:rsidR="002F1E74">
        <w:t>s use. One medicine might be funded for several indications.</w:t>
      </w:r>
    </w:p>
    <w:p w14:paraId="7F8722D1" w14:textId="02B55A1D" w:rsidR="002F1E74" w:rsidRPr="00856388" w:rsidRDefault="0094700D" w:rsidP="00F4682E">
      <w:pPr>
        <w:pStyle w:val="ListNumber"/>
        <w:spacing w:before="180"/>
        <w:rPr>
          <w:b/>
          <w:bCs/>
        </w:rPr>
      </w:pPr>
      <w:r>
        <w:rPr>
          <w:b/>
          <w:bCs/>
        </w:rPr>
        <w:t>R</w:t>
      </w:r>
      <w:r w:rsidR="002F1E74" w:rsidRPr="00856388">
        <w:rPr>
          <w:b/>
          <w:bCs/>
        </w:rPr>
        <w:t>egimen</w:t>
      </w:r>
      <w:r>
        <w:rPr>
          <w:b/>
          <w:bCs/>
        </w:rPr>
        <w:t>-indication</w:t>
      </w:r>
      <w:r w:rsidR="002F1E74" w:rsidRPr="00856388">
        <w:rPr>
          <w:b/>
          <w:bCs/>
        </w:rPr>
        <w:t xml:space="preserve"> </w:t>
      </w:r>
      <w:r w:rsidR="00B3523B">
        <w:rPr>
          <w:b/>
          <w:bCs/>
        </w:rPr>
        <w:t xml:space="preserve">pair </w:t>
      </w:r>
      <w:r w:rsidR="002F1E74" w:rsidRPr="00856388">
        <w:rPr>
          <w:b/>
          <w:bCs/>
        </w:rPr>
        <w:t>gaps (</w:t>
      </w:r>
      <w:proofErr w:type="spellStart"/>
      <w:r w:rsidR="002F1E74" w:rsidRPr="00856388">
        <w:rPr>
          <w:b/>
          <w:bCs/>
        </w:rPr>
        <w:t>eg</w:t>
      </w:r>
      <w:proofErr w:type="spellEnd"/>
      <w:r w:rsidR="00B3523B">
        <w:rPr>
          <w:b/>
          <w:bCs/>
        </w:rPr>
        <w:t>,</w:t>
      </w:r>
      <w:r w:rsidR="002F1E74" w:rsidRPr="00856388">
        <w:rPr>
          <w:b/>
          <w:bCs/>
        </w:rPr>
        <w:t xml:space="preserve"> azacitidine with </w:t>
      </w:r>
      <w:proofErr w:type="spellStart"/>
      <w:r w:rsidR="002F1E74" w:rsidRPr="00856388">
        <w:rPr>
          <w:b/>
          <w:bCs/>
        </w:rPr>
        <w:t>venetoclax</w:t>
      </w:r>
      <w:proofErr w:type="spellEnd"/>
      <w:r w:rsidR="002F1E74" w:rsidRPr="00856388">
        <w:rPr>
          <w:b/>
          <w:bCs/>
        </w:rPr>
        <w:t xml:space="preserve"> for patients who are unfit for intensive chemotherapy)</w:t>
      </w:r>
    </w:p>
    <w:p w14:paraId="7E4FB0C5" w14:textId="69A33A9D" w:rsidR="002F1E74" w:rsidRDefault="00B3523B" w:rsidP="00856388">
      <w:pPr>
        <w:pStyle w:val="Normalindent"/>
      </w:pPr>
      <w:r>
        <w:lastRenderedPageBreak/>
        <w:t>‘</w:t>
      </w:r>
      <w:r w:rsidR="0094700D">
        <w:t>R</w:t>
      </w:r>
      <w:r w:rsidR="002F1E74" w:rsidRPr="00FA5B04">
        <w:t>egimen</w:t>
      </w:r>
      <w:r w:rsidR="0094700D">
        <w:t>-indication</w:t>
      </w:r>
      <w:r w:rsidR="002F1E74" w:rsidRPr="00FA5B04">
        <w:t xml:space="preserve"> </w:t>
      </w:r>
      <w:r>
        <w:t xml:space="preserve">pair </w:t>
      </w:r>
      <w:r w:rsidR="002F1E74" w:rsidRPr="00FA5B04">
        <w:t>gaps</w:t>
      </w:r>
      <w:r>
        <w:t>’</w:t>
      </w:r>
      <w:r w:rsidR="002F1E74" w:rsidRPr="008836B4">
        <w:rPr>
          <w:b/>
          <w:bCs/>
        </w:rPr>
        <w:t xml:space="preserve"> </w:t>
      </w:r>
      <w:r w:rsidR="002F1E74">
        <w:t>refer</w:t>
      </w:r>
      <w:r>
        <w:t>s</w:t>
      </w:r>
      <w:r w:rsidR="002F1E74">
        <w:t xml:space="preserve"> to</w:t>
      </w:r>
      <w:r w:rsidR="002F1E74" w:rsidRPr="001E3A6B">
        <w:t xml:space="preserve"> </w:t>
      </w:r>
      <w:r w:rsidR="002F1E74">
        <w:t xml:space="preserve">the situation where more than one medicine will be required for a particular treatment and that all those medicines need to be funded to close that </w:t>
      </w:r>
      <w:proofErr w:type="gramStart"/>
      <w:r w:rsidR="002F1E74">
        <w:t>particular treatment</w:t>
      </w:r>
      <w:proofErr w:type="gramEnd"/>
      <w:r w:rsidR="002F1E74">
        <w:t xml:space="preserve"> gap. </w:t>
      </w:r>
    </w:p>
    <w:p w14:paraId="523D77B7" w14:textId="77777777" w:rsidR="002F1E74" w:rsidRPr="00856388" w:rsidRDefault="002F1E74" w:rsidP="00856388"/>
    <w:p w14:paraId="1B2694F4" w14:textId="59C7E92D" w:rsidR="002F1E74" w:rsidRPr="001E3A6B" w:rsidRDefault="002F1E74" w:rsidP="00856388">
      <w:r>
        <w:t xml:space="preserve">Where a generic or biosimilar product is available in one country and the reference product (often called the originator, innovator, or brand-name product) was available in another, these were considered identical for the purpose of this analysis. Furthermore, if several medicines of the same class for the same indication were available in a jurisdiction, this was only considered once. For example, if medicine E and F are medicines from the same class with the same mechanism of action and were both funded in Australia for indication W, this would only be considered as </w:t>
      </w:r>
      <w:r w:rsidR="00A80DF6">
        <w:t xml:space="preserve">a </w:t>
      </w:r>
      <w:r>
        <w:t xml:space="preserve">single gap. This is because only one of medicine E or F would need to be funded in </w:t>
      </w:r>
      <w:r w:rsidR="00152DDE">
        <w:t>Aotearoa New Zealand</w:t>
      </w:r>
      <w:r>
        <w:t xml:space="preserve"> to close the identified gap.</w:t>
      </w:r>
    </w:p>
    <w:p w14:paraId="322D1694" w14:textId="23D8A3A1" w:rsidR="002F1E74" w:rsidRPr="00856388" w:rsidRDefault="002F1E74" w:rsidP="00856388"/>
    <w:p w14:paraId="06C7FF9D" w14:textId="77777777" w:rsidR="002F1E74" w:rsidRPr="00697817" w:rsidRDefault="002F1E74" w:rsidP="00856388">
      <w:pPr>
        <w:pStyle w:val="Heading3"/>
      </w:pPr>
      <w:r w:rsidRPr="00697817">
        <w:t xml:space="preserve">Part </w:t>
      </w:r>
      <w:r w:rsidRPr="00D30349">
        <w:t>two</w:t>
      </w:r>
      <w:r w:rsidRPr="00697817">
        <w:t xml:space="preserve">: Assessing the magnitude of clinical benefit of identified gaps </w:t>
      </w:r>
    </w:p>
    <w:p w14:paraId="41A5E754" w14:textId="74F478D9" w:rsidR="002F1E74" w:rsidRDefault="002F1E74" w:rsidP="00856388">
      <w:r>
        <w:t xml:space="preserve">Once a gap was identified, the magnitude of clinical benefit of the individual medicine gaps was assessed using the ESMO-MCBS:H. </w:t>
      </w:r>
    </w:p>
    <w:p w14:paraId="14A84B53" w14:textId="77777777" w:rsidR="002F1E74" w:rsidRPr="00856388" w:rsidRDefault="002F1E74" w:rsidP="00856388"/>
    <w:p w14:paraId="175E5F69" w14:textId="22C5E74E" w:rsidR="002F1E74" w:rsidRDefault="002F1E74" w:rsidP="00856388">
      <w:r>
        <w:t xml:space="preserve">The </w:t>
      </w:r>
      <w:r w:rsidR="00F5454B" w:rsidRPr="00F5454B">
        <w:t>ESMO-MCBS:H</w:t>
      </w:r>
      <w:r w:rsidR="00F5454B" w:rsidRPr="00F5454B" w:rsidDel="00F5454B">
        <w:t xml:space="preserve"> </w:t>
      </w:r>
      <w:r>
        <w:t xml:space="preserve">was developed to support the assessment of medicines in a more consistent, </w:t>
      </w:r>
      <w:proofErr w:type="gramStart"/>
      <w:r>
        <w:t>reliable</w:t>
      </w:r>
      <w:proofErr w:type="gramEnd"/>
      <w:r>
        <w:t xml:space="preserve"> and fair manner. </w:t>
      </w:r>
      <w:r w:rsidR="002004F3">
        <w:t>It</w:t>
      </w:r>
      <w:r>
        <w:t xml:space="preserve"> aims to highlight those medicines that have a significant positive impact on quality of life and/or survival and distinguish these medicines from those </w:t>
      </w:r>
      <w:r w:rsidR="00F5454B">
        <w:t xml:space="preserve">that </w:t>
      </w:r>
      <w:r>
        <w:t xml:space="preserve">offer marginal benefits or delay disease progression with no impact on a person’s quality of life or survival. </w:t>
      </w:r>
    </w:p>
    <w:p w14:paraId="1A7EF1B9" w14:textId="77777777" w:rsidR="002F1E74" w:rsidRPr="00856388" w:rsidRDefault="002F1E74" w:rsidP="00856388"/>
    <w:p w14:paraId="130C10FD" w14:textId="2A2C6E96" w:rsidR="002F1E74" w:rsidRDefault="002F1E74" w:rsidP="00856388">
      <w:r>
        <w:t>To ensure the score determination process was robust and reliable, a two-step review and moderation process was carried out. In the first step, two members of the project team conducted</w:t>
      </w:r>
      <w:r w:rsidDel="00DD6B00">
        <w:t xml:space="preserve"> </w:t>
      </w:r>
      <w:r>
        <w:t xml:space="preserve">independent evaluations of each medicine’s magnitude of clinical benefit </w:t>
      </w:r>
      <w:r w:rsidR="002004F3">
        <w:t xml:space="preserve">and determined a </w:t>
      </w:r>
      <w:r>
        <w:t>score. The two members then met to discuss their findings and moderate any differences. Once moderation was complete, the scoring forms were sent to two haematologists who independently reviewed the scores and how they were derived. Again, where difference in opinion occurred, the entire project team met to discuss and moderate the information and come to a resolution. Where there was some uncertainty, the project team favoured the highest score possible for the medicine.</w:t>
      </w:r>
    </w:p>
    <w:p w14:paraId="50F47806" w14:textId="77777777" w:rsidR="002F1E74" w:rsidRPr="00856388" w:rsidRDefault="002F1E74" w:rsidP="00856388"/>
    <w:p w14:paraId="4DAD6E46" w14:textId="5432789D" w:rsidR="002F1E74" w:rsidRDefault="002F1E74" w:rsidP="00856388">
      <w:r>
        <w:t xml:space="preserve">The magnitude of clinical benefit score allocation relied on the assessment of outcomes from the specific </w:t>
      </w:r>
      <w:r w:rsidRPr="00F616FB">
        <w:t>clinical trial</w:t>
      </w:r>
      <w:r>
        <w:t xml:space="preserve"> that </w:t>
      </w:r>
      <w:r w:rsidR="00E92841">
        <w:t xml:space="preserve">led </w:t>
      </w:r>
      <w:r>
        <w:t>to the medicine being licensed.</w:t>
      </w:r>
      <w:r w:rsidRPr="00F616FB">
        <w:t xml:space="preserve"> </w:t>
      </w:r>
      <w:r w:rsidRPr="00F616FB" w:rsidDel="00E66F77">
        <w:t xml:space="preserve">Some </w:t>
      </w:r>
      <w:r w:rsidRPr="00F616FB">
        <w:t xml:space="preserve">clinical benefit </w:t>
      </w:r>
      <w:r w:rsidRPr="00F616FB" w:rsidDel="00E66F77">
        <w:t xml:space="preserve">scores were amended </w:t>
      </w:r>
      <w:r w:rsidRPr="00F616FB">
        <w:t xml:space="preserve">for accuracy in the </w:t>
      </w:r>
      <w:r w:rsidRPr="00F616FB" w:rsidDel="00E66F77">
        <w:t>context</w:t>
      </w:r>
      <w:r w:rsidRPr="00F616FB">
        <w:t xml:space="preserve"> of </w:t>
      </w:r>
      <w:r w:rsidR="00152DDE">
        <w:t>Aotearoa New Zealand</w:t>
      </w:r>
      <w:r w:rsidRPr="00F616FB" w:rsidDel="00E66F77">
        <w:t>.</w:t>
      </w:r>
      <w:r w:rsidDel="00E66F77">
        <w:t xml:space="preserve"> </w:t>
      </w:r>
      <w:r>
        <w:t xml:space="preserve">This was necessary because, at times, there was a difference between the medicine that was used as a comparator in the clinical trial to the medicine that would be used for that treatment purpose in </w:t>
      </w:r>
      <w:r w:rsidR="00152DDE">
        <w:t>Aotearoa New Zealand</w:t>
      </w:r>
      <w:r>
        <w:t xml:space="preserve">. </w:t>
      </w:r>
      <w:r w:rsidRPr="00AA69AA">
        <w:t xml:space="preserve">Without allowing for this context, the score allocated </w:t>
      </w:r>
      <w:r w:rsidRPr="00875B0A">
        <w:t>might</w:t>
      </w:r>
      <w:r w:rsidRPr="00AA69AA">
        <w:t xml:space="preserve"> not have reflect</w:t>
      </w:r>
      <w:r w:rsidRPr="00875B0A">
        <w:t>ed</w:t>
      </w:r>
      <w:r w:rsidRPr="00AA69AA">
        <w:t xml:space="preserve"> the</w:t>
      </w:r>
      <w:r w:rsidRPr="00875B0A">
        <w:t xml:space="preserve"> potential</w:t>
      </w:r>
      <w:r>
        <w:t xml:space="preserve"> </w:t>
      </w:r>
      <w:r w:rsidRPr="00C43160">
        <w:t xml:space="preserve">benefit </w:t>
      </w:r>
      <w:r w:rsidRPr="00875B0A">
        <w:t xml:space="preserve">offered by the medicine should it be made publicly available in </w:t>
      </w:r>
      <w:r w:rsidR="00152DDE">
        <w:t>Aotearoa New Zealand</w:t>
      </w:r>
      <w:r w:rsidRPr="00AA69AA">
        <w:t>.</w:t>
      </w:r>
      <w:r>
        <w:t xml:space="preserve"> Again, the project team erred on allocating the highest possible score </w:t>
      </w:r>
      <w:r w:rsidRPr="00AA69AA">
        <w:t xml:space="preserve">for </w:t>
      </w:r>
      <w:r>
        <w:t>the medicine in this instance. Where several medicines with the same mode of action and used for the same indication were available in Australia, these were represented as a single medicine gap with the highest ESMO-MCBS</w:t>
      </w:r>
      <w:r w:rsidR="00A76D3A">
        <w:t>:H</w:t>
      </w:r>
      <w:r>
        <w:t xml:space="preserve"> score applied. </w:t>
      </w:r>
    </w:p>
    <w:p w14:paraId="116C4315" w14:textId="77777777" w:rsidR="002F1E74" w:rsidRPr="00856388" w:rsidRDefault="002F1E74" w:rsidP="00856388"/>
    <w:p w14:paraId="4B748389" w14:textId="62B77D5D" w:rsidR="00752DDE" w:rsidRPr="00E44F3E" w:rsidRDefault="00752DDE" w:rsidP="00752DDE">
      <w:r w:rsidRPr="00E44F3E">
        <w:lastRenderedPageBreak/>
        <w:t xml:space="preserve">As an additional check, </w:t>
      </w:r>
      <w:r>
        <w:t>w</w:t>
      </w:r>
      <w:r w:rsidR="00C834A6">
        <w:t>h</w:t>
      </w:r>
      <w:r>
        <w:t xml:space="preserve">ere possible </w:t>
      </w:r>
      <w:r w:rsidRPr="00E44F3E">
        <w:t xml:space="preserve">the scores derived by the project team were checked against the </w:t>
      </w:r>
      <w:r>
        <w:t>ESMO-MCBS:H scores derived during the tool’s evaluation and validation process</w:t>
      </w:r>
      <w:r>
        <w:rPr>
          <w:rStyle w:val="FootnoteReference"/>
        </w:rPr>
        <w:footnoteReference w:id="5"/>
      </w:r>
      <w:r>
        <w:t xml:space="preserve">. </w:t>
      </w:r>
    </w:p>
    <w:p w14:paraId="62FBE7EB" w14:textId="77777777" w:rsidR="002F1E74" w:rsidRPr="00856388" w:rsidRDefault="002F1E74" w:rsidP="00856388"/>
    <w:p w14:paraId="74FD0A5F" w14:textId="584322E1" w:rsidR="002F1E74" w:rsidRDefault="002F1E74" w:rsidP="00856388">
      <w:r>
        <w:t>Using the ESMO-MCBS:H, the resulting scores can be:</w:t>
      </w:r>
    </w:p>
    <w:p w14:paraId="2A83C850" w14:textId="43035F38" w:rsidR="002F1E74" w:rsidRDefault="002F1E74" w:rsidP="00856388">
      <w:pPr>
        <w:pStyle w:val="Bullet"/>
      </w:pPr>
      <w:r>
        <w:t xml:space="preserve">A, B or C – </w:t>
      </w:r>
      <w:r w:rsidR="009857C7">
        <w:t>T</w:t>
      </w:r>
      <w:r>
        <w:t>hese scores indicate medicines that are used with curative intent. Medicines scored with an A or B indicate substantial clinical benefit would be achieved if they were available</w:t>
      </w:r>
      <w:r w:rsidR="00F35EB8">
        <w:t xml:space="preserve"> (</w:t>
      </w:r>
      <w:r w:rsidR="00F35EB8">
        <w:fldChar w:fldCharType="begin"/>
      </w:r>
      <w:r w:rsidR="00F35EB8">
        <w:instrText xml:space="preserve"> REF _Ref178068040 \h </w:instrText>
      </w:r>
      <w:r w:rsidR="00F35EB8">
        <w:fldChar w:fldCharType="separate"/>
      </w:r>
      <w:r w:rsidR="003D5664">
        <w:t xml:space="preserve">Figure </w:t>
      </w:r>
      <w:r w:rsidR="003D5664">
        <w:rPr>
          <w:noProof/>
        </w:rPr>
        <w:t>1</w:t>
      </w:r>
      <w:r w:rsidR="00F35EB8">
        <w:fldChar w:fldCharType="end"/>
      </w:r>
      <w:r w:rsidR="00F35EB8">
        <w:t>)</w:t>
      </w:r>
      <w:r>
        <w:t xml:space="preserve">. </w:t>
      </w:r>
    </w:p>
    <w:p w14:paraId="1CA86AD3" w14:textId="416675D5" w:rsidR="002F1E74" w:rsidRDefault="009857C7" w:rsidP="00856388">
      <w:pPr>
        <w:pStyle w:val="Bullet"/>
      </w:pPr>
      <w:r>
        <w:t>5, 4, 3, 2</w:t>
      </w:r>
      <w:r w:rsidR="001441D0">
        <w:t xml:space="preserve"> or 1</w:t>
      </w:r>
      <w:r w:rsidR="002F1E74">
        <w:t xml:space="preserve"> – </w:t>
      </w:r>
      <w:r w:rsidR="001441D0">
        <w:t>T</w:t>
      </w:r>
      <w:r w:rsidR="002F1E74">
        <w:t xml:space="preserve">hese scores indicate medicines that are used in a non-curative setting. That is, they improve quality of life or increase survival but will not cure the cancer. Medicines scored with a </w:t>
      </w:r>
      <w:r w:rsidR="001441D0">
        <w:t xml:space="preserve">5 </w:t>
      </w:r>
      <w:r w:rsidR="002F1E74">
        <w:t xml:space="preserve">or </w:t>
      </w:r>
      <w:r w:rsidR="001441D0">
        <w:t>4</w:t>
      </w:r>
      <w:r w:rsidR="002F1E74">
        <w:t xml:space="preserve"> indicate substantial clinical benefit would be achieved if they were available</w:t>
      </w:r>
      <w:r w:rsidR="00F35EB8">
        <w:t xml:space="preserve"> (</w:t>
      </w:r>
      <w:r w:rsidR="00F35EB8">
        <w:fldChar w:fldCharType="begin"/>
      </w:r>
      <w:r w:rsidR="00F35EB8">
        <w:instrText xml:space="preserve"> REF _Ref178068040 \h </w:instrText>
      </w:r>
      <w:r w:rsidR="00F35EB8">
        <w:fldChar w:fldCharType="separate"/>
      </w:r>
      <w:r w:rsidR="003D5664">
        <w:t xml:space="preserve">Figure </w:t>
      </w:r>
      <w:r w:rsidR="003D5664">
        <w:rPr>
          <w:noProof/>
        </w:rPr>
        <w:t>1</w:t>
      </w:r>
      <w:r w:rsidR="00F35EB8">
        <w:fldChar w:fldCharType="end"/>
      </w:r>
      <w:r w:rsidR="00F35EB8">
        <w:t>)</w:t>
      </w:r>
      <w:r w:rsidR="002F1E74">
        <w:t xml:space="preserve">. </w:t>
      </w:r>
    </w:p>
    <w:p w14:paraId="0416D841" w14:textId="279B18E9" w:rsidR="002F1E74" w:rsidRDefault="002F1E74" w:rsidP="00856388">
      <w:pPr>
        <w:pStyle w:val="Bullet"/>
      </w:pPr>
      <w:r>
        <w:t xml:space="preserve">No evaluable benefit (NEB) – </w:t>
      </w:r>
      <w:r w:rsidR="001441D0">
        <w:t>T</w:t>
      </w:r>
      <w:r>
        <w:t xml:space="preserve">hese scores indicate that the trial evidence did not provide evidence of benefit. </w:t>
      </w:r>
    </w:p>
    <w:p w14:paraId="7B72E08B" w14:textId="411CF968" w:rsidR="002F1E74" w:rsidRDefault="002F1E74" w:rsidP="00856388">
      <w:pPr>
        <w:pStyle w:val="Bullet"/>
      </w:pPr>
      <w:r>
        <w:t xml:space="preserve">Non-scorable – </w:t>
      </w:r>
      <w:r w:rsidR="001441D0">
        <w:t>T</w:t>
      </w:r>
      <w:r>
        <w:t>his indicates the trial information was not able to be applied to the ESMO-MCBS:H.</w:t>
      </w:r>
    </w:p>
    <w:p w14:paraId="011D37C6" w14:textId="77777777" w:rsidR="002F1E74" w:rsidRDefault="002F1E74" w:rsidP="001C38B5"/>
    <w:p w14:paraId="37CDE7C0" w14:textId="634404DD" w:rsidR="008B1F1B" w:rsidRDefault="008B1F1B" w:rsidP="008B1F1B">
      <w:pPr>
        <w:rPr>
          <w:rFonts w:cs="Segoe UI"/>
        </w:rPr>
      </w:pPr>
      <w:r w:rsidRPr="00E44F3E">
        <w:rPr>
          <w:rFonts w:cs="Segoe UI"/>
        </w:rPr>
        <w:t>Medicine-indication</w:t>
      </w:r>
      <w:r>
        <w:rPr>
          <w:rFonts w:cs="Segoe UI"/>
        </w:rPr>
        <w:t xml:space="preserve"> or </w:t>
      </w:r>
      <w:r w:rsidRPr="00E44F3E">
        <w:rPr>
          <w:rFonts w:cs="Segoe UI"/>
        </w:rPr>
        <w:t>regimen</w:t>
      </w:r>
      <w:r>
        <w:rPr>
          <w:rFonts w:cs="Segoe UI"/>
        </w:rPr>
        <w:t>-indication</w:t>
      </w:r>
      <w:r w:rsidRPr="00E44F3E">
        <w:rPr>
          <w:rFonts w:cs="Segoe UI"/>
        </w:rPr>
        <w:t xml:space="preserve"> </w:t>
      </w:r>
      <w:r>
        <w:rPr>
          <w:rFonts w:cs="Segoe UI"/>
        </w:rPr>
        <w:t xml:space="preserve">pair </w:t>
      </w:r>
      <w:r w:rsidRPr="00E44F3E">
        <w:rPr>
          <w:rFonts w:cs="Segoe UI"/>
        </w:rPr>
        <w:t xml:space="preserve">gaps that were determined to have a substantial magnitude of clinical benefit were of </w:t>
      </w:r>
      <w:r w:rsidR="00227957">
        <w:rPr>
          <w:rFonts w:cs="Segoe UI"/>
        </w:rPr>
        <w:t>primary</w:t>
      </w:r>
      <w:r w:rsidRPr="00E44F3E">
        <w:rPr>
          <w:rFonts w:cs="Segoe UI"/>
        </w:rPr>
        <w:t xml:space="preserve"> interest in this analysis</w:t>
      </w:r>
      <w:r>
        <w:rPr>
          <w:rFonts w:cs="Segoe UI"/>
        </w:rPr>
        <w:t xml:space="preserve">. For the purposes of this report, each medicine-indication pair gap was </w:t>
      </w:r>
      <w:r w:rsidR="000B1203">
        <w:rPr>
          <w:rFonts w:cs="Segoe UI"/>
        </w:rPr>
        <w:t xml:space="preserve">categorised </w:t>
      </w:r>
      <w:r>
        <w:rPr>
          <w:rFonts w:cs="Segoe UI"/>
        </w:rPr>
        <w:t xml:space="preserve">as one of the following: </w:t>
      </w:r>
    </w:p>
    <w:p w14:paraId="71408484" w14:textId="77777777" w:rsidR="008B1F1B" w:rsidRPr="00341CAF" w:rsidRDefault="008B1F1B" w:rsidP="008B1F1B">
      <w:pPr>
        <w:pStyle w:val="Bullet"/>
        <w:rPr>
          <w:rFonts w:cs="Segoe UI"/>
        </w:rPr>
      </w:pPr>
      <w:r w:rsidRPr="00341CAF">
        <w:rPr>
          <w:rFonts w:cs="Segoe UI"/>
        </w:rPr>
        <w:t>Gap</w:t>
      </w:r>
      <w:r>
        <w:rPr>
          <w:rFonts w:cs="Segoe UI"/>
        </w:rPr>
        <w:t xml:space="preserve"> - </w:t>
      </w:r>
      <w:r w:rsidRPr="00341CAF">
        <w:rPr>
          <w:rFonts w:cs="Segoe UI"/>
        </w:rPr>
        <w:t>substantial clinical benefit (</w:t>
      </w:r>
      <w:proofErr w:type="spellStart"/>
      <w:r w:rsidRPr="00341CAF">
        <w:rPr>
          <w:rFonts w:cs="Segoe UI"/>
        </w:rPr>
        <w:t>ie</w:t>
      </w:r>
      <w:proofErr w:type="spellEnd"/>
      <w:r w:rsidRPr="00341CAF">
        <w:rPr>
          <w:rFonts w:cs="Segoe UI"/>
        </w:rPr>
        <w:t xml:space="preserve">, ESMO-MCBS score A, B, 4 or 5) </w:t>
      </w:r>
    </w:p>
    <w:p w14:paraId="5328BF00" w14:textId="42F42011" w:rsidR="008B1F1B" w:rsidRPr="00341CAF" w:rsidRDefault="008B1F1B" w:rsidP="008B1F1B">
      <w:pPr>
        <w:pStyle w:val="Bullet"/>
        <w:rPr>
          <w:rFonts w:cs="Segoe UI"/>
        </w:rPr>
      </w:pPr>
      <w:r w:rsidRPr="00341CAF">
        <w:rPr>
          <w:rFonts w:cs="Segoe UI"/>
        </w:rPr>
        <w:t>Gap – not substantial clinical benefit (</w:t>
      </w:r>
      <w:proofErr w:type="spellStart"/>
      <w:r w:rsidRPr="00341CAF">
        <w:rPr>
          <w:rFonts w:cs="Segoe UI"/>
        </w:rPr>
        <w:t>ie</w:t>
      </w:r>
      <w:proofErr w:type="spellEnd"/>
      <w:r w:rsidRPr="00341CAF">
        <w:rPr>
          <w:rFonts w:cs="Segoe UI"/>
        </w:rPr>
        <w:t>, ESMO-MCBS score C, 3, 2, 1)</w:t>
      </w:r>
    </w:p>
    <w:p w14:paraId="5D34575D" w14:textId="77777777" w:rsidR="008B1F1B" w:rsidRPr="00341CAF" w:rsidRDefault="008B1F1B" w:rsidP="008B1F1B">
      <w:pPr>
        <w:pStyle w:val="Bullet"/>
        <w:rPr>
          <w:rFonts w:cs="Segoe UI"/>
        </w:rPr>
      </w:pPr>
      <w:r w:rsidRPr="00341CAF">
        <w:rPr>
          <w:rFonts w:cs="Segoe UI"/>
        </w:rPr>
        <w:t xml:space="preserve">Gap – no evaluable benefit (NEB) </w:t>
      </w:r>
    </w:p>
    <w:p w14:paraId="3C0867FF" w14:textId="77777777" w:rsidR="008B1F1B" w:rsidRPr="00341CAF" w:rsidRDefault="008B1F1B" w:rsidP="008B1F1B">
      <w:pPr>
        <w:pStyle w:val="Bullet"/>
        <w:rPr>
          <w:rFonts w:cs="Segoe UI"/>
        </w:rPr>
      </w:pPr>
      <w:r w:rsidRPr="00341CAF">
        <w:rPr>
          <w:rFonts w:cs="Segoe UI"/>
        </w:rPr>
        <w:t xml:space="preserve">Gap – not scorable </w:t>
      </w:r>
    </w:p>
    <w:p w14:paraId="4B23CF20" w14:textId="77777777" w:rsidR="008B1F1B" w:rsidRPr="001C38B5" w:rsidRDefault="008B1F1B" w:rsidP="001C38B5"/>
    <w:p w14:paraId="4654AE62" w14:textId="0355B17A" w:rsidR="002B3B13" w:rsidRDefault="002B3B13" w:rsidP="00150F8B">
      <w:pPr>
        <w:pStyle w:val="Figure"/>
      </w:pPr>
      <w:bookmarkStart w:id="20" w:name="_Ref178068040"/>
      <w:bookmarkStart w:id="21" w:name="_Toc180138603"/>
      <w:r>
        <w:t xml:space="preserve">Figure </w:t>
      </w:r>
      <w:r>
        <w:fldChar w:fldCharType="begin"/>
      </w:r>
      <w:r>
        <w:instrText xml:space="preserve"> SEQ Figure \* ARABIC </w:instrText>
      </w:r>
      <w:r>
        <w:fldChar w:fldCharType="separate"/>
      </w:r>
      <w:r w:rsidR="003D5664">
        <w:rPr>
          <w:noProof/>
        </w:rPr>
        <w:t>1</w:t>
      </w:r>
      <w:r>
        <w:fldChar w:fldCharType="end"/>
      </w:r>
      <w:bookmarkEnd w:id="20"/>
      <w:r w:rsidR="00820582">
        <w:t xml:space="preserve">: </w:t>
      </w:r>
      <w:r w:rsidR="00820582" w:rsidRPr="00820582">
        <w:t>ESMO-MCBS:H possible scores</w:t>
      </w:r>
      <w:bookmarkEnd w:id="21"/>
      <w:r w:rsidR="00820582" w:rsidRPr="00820582">
        <w:t xml:space="preserve"> </w:t>
      </w:r>
    </w:p>
    <w:p w14:paraId="58F16365" w14:textId="77777777" w:rsidR="002F1E74" w:rsidRDefault="002F1E74" w:rsidP="001C38B5">
      <w:r w:rsidRPr="001C38B5">
        <w:rPr>
          <w:noProof/>
        </w:rPr>
        <w:drawing>
          <wp:inline distT="0" distB="0" distL="0" distR="0" wp14:anchorId="2B369E51" wp14:editId="2B653B2B">
            <wp:extent cx="5130165" cy="1828165"/>
            <wp:effectExtent l="0" t="0" r="0" b="635"/>
            <wp:docPr id="267648008" name="Picture 267648008" descr="A diagram of a pyrami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48008" name="Picture 267648008" descr="A diagram of a pyramid&#10;&#10;Description automatically generated with medium confidence"/>
                    <pic:cNvPicPr/>
                  </pic:nvPicPr>
                  <pic:blipFill>
                    <a:blip r:embed="rId31"/>
                    <a:stretch>
                      <a:fillRect/>
                    </a:stretch>
                  </pic:blipFill>
                  <pic:spPr>
                    <a:xfrm>
                      <a:off x="0" y="0"/>
                      <a:ext cx="5130165" cy="1828165"/>
                    </a:xfrm>
                    <a:prstGeom prst="rect">
                      <a:avLst/>
                    </a:prstGeom>
                  </pic:spPr>
                </pic:pic>
              </a:graphicData>
            </a:graphic>
          </wp:inline>
        </w:drawing>
      </w:r>
    </w:p>
    <w:p w14:paraId="3F7F09EF" w14:textId="77777777" w:rsidR="002F1E74" w:rsidRDefault="002F1E74" w:rsidP="001C38B5">
      <w:pPr>
        <w:pStyle w:val="Heading2"/>
      </w:pPr>
      <w:bookmarkStart w:id="22" w:name="_Toc170721435"/>
      <w:bookmarkStart w:id="23" w:name="_Toc180138594"/>
      <w:r w:rsidRPr="00271CE0">
        <w:lastRenderedPageBreak/>
        <w:t>What did we find?</w:t>
      </w:r>
      <w:bookmarkEnd w:id="22"/>
      <w:bookmarkEnd w:id="23"/>
    </w:p>
    <w:p w14:paraId="07ACFEE1" w14:textId="57C0A366" w:rsidR="002F1E74" w:rsidRDefault="002F1E74" w:rsidP="001C38B5">
      <w:r w:rsidRPr="009B10F6">
        <w:fldChar w:fldCharType="begin"/>
      </w:r>
      <w:r w:rsidRPr="009B10F6">
        <w:instrText xml:space="preserve"> REF _Ref167280160 \h  \* MERGEFORMAT </w:instrText>
      </w:r>
      <w:r w:rsidRPr="009B10F6">
        <w:fldChar w:fldCharType="separate"/>
      </w:r>
      <w:r w:rsidR="003D5664">
        <w:t xml:space="preserve">Figure </w:t>
      </w:r>
      <w:r w:rsidR="003D5664">
        <w:rPr>
          <w:noProof/>
        </w:rPr>
        <w:t>2</w:t>
      </w:r>
      <w:r w:rsidRPr="009B10F6">
        <w:fldChar w:fldCharType="end"/>
      </w:r>
      <w:r>
        <w:t xml:space="preserve"> summarises the main findings of the blood cancer medicine availability analysis. The analysis showed that while there are many blood cancer medicines available in both Australia and </w:t>
      </w:r>
      <w:r w:rsidR="00152DDE">
        <w:t>Aotearoa New Zealand</w:t>
      </w:r>
      <w:r>
        <w:t xml:space="preserve">, there are more blood cancer medicines available in Australia than in </w:t>
      </w:r>
      <w:r w:rsidR="00152DDE">
        <w:t>Aotearoa New Zealand</w:t>
      </w:r>
      <w:r>
        <w:t xml:space="preserve">. </w:t>
      </w:r>
    </w:p>
    <w:p w14:paraId="43BC54A7" w14:textId="77777777" w:rsidR="001C38B5" w:rsidRDefault="001C38B5" w:rsidP="001C38B5"/>
    <w:p w14:paraId="12BAA42E" w14:textId="2534FD47" w:rsidR="002F1E74" w:rsidRDefault="002F1E74" w:rsidP="002F1E74">
      <w:pPr>
        <w:pStyle w:val="Figure"/>
      </w:pPr>
      <w:bookmarkStart w:id="24" w:name="_Ref178068482"/>
      <w:bookmarkStart w:id="25" w:name="_Ref167280160"/>
      <w:bookmarkStart w:id="26" w:name="_Toc170721219"/>
      <w:bookmarkStart w:id="27" w:name="_Toc180138604"/>
      <w:r>
        <w:t xml:space="preserve">Figure </w:t>
      </w:r>
      <w:r w:rsidR="002B3B13">
        <w:fldChar w:fldCharType="begin"/>
      </w:r>
      <w:r w:rsidR="002B3B13">
        <w:instrText xml:space="preserve"> SEQ Figure \* ARABIC </w:instrText>
      </w:r>
      <w:r w:rsidR="002B3B13">
        <w:fldChar w:fldCharType="separate"/>
      </w:r>
      <w:r w:rsidR="003D5664">
        <w:rPr>
          <w:noProof/>
        </w:rPr>
        <w:t>2</w:t>
      </w:r>
      <w:r w:rsidR="002B3B13">
        <w:fldChar w:fldCharType="end"/>
      </w:r>
      <w:bookmarkEnd w:id="24"/>
      <w:bookmarkEnd w:id="25"/>
      <w:r>
        <w:t xml:space="preserve">: Summary of results in blood medicine availability between Australia and </w:t>
      </w:r>
      <w:r w:rsidR="00152DDE">
        <w:t>Aotearoa New Zealand</w:t>
      </w:r>
      <w:r>
        <w:t xml:space="preserve"> on 1 January 2024</w:t>
      </w:r>
      <w:bookmarkEnd w:id="26"/>
      <w:bookmarkEnd w:id="27"/>
    </w:p>
    <w:p w14:paraId="1D393328" w14:textId="70899B80" w:rsidR="002F1E74" w:rsidRDefault="00A421A2" w:rsidP="00233046">
      <w:r w:rsidRPr="00A421A2">
        <w:rPr>
          <w:noProof/>
        </w:rPr>
        <w:drawing>
          <wp:inline distT="0" distB="0" distL="0" distR="0" wp14:anchorId="7242A591" wp14:editId="23D24FDC">
            <wp:extent cx="5130165" cy="2879725"/>
            <wp:effectExtent l="0" t="0" r="0" b="0"/>
            <wp:docPr id="2142223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30165" cy="2879725"/>
                    </a:xfrm>
                    <a:prstGeom prst="rect">
                      <a:avLst/>
                    </a:prstGeom>
                    <a:noFill/>
                    <a:ln>
                      <a:noFill/>
                    </a:ln>
                  </pic:spPr>
                </pic:pic>
              </a:graphicData>
            </a:graphic>
          </wp:inline>
        </w:drawing>
      </w:r>
    </w:p>
    <w:p w14:paraId="366C5315" w14:textId="77777777" w:rsidR="002F1E74" w:rsidRPr="001C38B5" w:rsidRDefault="002F1E74" w:rsidP="001C38B5"/>
    <w:p w14:paraId="74BC2664" w14:textId="7DC1C42E" w:rsidR="002F1E74" w:rsidRDefault="002F1E74" w:rsidP="001C38B5">
      <w:r>
        <w:t xml:space="preserve">Of the </w:t>
      </w:r>
      <w:proofErr w:type="gramStart"/>
      <w:r w:rsidR="00143E5D">
        <w:t>42</w:t>
      </w:r>
      <w:r>
        <w:t xml:space="preserve"> blood</w:t>
      </w:r>
      <w:proofErr w:type="gramEnd"/>
      <w:r>
        <w:t xml:space="preserve"> cancer medicine-indication pairs identified, </w:t>
      </w:r>
      <w:r w:rsidRPr="00F1526E">
        <w:t>12</w:t>
      </w:r>
      <w:r>
        <w:t xml:space="preserve"> were determined to have a substantial magnitude of clinical benefit. This equated to </w:t>
      </w:r>
      <w:r w:rsidR="00143E5D">
        <w:t>37</w:t>
      </w:r>
      <w:r>
        <w:t xml:space="preserve"> regimen</w:t>
      </w:r>
      <w:r w:rsidR="0094700D">
        <w:t>-indication</w:t>
      </w:r>
      <w:r>
        <w:t xml:space="preserve"> pairs. </w:t>
      </w:r>
      <w:r w:rsidRPr="00F1526E">
        <w:t>Two</w:t>
      </w:r>
      <w:r>
        <w:t xml:space="preserve"> of the medicine-indication pairs were used in a curative setting and </w:t>
      </w:r>
      <w:r w:rsidRPr="00F1526E">
        <w:t>10</w:t>
      </w:r>
      <w:r>
        <w:t xml:space="preserve"> were used in a non-curative setting. The blood cancer medicines with </w:t>
      </w:r>
      <w:r w:rsidRPr="000F122A">
        <w:t>substantial</w:t>
      </w:r>
      <w:r>
        <w:t xml:space="preserve"> magnitude of clinical benefit included </w:t>
      </w:r>
      <w:r w:rsidRPr="000F122A">
        <w:t>four treatments</w:t>
      </w:r>
      <w:r>
        <w:t xml:space="preserve"> for </w:t>
      </w:r>
      <w:r w:rsidRPr="000F122A">
        <w:t xml:space="preserve">acute myeloid leukaemia, three for </w:t>
      </w:r>
      <w:r>
        <w:t>a</w:t>
      </w:r>
      <w:r w:rsidRPr="000F122A">
        <w:t xml:space="preserve">cute lymphoblastic leukaemia, </w:t>
      </w:r>
      <w:r w:rsidRPr="00F1526E">
        <w:t>two</w:t>
      </w:r>
      <w:r w:rsidRPr="000F122A">
        <w:t xml:space="preserve"> for </w:t>
      </w:r>
      <w:r>
        <w:t>multiple myeloma</w:t>
      </w:r>
      <w:r w:rsidR="00830432">
        <w:t>,</w:t>
      </w:r>
      <w:r w:rsidRPr="000F122A">
        <w:t xml:space="preserve"> and one for </w:t>
      </w:r>
      <w:r>
        <w:t xml:space="preserve">each of </w:t>
      </w:r>
      <w:r w:rsidRPr="000F122A">
        <w:t>chronic myeloid leukaemia, non-</w:t>
      </w:r>
      <w:r w:rsidRPr="00F1526E">
        <w:t>Hodgkin</w:t>
      </w:r>
      <w:r w:rsidR="00146F7B">
        <w:t>’s</w:t>
      </w:r>
      <w:r w:rsidRPr="000F122A">
        <w:t xml:space="preserve"> </w:t>
      </w:r>
      <w:proofErr w:type="gramStart"/>
      <w:r w:rsidRPr="000F122A">
        <w:t>lymphoma</w:t>
      </w:r>
      <w:proofErr w:type="gramEnd"/>
      <w:r w:rsidRPr="000F122A">
        <w:t xml:space="preserve"> and chronic lymphoblastic </w:t>
      </w:r>
      <w:r>
        <w:t>l</w:t>
      </w:r>
      <w:r w:rsidRPr="000F122A">
        <w:t>eukaemia</w:t>
      </w:r>
      <w:r w:rsidR="00830432">
        <w:t xml:space="preserve"> </w:t>
      </w:r>
      <w:r w:rsidRPr="000F122A">
        <w:t>respectively.</w:t>
      </w:r>
      <w:r>
        <w:t xml:space="preserve"> Because some regimens involve treatment with more than one medicine at the same time, the </w:t>
      </w:r>
      <w:r w:rsidRPr="00F1526E">
        <w:t>12</w:t>
      </w:r>
      <w:r>
        <w:t xml:space="preserve"> blood cancer medicine gaps </w:t>
      </w:r>
      <w:r w:rsidRPr="001C38B5">
        <w:t>represent</w:t>
      </w:r>
      <w:r>
        <w:t xml:space="preserve"> </w:t>
      </w:r>
      <w:r w:rsidRPr="00F1526E">
        <w:t>11</w:t>
      </w:r>
      <w:r>
        <w:t xml:space="preserve"> regimen</w:t>
      </w:r>
      <w:r w:rsidR="0094700D">
        <w:t>-indication pair</w:t>
      </w:r>
      <w:r>
        <w:t xml:space="preserve"> gaps identified as having a substantial magnitude of clinical benefit. </w:t>
      </w:r>
    </w:p>
    <w:p w14:paraId="7119BB64" w14:textId="77777777" w:rsidR="002F1E74" w:rsidRPr="001C38B5" w:rsidRDefault="002F1E74" w:rsidP="001C38B5"/>
    <w:p w14:paraId="188C7B04" w14:textId="0772B5E2" w:rsidR="007F56B4" w:rsidRDefault="007F56B4" w:rsidP="007F56B4">
      <w:r w:rsidRPr="00515C1A">
        <w:t>Appendix</w:t>
      </w:r>
      <w:r w:rsidRPr="0039307B">
        <w:t xml:space="preserve"> </w:t>
      </w:r>
      <w:r>
        <w:t>1</w:t>
      </w:r>
      <w:r w:rsidRPr="0039307B">
        <w:t xml:space="preserve"> </w:t>
      </w:r>
      <w:r>
        <w:t xml:space="preserve">summarises all medicines identified as being funded in Australia but not in </w:t>
      </w:r>
      <w:r w:rsidR="00152DDE">
        <w:t>Aotearoa New Zealand</w:t>
      </w:r>
      <w:r>
        <w:t xml:space="preserve"> by tumour type and clinical benefit score. </w:t>
      </w:r>
    </w:p>
    <w:p w14:paraId="3525B27B" w14:textId="77777777" w:rsidR="007F56B4" w:rsidRDefault="007F56B4" w:rsidP="001C38B5"/>
    <w:p w14:paraId="0336EF48" w14:textId="72A960FF" w:rsidR="002F1E74" w:rsidRDefault="002F1E74" w:rsidP="001C38B5">
      <w:r w:rsidRPr="00150F8B">
        <w:t>Appendix</w:t>
      </w:r>
      <w:r w:rsidR="00EB32A1" w:rsidRPr="00150F8B">
        <w:t xml:space="preserve"> </w:t>
      </w:r>
      <w:r w:rsidR="00B03445">
        <w:t>2</w:t>
      </w:r>
      <w:r>
        <w:t xml:space="preserve"> </w:t>
      </w:r>
      <w:r w:rsidR="0039307B" w:rsidRPr="0039307B">
        <w:t xml:space="preserve">summarises </w:t>
      </w:r>
      <w:r>
        <w:t xml:space="preserve">the blood cancer medicines available in Australia but not in </w:t>
      </w:r>
      <w:r w:rsidR="00152DDE">
        <w:t>Aotearoa New Zealand</w:t>
      </w:r>
      <w:r>
        <w:t xml:space="preserve"> that were determined to have a substantial magnitude of clinical benefit. The table presents information about each identified gap</w:t>
      </w:r>
      <w:r w:rsidR="0039307B">
        <w:t>,</w:t>
      </w:r>
      <w:r>
        <w:t xml:space="preserve"> including what it is used for, how it is administered and</w:t>
      </w:r>
      <w:r w:rsidR="00C6262D">
        <w:t>,</w:t>
      </w:r>
      <w:r>
        <w:t xml:space="preserve"> if the identified gap is being considered by Pharmac for funding</w:t>
      </w:r>
      <w:r w:rsidR="00C6262D">
        <w:t>,</w:t>
      </w:r>
      <w:r>
        <w:t xml:space="preserve"> what stage of assessment Pharmac </w:t>
      </w:r>
      <w:r w:rsidR="00685304">
        <w:t xml:space="preserve">is </w:t>
      </w:r>
      <w:r>
        <w:t>up to.</w:t>
      </w:r>
    </w:p>
    <w:p w14:paraId="6D864BAF" w14:textId="77777777" w:rsidR="002F1E74" w:rsidRPr="001C38B5" w:rsidRDefault="002F1E74" w:rsidP="001C38B5"/>
    <w:p w14:paraId="180127E8" w14:textId="19898FDA" w:rsidR="00A3341D" w:rsidRDefault="00A3341D" w:rsidP="001C38B5">
      <w:r>
        <w:t xml:space="preserve">Appendix 3 </w:t>
      </w:r>
      <w:r w:rsidRPr="00A3341D">
        <w:t xml:space="preserve">summarises the blood cancer medicines available in Australia but not in </w:t>
      </w:r>
      <w:r w:rsidR="00152DDE">
        <w:t>Aotearoa New Zealand</w:t>
      </w:r>
      <w:r w:rsidRPr="00A3341D">
        <w:t xml:space="preserve"> that were determined to have </w:t>
      </w:r>
      <w:r w:rsidR="00206ECB">
        <w:t>non-</w:t>
      </w:r>
      <w:r w:rsidRPr="00A3341D">
        <w:t>substantial magnitude of clinical benefit</w:t>
      </w:r>
      <w:r w:rsidR="00206ECB">
        <w:t>.</w:t>
      </w:r>
      <w:r w:rsidRPr="00A3341D" w:rsidDel="007F56B4">
        <w:t xml:space="preserve"> </w:t>
      </w:r>
    </w:p>
    <w:p w14:paraId="0075A667" w14:textId="77777777" w:rsidR="00A3341D" w:rsidRDefault="00A3341D" w:rsidP="001C38B5"/>
    <w:p w14:paraId="201A098D" w14:textId="77777777" w:rsidR="002F1E74" w:rsidRDefault="002F1E74" w:rsidP="001C38B5">
      <w:r>
        <w:lastRenderedPageBreak/>
        <w:t xml:space="preserve">For more information on the identified gaps and other analysis results, refer to the 2024 full report. </w:t>
      </w:r>
    </w:p>
    <w:p w14:paraId="21ED30EE" w14:textId="77777777" w:rsidR="002F1E74" w:rsidRDefault="002F1E74" w:rsidP="001C38B5">
      <w:pPr>
        <w:pStyle w:val="Heading2"/>
      </w:pPr>
      <w:bookmarkStart w:id="28" w:name="_Toc170721436"/>
      <w:bookmarkStart w:id="29" w:name="_Toc180138595"/>
      <w:r>
        <w:t>What are the key strengths and limitations of this analysis?</w:t>
      </w:r>
      <w:bookmarkEnd w:id="28"/>
      <w:bookmarkEnd w:id="29"/>
    </w:p>
    <w:p w14:paraId="237AD19C" w14:textId="4C5F2670" w:rsidR="002F1E74" w:rsidRDefault="002F1E74" w:rsidP="001C38B5">
      <w:r>
        <w:t>This report goes beyond counting medicines, to consideration of medicine gaps according to their specific uses and the magnitude of clinical benefit of the identified medicines. One cancer medicine can be used to treat multiple different types and stages of cancer, so it is important to consider the medicine-indication and regimen</w:t>
      </w:r>
      <w:r w:rsidR="0094700D">
        <w:t>-indication</w:t>
      </w:r>
      <w:r>
        <w:t xml:space="preserve"> specific pairs. In addition, not all gaps are equal in terms of the health benefit </w:t>
      </w:r>
      <w:r w:rsidR="00152DDE">
        <w:t>Aotearoa New Zealand</w:t>
      </w:r>
      <w:r>
        <w:t xml:space="preserve"> may achieve if a medicine was funded. Consideration of the identified gaps in terms of their magnitude of clinical benefit provides important context for understanding which gaps offer more potential for health benefit to </w:t>
      </w:r>
      <w:r w:rsidR="00152DDE">
        <w:t>Aotearoa New Zealand</w:t>
      </w:r>
      <w:r>
        <w:t xml:space="preserve">. </w:t>
      </w:r>
    </w:p>
    <w:p w14:paraId="39C81B86" w14:textId="77777777" w:rsidR="002F1E74" w:rsidRPr="001C38B5" w:rsidRDefault="002F1E74" w:rsidP="001C38B5"/>
    <w:p w14:paraId="4CD4B2F4" w14:textId="77777777" w:rsidR="002F1E74" w:rsidRDefault="002F1E74" w:rsidP="001C38B5">
      <w:r>
        <w:t xml:space="preserve">There are some important limitations to note about the methodology used in this report. </w:t>
      </w:r>
    </w:p>
    <w:p w14:paraId="16E21B3A" w14:textId="50113AAF" w:rsidR="002F1E74" w:rsidRDefault="002F1E74" w:rsidP="001C38B5">
      <w:pPr>
        <w:pStyle w:val="Bullet"/>
      </w:pPr>
      <w:r w:rsidDel="00E32A85">
        <w:t xml:space="preserve">While </w:t>
      </w:r>
      <w:r w:rsidDel="00812C17">
        <w:t>Australia</w:t>
      </w:r>
      <w:r>
        <w:t xml:space="preserve"> has higher cancer medicine availability than </w:t>
      </w:r>
      <w:r w:rsidR="00152DDE">
        <w:t>Aotearoa New Zealand</w:t>
      </w:r>
      <w:r>
        <w:t>, it is important to remember that medicine availability in Australia is not reflective of an international ‘gold standard’</w:t>
      </w:r>
      <w:r w:rsidR="00324824">
        <w:t>.</w:t>
      </w:r>
      <w:r>
        <w:t xml:space="preserve"> There is variation in medicine availability between all countries</w:t>
      </w:r>
      <w:r w:rsidR="00324824">
        <w:t>,</w:t>
      </w:r>
      <w:r>
        <w:t xml:space="preserve"> and there is not a ‘right’ or ‘correct’ level of medicine access. There may be blood cancer medicines not yet available in Australia that could provide significant health benefit to New Zealanders.</w:t>
      </w:r>
    </w:p>
    <w:p w14:paraId="7B3B38B6" w14:textId="2B150195" w:rsidR="002F1E74" w:rsidRDefault="002F1E74" w:rsidP="001C38B5">
      <w:pPr>
        <w:pStyle w:val="Bullet"/>
      </w:pPr>
      <w:r>
        <w:t>The magnitude of clinical benefit scores in this report were derived from clinical trial evidence, which represent</w:t>
      </w:r>
      <w:r w:rsidR="0014733A">
        <w:t>s a</w:t>
      </w:r>
      <w:r>
        <w:t>nalysis at a group level. This means that there may be individuals</w:t>
      </w:r>
      <w:r w:rsidDel="00877E04">
        <w:t xml:space="preserve"> </w:t>
      </w:r>
      <w:r>
        <w:t>who experience a different outcome when receiving</w:t>
      </w:r>
      <w:r w:rsidDel="00DC7928">
        <w:t xml:space="preserve"> </w:t>
      </w:r>
      <w:r>
        <w:t>a medicine. This analysis</w:t>
      </w:r>
      <w:r w:rsidDel="00DC7928">
        <w:t xml:space="preserve"> </w:t>
      </w:r>
      <w:r>
        <w:t xml:space="preserve">focuses on the outcomes of the treated group as an average. </w:t>
      </w:r>
    </w:p>
    <w:p w14:paraId="29FBAA9C" w14:textId="76A22891" w:rsidR="002F1E74" w:rsidRDefault="002F1E74" w:rsidP="001C38B5">
      <w:pPr>
        <w:pStyle w:val="Bullet"/>
      </w:pPr>
      <w:r>
        <w:t xml:space="preserve">This report used the ESMO-MCBS:H to estimate clinical benefit. While this is an internationally validated tool, there are other methods available to determine clinical benefit that might have generated different findings. </w:t>
      </w:r>
    </w:p>
    <w:p w14:paraId="36CCEC54" w14:textId="7BF6ACC4" w:rsidR="002F1E74" w:rsidRPr="00F616FB" w:rsidRDefault="002F1E74" w:rsidP="001C38B5">
      <w:pPr>
        <w:pStyle w:val="Bullet"/>
      </w:pPr>
      <w:r>
        <w:t xml:space="preserve">The ESMO-MCBS:H is very prescriptive in nature and is focused on assessment of evidence for increased survival or improved quality of life associated with the use of a medicine. It is also very prescriptive about what cannot be considered in the assessment of a medicine’s magnitude of clinical benefit. This is both a strength and a limitation of the tool. It is a strength as it allows for consistent comparison of the magnitude of clinical benefit of medicines. However, some aspects of clinical trial quality are not considered by the </w:t>
      </w:r>
      <w:r w:rsidR="00877842" w:rsidRPr="00877842">
        <w:t>ESMO-MCBS:H</w:t>
      </w:r>
      <w:r>
        <w:t>, and it does not allow for evidence of clinical benefit outside a clinical trial to be considered. Some scoring might be different when longer</w:t>
      </w:r>
      <w:r w:rsidR="00877842">
        <w:t>-</w:t>
      </w:r>
      <w:r>
        <w:t xml:space="preserve">term clinical data becomes available. The </w:t>
      </w:r>
      <w:r w:rsidR="00877842" w:rsidRPr="00877842">
        <w:t>ESMO-MCBS:H</w:t>
      </w:r>
      <w:r w:rsidR="00877842" w:rsidRPr="00877842" w:rsidDel="00877842">
        <w:t xml:space="preserve"> </w:t>
      </w:r>
      <w:r>
        <w:t>also does not consider clinical trial information that was not part of the medicine becoming licensed. This might include valuable evidence that could alter clinical practice. Some medicines were unable to be scored because the information available in the trials did not meet the requirements of</w:t>
      </w:r>
      <w:r w:rsidDel="00421FA6">
        <w:t xml:space="preserve"> </w:t>
      </w:r>
      <w:r w:rsidRPr="00F616FB">
        <w:t xml:space="preserve">the </w:t>
      </w:r>
      <w:r w:rsidR="00877842" w:rsidRPr="00877842">
        <w:t>ESMO-MCBS:H</w:t>
      </w:r>
      <w:r w:rsidRPr="00F616FB">
        <w:t xml:space="preserve">. </w:t>
      </w:r>
    </w:p>
    <w:p w14:paraId="6E931B32" w14:textId="15FDEC0B" w:rsidR="002F1E74" w:rsidRDefault="00350C90" w:rsidP="001C38B5">
      <w:pPr>
        <w:pStyle w:val="Bullet"/>
      </w:pPr>
      <w:r w:rsidRPr="00E44F3E">
        <w:t xml:space="preserve">The scores were derived in a robust process with as much quality control as possible. However, it is possible that the scores derived in this report will differ from those </w:t>
      </w:r>
      <w:r>
        <w:lastRenderedPageBreak/>
        <w:t>published</w:t>
      </w:r>
      <w:r w:rsidRPr="00E44F3E">
        <w:t xml:space="preserve"> by ESMO when </w:t>
      </w:r>
      <w:r>
        <w:t>it was evaluating the ESMO-MCBS:H</w:t>
      </w:r>
      <w:r w:rsidR="009F7644">
        <w:rPr>
          <w:rStyle w:val="FootnoteReference"/>
        </w:rPr>
        <w:footnoteReference w:id="6"/>
      </w:r>
      <w:r w:rsidR="002F1E74">
        <w:t xml:space="preserve">. Some of these differences will be due to adaptations made to reflect the context in </w:t>
      </w:r>
      <w:r w:rsidR="00152DDE">
        <w:t>Aotearoa New Zealand</w:t>
      </w:r>
      <w:r w:rsidR="002F1E74">
        <w:t xml:space="preserve">. </w:t>
      </w:r>
    </w:p>
    <w:p w14:paraId="1C872E59" w14:textId="7A9E5638" w:rsidR="002F1E74" w:rsidRDefault="002F1E74" w:rsidP="001C38B5">
      <w:pPr>
        <w:pStyle w:val="Bullet"/>
      </w:pPr>
      <w:r>
        <w:t>Decisions about the funding of medicines are complex</w:t>
      </w:r>
      <w:r w:rsidR="0055417E">
        <w:t>,</w:t>
      </w:r>
      <w:r>
        <w:t xml:space="preserve"> and Pharmac takes into consideration a wide range of factors to determine which medicines are </w:t>
      </w:r>
      <w:r w:rsidR="0055417E">
        <w:t>included</w:t>
      </w:r>
      <w:r w:rsidR="00812AB6">
        <w:t xml:space="preserve"> in</w:t>
      </w:r>
      <w:r>
        <w:t xml:space="preserve"> the OFI</w:t>
      </w:r>
      <w:r w:rsidR="0055417E">
        <w:t xml:space="preserve"> list</w:t>
      </w:r>
      <w:r>
        <w:t xml:space="preserve">. The medicine gaps noted in this report count the numbers of medicines funded in Australia </w:t>
      </w:r>
      <w:r w:rsidR="00812AB6">
        <w:t xml:space="preserve">but </w:t>
      </w:r>
      <w:r>
        <w:t xml:space="preserve">not in </w:t>
      </w:r>
      <w:r w:rsidR="00152DDE">
        <w:t>Aotearoa New Zealand</w:t>
      </w:r>
      <w:r>
        <w:t xml:space="preserve">. They do not measure the health benefits across all New Zealanders that aren’t achieved because those medicines are not available in </w:t>
      </w:r>
      <w:r w:rsidR="00152DDE">
        <w:t>Aotearoa New Zealand</w:t>
      </w:r>
      <w:r>
        <w:t xml:space="preserve"> (</w:t>
      </w:r>
      <w:r w:rsidR="002A2E58">
        <w:t xml:space="preserve">that </w:t>
      </w:r>
      <w:r>
        <w:t xml:space="preserve">is, the number of people with </w:t>
      </w:r>
      <w:r w:rsidR="00855491">
        <w:t>each type of</w:t>
      </w:r>
      <w:r>
        <w:t xml:space="preserve"> blood cancer affected, multiplied by how </w:t>
      </w:r>
      <w:r w:rsidR="008B6730">
        <w:t xml:space="preserve">many </w:t>
      </w:r>
      <w:r>
        <w:t xml:space="preserve">healthy life years each person on average loses by not having the Australian-funded medicine). </w:t>
      </w:r>
    </w:p>
    <w:p w14:paraId="0909D671" w14:textId="67DDA612" w:rsidR="002F1E74" w:rsidRDefault="002F1E74" w:rsidP="001C38B5">
      <w:pPr>
        <w:pStyle w:val="Heading2"/>
      </w:pPr>
      <w:bookmarkStart w:id="30" w:name="_Toc170721437"/>
      <w:bookmarkStart w:id="31" w:name="_Toc180138596"/>
      <w:r>
        <w:t xml:space="preserve">Key things to consider when interpreting the findings of this </w:t>
      </w:r>
      <w:r w:rsidR="004C72E0">
        <w:t>r</w:t>
      </w:r>
      <w:r>
        <w:t>eport</w:t>
      </w:r>
      <w:bookmarkEnd w:id="30"/>
      <w:bookmarkEnd w:id="31"/>
      <w:r>
        <w:t xml:space="preserve"> </w:t>
      </w:r>
    </w:p>
    <w:p w14:paraId="597452D0" w14:textId="77777777" w:rsidR="002F1E74" w:rsidRPr="0071546F" w:rsidRDefault="002F1E74" w:rsidP="001C38B5">
      <w:pPr>
        <w:pStyle w:val="Heading3"/>
        <w:rPr>
          <w:rFonts w:ascii="Fira Sans" w:hAnsi="Fira Sans"/>
          <w:color w:val="auto"/>
          <w:sz w:val="20"/>
        </w:rPr>
      </w:pPr>
      <w:r>
        <w:t xml:space="preserve">Improving cancer outcomes requires a balance of actions across the continuum </w:t>
      </w:r>
    </w:p>
    <w:p w14:paraId="5E99E461" w14:textId="6EEADFE3" w:rsidR="002F1E74" w:rsidRDefault="002F1E74" w:rsidP="006C602A">
      <w:r w:rsidRPr="006C602A">
        <w:t>While</w:t>
      </w:r>
      <w:r w:rsidRPr="0071546F">
        <w:t xml:space="preserve"> cancer medicines are a key part of cancer treatment</w:t>
      </w:r>
      <w:r>
        <w:t>, achieving fewer cancers, better survival and more equitable cancer outcomes for New Zealanders requires action across the entire cancer continuum (from prevention right through to palliative care). Decision</w:t>
      </w:r>
      <w:r w:rsidR="009948E0">
        <w:t xml:space="preserve"> </w:t>
      </w:r>
      <w:r>
        <w:t>making to determine</w:t>
      </w:r>
      <w:r w:rsidRPr="00583FCD" w:rsidDel="004D0361">
        <w:t xml:space="preserve"> </w:t>
      </w:r>
      <w:r w:rsidRPr="00583FCD">
        <w:t xml:space="preserve">how much money </w:t>
      </w:r>
      <w:r>
        <w:t xml:space="preserve">is </w:t>
      </w:r>
      <w:r w:rsidRPr="00583FCD">
        <w:t xml:space="preserve">invested </w:t>
      </w:r>
      <w:r>
        <w:t>i</w:t>
      </w:r>
      <w:r w:rsidRPr="00583FCD">
        <w:t xml:space="preserve">n health, </w:t>
      </w:r>
      <w:r>
        <w:t>i</w:t>
      </w:r>
      <w:r w:rsidRPr="00583FCD">
        <w:t>n cancer</w:t>
      </w:r>
      <w:r>
        <w:t>,</w:t>
      </w:r>
      <w:r w:rsidRPr="00583FCD">
        <w:t xml:space="preserve"> and </w:t>
      </w:r>
      <w:r>
        <w:t>i</w:t>
      </w:r>
      <w:r w:rsidRPr="00583FCD">
        <w:t xml:space="preserve">n cancer medicines </w:t>
      </w:r>
      <w:r>
        <w:t>specifically,</w:t>
      </w:r>
      <w:r w:rsidRPr="00583FCD">
        <w:t xml:space="preserve"> is extremely complex. It is important that all action and investment </w:t>
      </w:r>
      <w:r w:rsidR="009948E0">
        <w:t>in cancer treatment</w:t>
      </w:r>
      <w:r w:rsidRPr="00583FCD">
        <w:t xml:space="preserve"> is balanced and coordinated to ensure that the limited resources in the wider cancer system achieve the best health outcomes possible for New Zealanders.</w:t>
      </w:r>
      <w:r>
        <w:t xml:space="preserve"> </w:t>
      </w:r>
    </w:p>
    <w:p w14:paraId="50DB4FE1" w14:textId="77777777" w:rsidR="002F1E74" w:rsidRDefault="002F1E74" w:rsidP="006C602A">
      <w:pPr>
        <w:pStyle w:val="Heading3"/>
      </w:pPr>
      <w:r>
        <w:t xml:space="preserve">The impact of medicine availability on equity was out of scope </w:t>
      </w:r>
    </w:p>
    <w:p w14:paraId="08944122" w14:textId="385A4599" w:rsidR="002F1E74" w:rsidRDefault="002F1E74" w:rsidP="006C602A">
      <w:r>
        <w:t xml:space="preserve">For medicines to provide benefit they need to be accessible as well as available. Some </w:t>
      </w:r>
      <w:r w:rsidRPr="006C602A">
        <w:t>members</w:t>
      </w:r>
      <w:r>
        <w:t xml:space="preserve"> of the population already experience inequity in accessing cancer services and treatment opportunities. This is likely to contribute to the known inequities in cancer health outcomes. This report does not include assessment of whether closing the gaps identified in this analysis would make a difference to equitable access to cancer treatment and to cancer outcomes. </w:t>
      </w:r>
    </w:p>
    <w:p w14:paraId="3A937963" w14:textId="77777777" w:rsidR="002F1E74" w:rsidRPr="00704324" w:rsidRDefault="002F1E74" w:rsidP="006C602A">
      <w:pPr>
        <w:pStyle w:val="Heading3"/>
        <w:rPr>
          <w:rFonts w:ascii="Fira Sans SemiBold" w:hAnsi="Fira Sans SemiBold"/>
          <w:sz w:val="22"/>
        </w:rPr>
      </w:pPr>
      <w:r>
        <w:lastRenderedPageBreak/>
        <w:t>When m</w:t>
      </w:r>
      <w:r w:rsidRPr="00704324">
        <w:t>edicine</w:t>
      </w:r>
      <w:r>
        <w:t>s</w:t>
      </w:r>
      <w:r w:rsidRPr="00704324">
        <w:t xml:space="preserve"> </w:t>
      </w:r>
      <w:r>
        <w:t xml:space="preserve">are </w:t>
      </w:r>
      <w:r w:rsidRPr="00704324">
        <w:t>fund</w:t>
      </w:r>
      <w:r>
        <w:t xml:space="preserve">ed, </w:t>
      </w:r>
      <w:r w:rsidRPr="00704324">
        <w:t>additional resources</w:t>
      </w:r>
      <w:r w:rsidRPr="00F20081">
        <w:t xml:space="preserve"> are also required</w:t>
      </w:r>
      <w:r w:rsidRPr="00704324">
        <w:rPr>
          <w:rFonts w:ascii="Fira Sans SemiBold" w:hAnsi="Fira Sans SemiBold"/>
          <w:sz w:val="22"/>
        </w:rPr>
        <w:t xml:space="preserve"> </w:t>
      </w:r>
    </w:p>
    <w:p w14:paraId="46A4A21B" w14:textId="75E961A6" w:rsidR="002F1E74" w:rsidRDefault="002F1E74" w:rsidP="006C602A">
      <w:r>
        <w:t>Providing New Zealanders with cancer treatment requires a coordinated team of health professionals and a series of health services and technologies. For funded medicines</w:t>
      </w:r>
      <w:r w:rsidDel="00886D3C">
        <w:t xml:space="preserve"> to </w:t>
      </w:r>
      <w:r>
        <w:t>provide their intended benefit, the health system needs a variety of trained health professionals (haematologists, oncologists, pharmacists, imaging specialists, nurses, and administrators), facilities (infusion sites, laboratory and imaging</w:t>
      </w:r>
      <w:r w:rsidR="00312150">
        <w:t>-</w:t>
      </w:r>
      <w:r>
        <w:t>processing sites</w:t>
      </w:r>
      <w:r w:rsidR="003616A7">
        <w:t>,</w:t>
      </w:r>
      <w:r>
        <w:t xml:space="preserve"> and pharmacies) and equipment. Funding new medicines that provide treatment to a group of people who previously would not have had a treatment, or </w:t>
      </w:r>
      <w:r w:rsidR="003616A7">
        <w:t xml:space="preserve">to </w:t>
      </w:r>
      <w:r>
        <w:t>people who will now receive treatment for longer, means more of all these things are needed. It is important that appropriate infrastructure, including the health workforce, is considered when new medicine funding decisions are made</w:t>
      </w:r>
      <w:r w:rsidDel="00187286">
        <w:t xml:space="preserve"> </w:t>
      </w:r>
      <w:r>
        <w:t xml:space="preserve">to ensure new medicines can be administrated effectively, </w:t>
      </w:r>
      <w:proofErr w:type="gramStart"/>
      <w:r>
        <w:t>efficiently</w:t>
      </w:r>
      <w:proofErr w:type="gramEnd"/>
      <w:r>
        <w:t xml:space="preserve"> and equitably. </w:t>
      </w:r>
    </w:p>
    <w:p w14:paraId="34EBC92A" w14:textId="77777777" w:rsidR="002F1E74" w:rsidRPr="001B4521" w:rsidRDefault="002F1E74" w:rsidP="006C602A">
      <w:pPr>
        <w:pStyle w:val="Heading3"/>
      </w:pPr>
      <w:r w:rsidRPr="00427BFF">
        <w:t xml:space="preserve">Decisions about medicine funding </w:t>
      </w:r>
      <w:r>
        <w:t>requires c</w:t>
      </w:r>
      <w:r w:rsidRPr="005F14EE">
        <w:t>onsider</w:t>
      </w:r>
      <w:r>
        <w:t xml:space="preserve">ation of many </w:t>
      </w:r>
      <w:r w:rsidRPr="005F14EE">
        <w:t xml:space="preserve">factors </w:t>
      </w:r>
      <w:r>
        <w:t xml:space="preserve">in addition to </w:t>
      </w:r>
      <w:r w:rsidRPr="001B4521">
        <w:t xml:space="preserve">clinical benefit </w:t>
      </w:r>
    </w:p>
    <w:p w14:paraId="5491248D" w14:textId="625C70AD" w:rsidR="002F1E74" w:rsidRDefault="002F1E74" w:rsidP="006C602A">
      <w:r>
        <w:t xml:space="preserve">Decisions about medicines should not be made based on clinical benefit alone. As discussed earlier, funding decisions in </w:t>
      </w:r>
      <w:r w:rsidR="00152DDE">
        <w:t>Aotearoa New Zealand</w:t>
      </w:r>
      <w:r>
        <w:t xml:space="preserve"> are made by Pharmac using</w:t>
      </w:r>
      <w:r w:rsidDel="00A863C1">
        <w:t xml:space="preserve"> </w:t>
      </w:r>
      <w:r>
        <w:t>the Factors for Consideration. This allows Pharmac to evaluate the benefit of a proposed new medicine and how this compares to other proposed new medicines, with reference to the medicines that are already available, the health needs of the patient population, the medicine suitability, and the cost implications of funding the new medicine.</w:t>
      </w:r>
      <w:r w:rsidRPr="00EF698E">
        <w:t xml:space="preserve"> </w:t>
      </w:r>
    </w:p>
    <w:p w14:paraId="57DD5728" w14:textId="6EF741F9" w:rsidR="005F21EA" w:rsidRPr="00C45E6C" w:rsidRDefault="00EF53E9" w:rsidP="005F21EA">
      <w:pPr>
        <w:pStyle w:val="Heading1"/>
        <w:rPr>
          <w:color w:val="0AB58F"/>
        </w:rPr>
      </w:pPr>
      <w:bookmarkStart w:id="32" w:name="_Toc176270946"/>
      <w:bookmarkStart w:id="33" w:name="_Toc180138597"/>
      <w:r w:rsidRPr="00C45E6C">
        <w:lastRenderedPageBreak/>
        <w:t xml:space="preserve">HE KUPU WHAKAKAPI </w:t>
      </w:r>
      <w:r w:rsidR="005F21EA" w:rsidRPr="00C45E6C">
        <w:rPr>
          <w:color w:val="FFFFFF" w:themeColor="background1"/>
        </w:rPr>
        <w:t>|</w:t>
      </w:r>
      <w:r w:rsidR="005F21EA" w:rsidRPr="00C45E6C">
        <w:br/>
      </w:r>
      <w:r w:rsidR="005F21EA" w:rsidRPr="00C45E6C">
        <w:rPr>
          <w:color w:val="0AB58F"/>
        </w:rPr>
        <w:t>CONCLUSION</w:t>
      </w:r>
      <w:bookmarkEnd w:id="32"/>
      <w:bookmarkEnd w:id="33"/>
    </w:p>
    <w:p w14:paraId="6D2F7397" w14:textId="77777777" w:rsidR="002F1E74" w:rsidRDefault="002F1E74" w:rsidP="006C602A">
      <w:r>
        <w:t xml:space="preserve">Cancer medicines, provided alone or in combination with surgery and/or radiation therapy, are a critical part of cancer care. Medicines can give people the opportunity to be cured of cancer, increase their quality of life with cancer, or extend how long they live with cancer. People with cancer, their whānau, and their treatment team expect that the medicines they need will be available when they need them. </w:t>
      </w:r>
    </w:p>
    <w:p w14:paraId="50726715" w14:textId="77777777" w:rsidR="002F1E74" w:rsidRPr="006C602A" w:rsidRDefault="002F1E74" w:rsidP="006C602A"/>
    <w:p w14:paraId="4FE97AF4" w14:textId="0F0BB7C6" w:rsidR="002F1E74" w:rsidRDefault="002F1E74" w:rsidP="006C602A">
      <w:r>
        <w:t xml:space="preserve">This report is a continuation of the 2022 </w:t>
      </w:r>
      <w:r w:rsidR="004C72E0">
        <w:t>r</w:t>
      </w:r>
      <w:r>
        <w:t xml:space="preserve">eport, which could not be completed for blood cancer medicines at that time. The same methodology was used to describe the difference in blood cancer medicine availability between Australia and </w:t>
      </w:r>
      <w:r w:rsidR="00152DDE">
        <w:t>Aotearoa New Zealand</w:t>
      </w:r>
      <w:r>
        <w:t>. The magnitude of clinical benefit of those gaps was also identified now that a validated tool has become available to do so.</w:t>
      </w:r>
    </w:p>
    <w:p w14:paraId="4B1EB2D0" w14:textId="77777777" w:rsidR="002F1E74" w:rsidRPr="006C602A" w:rsidRDefault="002F1E74" w:rsidP="006C602A"/>
    <w:p w14:paraId="73BEBD09" w14:textId="0F1F2091" w:rsidR="002F1E74" w:rsidRDefault="002F1E74" w:rsidP="006C602A">
      <w:r>
        <w:t xml:space="preserve">Along with the findings of the 2022 </w:t>
      </w:r>
      <w:r w:rsidR="004C72E0">
        <w:t>r</w:t>
      </w:r>
      <w:r>
        <w:t xml:space="preserve">eport, this 2024 </w:t>
      </w:r>
      <w:r w:rsidR="004C72E0">
        <w:t>r</w:t>
      </w:r>
      <w:r>
        <w:t xml:space="preserve">eport provides important context and detail to better understand the reality of cancer medicine availability in </w:t>
      </w:r>
      <w:r w:rsidR="00152DDE">
        <w:t>Aotearoa New Zealand</w:t>
      </w:r>
      <w:r>
        <w:t xml:space="preserve">, as compared to Australia. The results of this analysis show that there are differences in the number of blood cancer medicines available in Australia compared to </w:t>
      </w:r>
      <w:r w:rsidR="00152DDE">
        <w:t>Aotearoa New Zealand</w:t>
      </w:r>
      <w:r>
        <w:t xml:space="preserve"> and that some of those are likely to have a substantial clinical benefit, primarily in a non-curative setting. </w:t>
      </w:r>
    </w:p>
    <w:p w14:paraId="7766FC8D" w14:textId="77777777" w:rsidR="002F1E74" w:rsidRPr="006C602A" w:rsidRDefault="002F1E74" w:rsidP="006C602A"/>
    <w:p w14:paraId="44F397D8" w14:textId="5DD662FA" w:rsidR="002F1E74" w:rsidRDefault="002F1E74" w:rsidP="006C602A">
      <w:r>
        <w:t xml:space="preserve">The information presented in </w:t>
      </w:r>
      <w:r w:rsidDel="006210B2">
        <w:t xml:space="preserve">the </w:t>
      </w:r>
      <w:r>
        <w:t xml:space="preserve">2022 and 2024 </w:t>
      </w:r>
      <w:r w:rsidR="004C72E0">
        <w:t>r</w:t>
      </w:r>
      <w:r>
        <w:t>eports</w:t>
      </w:r>
      <w:r w:rsidDel="007A47D0">
        <w:t xml:space="preserve"> </w:t>
      </w:r>
      <w:r>
        <w:t xml:space="preserve">is designed to provide useful insights to people with cancer and their whānau, the health sector, Pharmac, the New Zealand Government, </w:t>
      </w:r>
      <w:r w:rsidR="009C555E">
        <w:t>n</w:t>
      </w:r>
      <w:r>
        <w:t>on-</w:t>
      </w:r>
      <w:r w:rsidR="009C555E">
        <w:t>g</w:t>
      </w:r>
      <w:r>
        <w:t xml:space="preserve">overnmental </w:t>
      </w:r>
      <w:r w:rsidR="009C555E">
        <w:t>o</w:t>
      </w:r>
      <w:r>
        <w:t xml:space="preserve">rganisations and the </w:t>
      </w:r>
      <w:proofErr w:type="gramStart"/>
      <w:r>
        <w:t>general public</w:t>
      </w:r>
      <w:proofErr w:type="gramEnd"/>
      <w:r>
        <w:t xml:space="preserve"> about the scale and magnitude of clinical benefit of medicine gaps in </w:t>
      </w:r>
      <w:r w:rsidR="00152DDE">
        <w:t>Aotearoa New Zealand</w:t>
      </w:r>
      <w:r>
        <w:t xml:space="preserve">. </w:t>
      </w:r>
    </w:p>
    <w:p w14:paraId="50152597" w14:textId="77777777" w:rsidR="002F1E74" w:rsidRPr="006C602A" w:rsidRDefault="002F1E74" w:rsidP="006C602A"/>
    <w:p w14:paraId="564FEFD1" w14:textId="646322BD" w:rsidR="002F1E74" w:rsidRDefault="002F1E74" w:rsidP="006C602A">
      <w:r>
        <w:t xml:space="preserve">While optimising the availability of cancer medicines and their role in improving health outcomes for people with cancer is particularly important, medicine availability cannot be considered in isolation. Coordinated and prioritised action across the entire cancer care continuum is required to ensure outcomes for New Zealanders with cancer improve to the greatest extent possible. The wider cancer health system, </w:t>
      </w:r>
      <w:r w:rsidR="00F14CC6">
        <w:t xml:space="preserve">which </w:t>
      </w:r>
      <w:r>
        <w:t>works to prevent cancer and provide access to diagnosis and treatment across the cancer continuum, must be functioning well.</w:t>
      </w:r>
    </w:p>
    <w:p w14:paraId="53AFF639" w14:textId="77777777" w:rsidR="002F1E74" w:rsidRPr="006C602A" w:rsidRDefault="002F1E74" w:rsidP="006C602A"/>
    <w:p w14:paraId="2085C59F" w14:textId="77777777" w:rsidR="002F1E74" w:rsidRDefault="002F1E74" w:rsidP="006C602A">
      <w:r>
        <w:t xml:space="preserve">Te Aho o Te Kahu remains committed to working with all relevant stakeholders to strengthen services across the cancer care continuum and deliver on the goal of fewer cancers, better survival, and equity for all. </w:t>
      </w:r>
    </w:p>
    <w:p w14:paraId="46FB213B" w14:textId="77777777" w:rsidR="002F1E74" w:rsidRPr="006C602A" w:rsidRDefault="002F1E74" w:rsidP="006C602A"/>
    <w:p w14:paraId="0F8EB894" w14:textId="2F6B6288" w:rsidR="003923CE" w:rsidRDefault="00EF53E9" w:rsidP="006C602A">
      <w:pPr>
        <w:pStyle w:val="Heading1"/>
        <w:rPr>
          <w:color w:val="0AB58F"/>
        </w:rPr>
      </w:pPr>
      <w:bookmarkStart w:id="34" w:name="_Toc176270947"/>
      <w:bookmarkStart w:id="35" w:name="_Toc180138598"/>
      <w:r w:rsidRPr="00C45E6C">
        <w:lastRenderedPageBreak/>
        <w:t>NGĀ ĀPITIHANGA</w:t>
      </w:r>
      <w:r w:rsidRPr="00C45E6C">
        <w:rPr>
          <w:color w:val="FFFFFF" w:themeColor="background1"/>
        </w:rPr>
        <w:t xml:space="preserve"> </w:t>
      </w:r>
      <w:r w:rsidR="005F21EA" w:rsidRPr="00C45E6C">
        <w:rPr>
          <w:color w:val="FFFFFF" w:themeColor="background1"/>
        </w:rPr>
        <w:t>|</w:t>
      </w:r>
      <w:r w:rsidR="005F21EA" w:rsidRPr="00C45E6C">
        <w:br/>
      </w:r>
      <w:r w:rsidR="005F21EA" w:rsidRPr="00C45E6C">
        <w:rPr>
          <w:color w:val="0AB58F"/>
        </w:rPr>
        <w:t>APPENDICES</w:t>
      </w:r>
      <w:bookmarkEnd w:id="34"/>
      <w:bookmarkEnd w:id="35"/>
    </w:p>
    <w:p w14:paraId="23700EC5" w14:textId="2C990A21" w:rsidR="000C66CC" w:rsidRPr="00150F8B" w:rsidRDefault="00C02946" w:rsidP="00C02946">
      <w:pPr>
        <w:pStyle w:val="Heading2"/>
        <w:rPr>
          <w:sz w:val="24"/>
          <w:szCs w:val="4"/>
        </w:rPr>
      </w:pPr>
      <w:bookmarkStart w:id="36" w:name="_Toc175241594"/>
      <w:bookmarkStart w:id="37" w:name="_Toc176346039"/>
      <w:bookmarkStart w:id="38" w:name="_Toc180138599"/>
      <w:r w:rsidRPr="00150F8B">
        <w:rPr>
          <w:sz w:val="24"/>
          <w:szCs w:val="4"/>
        </w:rPr>
        <w:t xml:space="preserve">Appendix 1: </w:t>
      </w:r>
      <w:r w:rsidR="000C66CC" w:rsidRPr="00150F8B">
        <w:rPr>
          <w:sz w:val="24"/>
          <w:szCs w:val="4"/>
        </w:rPr>
        <w:t>Summary of medicine availability gaps by type of cancer and ESMO-MCBS:H score</w:t>
      </w:r>
      <w:bookmarkEnd w:id="36"/>
      <w:bookmarkEnd w:id="37"/>
      <w:bookmarkEnd w:id="38"/>
    </w:p>
    <w:tbl>
      <w:tblPr>
        <w:tblW w:w="0" w:type="auto"/>
        <w:tblBorders>
          <w:top w:val="dotted" w:sz="4" w:space="0" w:color="C2D9BA"/>
          <w:left w:val="dotted" w:sz="4" w:space="0" w:color="C2D9BA"/>
          <w:bottom w:val="dotted" w:sz="4" w:space="0" w:color="C2D9BA"/>
          <w:right w:val="dotted" w:sz="4" w:space="0" w:color="C2D9BA"/>
          <w:insideH w:val="dotted" w:sz="4" w:space="0" w:color="C2D9BA"/>
          <w:insideV w:val="dotted" w:sz="4" w:space="0" w:color="C2D9BA"/>
        </w:tblBorders>
        <w:tblCellMar>
          <w:left w:w="57" w:type="dxa"/>
          <w:right w:w="57" w:type="dxa"/>
        </w:tblCellMar>
        <w:tblLook w:val="04A0" w:firstRow="1" w:lastRow="0" w:firstColumn="1" w:lastColumn="0" w:noHBand="0" w:noVBand="1"/>
      </w:tblPr>
      <w:tblGrid>
        <w:gridCol w:w="2154"/>
        <w:gridCol w:w="538"/>
        <w:gridCol w:w="1107"/>
        <w:gridCol w:w="402"/>
        <w:gridCol w:w="409"/>
        <w:gridCol w:w="797"/>
        <w:gridCol w:w="575"/>
        <w:gridCol w:w="575"/>
        <w:gridCol w:w="498"/>
        <w:gridCol w:w="1014"/>
      </w:tblGrid>
      <w:tr w:rsidR="001F389F" w:rsidRPr="008F7AFA" w14:paraId="47D201AE" w14:textId="77777777">
        <w:trPr>
          <w:cantSplit/>
          <w:trHeight w:val="450"/>
          <w:tblHeader/>
        </w:trPr>
        <w:tc>
          <w:tcPr>
            <w:tcW w:w="0" w:type="auto"/>
            <w:vMerge w:val="restart"/>
            <w:tcBorders>
              <w:top w:val="single" w:sz="4" w:space="0" w:color="FFF7ED"/>
              <w:left w:val="single" w:sz="4" w:space="0" w:color="FFF7ED"/>
              <w:bottom w:val="single" w:sz="4" w:space="0" w:color="FFF7ED"/>
              <w:right w:val="single" w:sz="4" w:space="0" w:color="FFF7ED"/>
            </w:tcBorders>
            <w:shd w:val="clear" w:color="auto" w:fill="C2D9BA"/>
            <w:vAlign w:val="center"/>
          </w:tcPr>
          <w:p w14:paraId="47E55FA9" w14:textId="77777777" w:rsidR="001F389F" w:rsidRPr="008F7AFA" w:rsidRDefault="001F389F">
            <w:pPr>
              <w:pStyle w:val="Table"/>
              <w:jc w:val="center"/>
              <w:rPr>
                <w:sz w:val="18"/>
                <w:szCs w:val="18"/>
              </w:rPr>
            </w:pPr>
            <w:r w:rsidRPr="008F7AFA">
              <w:rPr>
                <w:sz w:val="18"/>
                <w:szCs w:val="18"/>
              </w:rPr>
              <w:t>Blood cancer type</w:t>
            </w:r>
          </w:p>
        </w:tc>
        <w:tc>
          <w:tcPr>
            <w:tcW w:w="0" w:type="auto"/>
            <w:vMerge w:val="restart"/>
            <w:tcBorders>
              <w:top w:val="single" w:sz="4" w:space="0" w:color="FFF7ED"/>
              <w:left w:val="single" w:sz="4" w:space="0" w:color="FFF7ED"/>
              <w:bottom w:val="single" w:sz="4" w:space="0" w:color="FFF7ED"/>
              <w:right w:val="single" w:sz="4" w:space="0" w:color="FFF7ED"/>
            </w:tcBorders>
            <w:shd w:val="clear" w:color="auto" w:fill="C2D9BA"/>
            <w:vAlign w:val="center"/>
          </w:tcPr>
          <w:p w14:paraId="4593A239" w14:textId="77777777" w:rsidR="001F389F" w:rsidRPr="008F7AFA" w:rsidRDefault="001F389F">
            <w:pPr>
              <w:pStyle w:val="Table"/>
              <w:jc w:val="center"/>
              <w:rPr>
                <w:sz w:val="18"/>
                <w:szCs w:val="18"/>
              </w:rPr>
            </w:pPr>
            <w:r w:rsidRPr="008F7AFA">
              <w:rPr>
                <w:sz w:val="18"/>
                <w:szCs w:val="18"/>
              </w:rPr>
              <w:t>Total</w:t>
            </w:r>
          </w:p>
        </w:tc>
        <w:tc>
          <w:tcPr>
            <w:tcW w:w="0" w:type="auto"/>
            <w:gridSpan w:val="3"/>
            <w:tcBorders>
              <w:top w:val="single" w:sz="4" w:space="0" w:color="FFF7ED"/>
              <w:left w:val="single" w:sz="4" w:space="0" w:color="FFF7ED"/>
              <w:bottom w:val="single" w:sz="4" w:space="0" w:color="FFF7ED"/>
              <w:right w:val="single" w:sz="4" w:space="0" w:color="FFF7ED"/>
            </w:tcBorders>
            <w:shd w:val="clear" w:color="auto" w:fill="C2D9BA"/>
            <w:vAlign w:val="center"/>
          </w:tcPr>
          <w:p w14:paraId="4BC337A7" w14:textId="77777777" w:rsidR="001F389F" w:rsidRPr="008F7AFA" w:rsidRDefault="001F389F">
            <w:pPr>
              <w:pStyle w:val="Table"/>
              <w:jc w:val="center"/>
              <w:rPr>
                <w:sz w:val="18"/>
                <w:szCs w:val="18"/>
              </w:rPr>
            </w:pPr>
            <w:r w:rsidRPr="008F7AFA">
              <w:rPr>
                <w:sz w:val="18"/>
                <w:szCs w:val="18"/>
              </w:rPr>
              <w:t>Substantial clinical benefit</w:t>
            </w:r>
          </w:p>
        </w:tc>
        <w:tc>
          <w:tcPr>
            <w:tcW w:w="0" w:type="auto"/>
            <w:gridSpan w:val="3"/>
            <w:tcBorders>
              <w:top w:val="single" w:sz="4" w:space="0" w:color="FFF7ED"/>
              <w:left w:val="single" w:sz="4" w:space="0" w:color="FFF7ED"/>
              <w:bottom w:val="single" w:sz="4" w:space="0" w:color="FFF7ED"/>
              <w:right w:val="single" w:sz="4" w:space="0" w:color="FFF7ED"/>
            </w:tcBorders>
            <w:shd w:val="clear" w:color="auto" w:fill="C2D9BA"/>
            <w:vAlign w:val="center"/>
          </w:tcPr>
          <w:p w14:paraId="1B3ADE6F" w14:textId="77777777" w:rsidR="001F389F" w:rsidRPr="008F7AFA" w:rsidRDefault="001F389F">
            <w:pPr>
              <w:pStyle w:val="Table"/>
              <w:jc w:val="center"/>
              <w:rPr>
                <w:sz w:val="18"/>
                <w:szCs w:val="18"/>
              </w:rPr>
            </w:pPr>
            <w:r w:rsidRPr="008F7AFA">
              <w:rPr>
                <w:sz w:val="18"/>
                <w:szCs w:val="18"/>
              </w:rPr>
              <w:t>Not substantial clinical benefit</w:t>
            </w:r>
          </w:p>
        </w:tc>
        <w:tc>
          <w:tcPr>
            <w:tcW w:w="0" w:type="auto"/>
            <w:gridSpan w:val="2"/>
            <w:vMerge w:val="restart"/>
            <w:tcBorders>
              <w:top w:val="single" w:sz="4" w:space="0" w:color="FFF7ED"/>
              <w:left w:val="single" w:sz="4" w:space="0" w:color="FFF7ED"/>
              <w:right w:val="single" w:sz="4" w:space="0" w:color="FFF7ED"/>
            </w:tcBorders>
            <w:shd w:val="clear" w:color="auto" w:fill="C2D9BA"/>
            <w:vAlign w:val="center"/>
          </w:tcPr>
          <w:p w14:paraId="3C73F6DB" w14:textId="77777777" w:rsidR="001F389F" w:rsidRPr="008F7AFA" w:rsidRDefault="001F389F">
            <w:pPr>
              <w:pStyle w:val="Table"/>
              <w:jc w:val="center"/>
              <w:rPr>
                <w:sz w:val="18"/>
                <w:szCs w:val="18"/>
              </w:rPr>
            </w:pPr>
          </w:p>
        </w:tc>
      </w:tr>
      <w:tr w:rsidR="001F389F" w:rsidRPr="008F7AFA" w14:paraId="69E3ED30" w14:textId="77777777">
        <w:trPr>
          <w:cantSplit/>
          <w:trHeight w:val="450"/>
          <w:tblHeader/>
        </w:trPr>
        <w:tc>
          <w:tcPr>
            <w:tcW w:w="0" w:type="auto"/>
            <w:vMerge/>
            <w:tcBorders>
              <w:top w:val="single" w:sz="4" w:space="0" w:color="FFF7ED"/>
              <w:left w:val="single" w:sz="4" w:space="0" w:color="FFF7ED"/>
              <w:bottom w:val="single" w:sz="4" w:space="0" w:color="FFF7ED"/>
              <w:right w:val="single" w:sz="4" w:space="0" w:color="FFF7ED"/>
            </w:tcBorders>
            <w:shd w:val="clear" w:color="auto" w:fill="C2D9BA"/>
            <w:vAlign w:val="center"/>
          </w:tcPr>
          <w:p w14:paraId="5E974D0C" w14:textId="77777777" w:rsidR="001F389F" w:rsidRPr="008F7AFA" w:rsidRDefault="001F389F">
            <w:pPr>
              <w:pStyle w:val="Table"/>
              <w:jc w:val="center"/>
              <w:rPr>
                <w:sz w:val="18"/>
                <w:szCs w:val="18"/>
              </w:rPr>
            </w:pPr>
          </w:p>
        </w:tc>
        <w:tc>
          <w:tcPr>
            <w:tcW w:w="0" w:type="auto"/>
            <w:vMerge/>
            <w:tcBorders>
              <w:top w:val="single" w:sz="4" w:space="0" w:color="FFF7ED"/>
              <w:left w:val="single" w:sz="4" w:space="0" w:color="FFF7ED"/>
              <w:bottom w:val="single" w:sz="4" w:space="0" w:color="FFF7ED"/>
              <w:right w:val="single" w:sz="4" w:space="0" w:color="FFF7ED"/>
            </w:tcBorders>
            <w:shd w:val="clear" w:color="auto" w:fill="C2D9BA"/>
            <w:vAlign w:val="center"/>
          </w:tcPr>
          <w:p w14:paraId="6D73A138" w14:textId="77777777" w:rsidR="001F389F" w:rsidRPr="008F7AFA" w:rsidRDefault="001F389F">
            <w:pPr>
              <w:pStyle w:val="Table"/>
              <w:jc w:val="center"/>
              <w:rPr>
                <w:sz w:val="18"/>
                <w:szCs w:val="18"/>
              </w:rPr>
            </w:pP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07FCD5B6" w14:textId="77777777" w:rsidR="001F389F" w:rsidRPr="008F7AFA" w:rsidRDefault="001F389F">
            <w:pPr>
              <w:pStyle w:val="Table"/>
              <w:jc w:val="center"/>
              <w:rPr>
                <w:sz w:val="18"/>
                <w:szCs w:val="18"/>
              </w:rPr>
            </w:pPr>
            <w:r w:rsidRPr="008F7AFA">
              <w:rPr>
                <w:sz w:val="18"/>
                <w:szCs w:val="18"/>
              </w:rPr>
              <w:t>Curative</w:t>
            </w:r>
          </w:p>
        </w:tc>
        <w:tc>
          <w:tcPr>
            <w:tcW w:w="0" w:type="auto"/>
            <w:gridSpan w:val="5"/>
            <w:tcBorders>
              <w:top w:val="single" w:sz="4" w:space="0" w:color="FFF7ED"/>
              <w:left w:val="single" w:sz="4" w:space="0" w:color="FFF7ED"/>
              <w:bottom w:val="single" w:sz="4" w:space="0" w:color="FFF7ED"/>
              <w:right w:val="single" w:sz="4" w:space="0" w:color="FFF7ED"/>
            </w:tcBorders>
            <w:shd w:val="clear" w:color="auto" w:fill="C2D9BA"/>
            <w:vAlign w:val="center"/>
          </w:tcPr>
          <w:p w14:paraId="099F5E0B" w14:textId="77777777" w:rsidR="001F389F" w:rsidRPr="008F7AFA" w:rsidRDefault="001F389F">
            <w:pPr>
              <w:pStyle w:val="Table"/>
              <w:jc w:val="center"/>
              <w:rPr>
                <w:sz w:val="18"/>
                <w:szCs w:val="18"/>
              </w:rPr>
            </w:pPr>
            <w:r w:rsidRPr="008F7AFA">
              <w:rPr>
                <w:sz w:val="18"/>
                <w:szCs w:val="18"/>
              </w:rPr>
              <w:t>Non-curative</w:t>
            </w:r>
          </w:p>
        </w:tc>
        <w:tc>
          <w:tcPr>
            <w:tcW w:w="0" w:type="auto"/>
            <w:gridSpan w:val="2"/>
            <w:vMerge/>
            <w:tcBorders>
              <w:left w:val="single" w:sz="4" w:space="0" w:color="FFF7ED"/>
              <w:bottom w:val="single" w:sz="4" w:space="0" w:color="FFF7ED"/>
              <w:right w:val="single" w:sz="4" w:space="0" w:color="FFF7ED"/>
            </w:tcBorders>
            <w:shd w:val="clear" w:color="auto" w:fill="C2D9BA"/>
            <w:vAlign w:val="center"/>
          </w:tcPr>
          <w:p w14:paraId="41E784F1" w14:textId="77777777" w:rsidR="001F389F" w:rsidRPr="008F7AFA" w:rsidRDefault="001F389F">
            <w:pPr>
              <w:pStyle w:val="Table"/>
              <w:jc w:val="center"/>
              <w:rPr>
                <w:sz w:val="18"/>
                <w:szCs w:val="18"/>
              </w:rPr>
            </w:pPr>
          </w:p>
        </w:tc>
      </w:tr>
      <w:tr w:rsidR="001F389F" w:rsidRPr="008F7AFA" w14:paraId="39D21350" w14:textId="77777777">
        <w:trPr>
          <w:cantSplit/>
          <w:trHeight w:val="450"/>
          <w:tblHeader/>
        </w:trPr>
        <w:tc>
          <w:tcPr>
            <w:tcW w:w="0" w:type="auto"/>
            <w:vMerge/>
            <w:tcBorders>
              <w:top w:val="single" w:sz="4" w:space="0" w:color="FFF7ED"/>
              <w:left w:val="single" w:sz="4" w:space="0" w:color="FFF7ED"/>
              <w:bottom w:val="single" w:sz="4" w:space="0" w:color="FFF7ED"/>
              <w:right w:val="single" w:sz="4" w:space="0" w:color="FFF7ED"/>
            </w:tcBorders>
            <w:shd w:val="clear" w:color="auto" w:fill="C2D9BA"/>
            <w:vAlign w:val="center"/>
          </w:tcPr>
          <w:p w14:paraId="680F29E5" w14:textId="77777777" w:rsidR="001F389F" w:rsidRPr="008F7AFA" w:rsidRDefault="001F389F">
            <w:pPr>
              <w:pStyle w:val="Table"/>
              <w:jc w:val="center"/>
              <w:rPr>
                <w:sz w:val="18"/>
                <w:szCs w:val="18"/>
              </w:rPr>
            </w:pPr>
          </w:p>
        </w:tc>
        <w:tc>
          <w:tcPr>
            <w:tcW w:w="0" w:type="auto"/>
            <w:vMerge/>
            <w:tcBorders>
              <w:top w:val="single" w:sz="4" w:space="0" w:color="FFF7ED"/>
              <w:left w:val="single" w:sz="4" w:space="0" w:color="FFF7ED"/>
              <w:bottom w:val="single" w:sz="4" w:space="0" w:color="FFF7ED"/>
              <w:right w:val="single" w:sz="4" w:space="0" w:color="FFF7ED"/>
            </w:tcBorders>
            <w:shd w:val="clear" w:color="auto" w:fill="C2D9BA"/>
            <w:vAlign w:val="center"/>
          </w:tcPr>
          <w:p w14:paraId="28C71FC4" w14:textId="77777777" w:rsidR="001F389F" w:rsidRPr="008F7AFA" w:rsidRDefault="001F389F">
            <w:pPr>
              <w:pStyle w:val="Table"/>
              <w:jc w:val="center"/>
              <w:rPr>
                <w:sz w:val="18"/>
                <w:szCs w:val="18"/>
              </w:rPr>
            </w:pP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7A1A796B" w14:textId="77777777" w:rsidR="001F389F" w:rsidRPr="008F7AFA" w:rsidRDefault="001F389F">
            <w:pPr>
              <w:pStyle w:val="Table"/>
              <w:jc w:val="center"/>
              <w:rPr>
                <w:sz w:val="18"/>
                <w:szCs w:val="18"/>
              </w:rPr>
            </w:pPr>
            <w:r w:rsidRPr="008F7AFA">
              <w:rPr>
                <w:sz w:val="18"/>
                <w:szCs w:val="18"/>
              </w:rPr>
              <w:t>A*</w:t>
            </w: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64B0E831" w14:textId="77777777" w:rsidR="001F389F" w:rsidRPr="008F7AFA" w:rsidRDefault="001F389F">
            <w:pPr>
              <w:pStyle w:val="Table"/>
              <w:jc w:val="center"/>
              <w:rPr>
                <w:sz w:val="18"/>
                <w:szCs w:val="18"/>
              </w:rPr>
            </w:pPr>
            <w:r w:rsidRPr="008F7AFA">
              <w:rPr>
                <w:sz w:val="18"/>
                <w:szCs w:val="18"/>
              </w:rPr>
              <w:t>5*</w:t>
            </w: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71C89669" w14:textId="77777777" w:rsidR="001F389F" w:rsidRPr="008F7AFA" w:rsidRDefault="001F389F">
            <w:pPr>
              <w:pStyle w:val="Table"/>
              <w:jc w:val="center"/>
              <w:rPr>
                <w:sz w:val="18"/>
                <w:szCs w:val="18"/>
              </w:rPr>
            </w:pPr>
            <w:r w:rsidRPr="008F7AFA">
              <w:rPr>
                <w:sz w:val="18"/>
                <w:szCs w:val="18"/>
              </w:rPr>
              <w:t>4*</w:t>
            </w: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373F2897" w14:textId="77777777" w:rsidR="001F389F" w:rsidRPr="008F7AFA" w:rsidRDefault="001F389F">
            <w:pPr>
              <w:pStyle w:val="Table"/>
              <w:jc w:val="center"/>
              <w:rPr>
                <w:sz w:val="18"/>
                <w:szCs w:val="18"/>
              </w:rPr>
            </w:pPr>
            <w:r w:rsidRPr="008F7AFA">
              <w:rPr>
                <w:sz w:val="18"/>
                <w:szCs w:val="18"/>
              </w:rPr>
              <w:t>3</w:t>
            </w: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0D04F8CF" w14:textId="77777777" w:rsidR="001F389F" w:rsidRPr="008F7AFA" w:rsidRDefault="001F389F">
            <w:pPr>
              <w:pStyle w:val="Table"/>
              <w:jc w:val="center"/>
              <w:rPr>
                <w:sz w:val="18"/>
                <w:szCs w:val="18"/>
              </w:rPr>
            </w:pPr>
            <w:r w:rsidRPr="008F7AFA">
              <w:rPr>
                <w:sz w:val="18"/>
                <w:szCs w:val="18"/>
              </w:rPr>
              <w:t>2</w:t>
            </w: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12C9C969" w14:textId="77777777" w:rsidR="001F389F" w:rsidRPr="008F7AFA" w:rsidRDefault="001F389F">
            <w:pPr>
              <w:pStyle w:val="Table"/>
              <w:jc w:val="center"/>
              <w:rPr>
                <w:sz w:val="18"/>
                <w:szCs w:val="18"/>
              </w:rPr>
            </w:pPr>
            <w:r w:rsidRPr="008F7AFA">
              <w:rPr>
                <w:sz w:val="18"/>
                <w:szCs w:val="18"/>
              </w:rPr>
              <w:t>1</w:t>
            </w: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62407B10" w14:textId="77777777" w:rsidR="001F389F" w:rsidRPr="008F7AFA" w:rsidRDefault="001F389F">
            <w:pPr>
              <w:pStyle w:val="Table"/>
              <w:jc w:val="center"/>
              <w:rPr>
                <w:sz w:val="18"/>
                <w:szCs w:val="18"/>
              </w:rPr>
            </w:pPr>
            <w:r w:rsidRPr="008F7AFA">
              <w:rPr>
                <w:sz w:val="18"/>
                <w:szCs w:val="18"/>
              </w:rPr>
              <w:t>NEB</w:t>
            </w:r>
            <w:r w:rsidRPr="00411124">
              <w:rPr>
                <w:sz w:val="18"/>
                <w:szCs w:val="18"/>
                <w:vertAlign w:val="superscript"/>
              </w:rPr>
              <w:t>†</w:t>
            </w:r>
          </w:p>
        </w:tc>
        <w:tc>
          <w:tcPr>
            <w:tcW w:w="0" w:type="auto"/>
            <w:tcBorders>
              <w:top w:val="single" w:sz="4" w:space="0" w:color="FFF7ED"/>
              <w:left w:val="single" w:sz="4" w:space="0" w:color="FFF7ED"/>
              <w:bottom w:val="single" w:sz="4" w:space="0" w:color="FFF7ED"/>
              <w:right w:val="single" w:sz="4" w:space="0" w:color="FFF7ED"/>
            </w:tcBorders>
            <w:shd w:val="clear" w:color="auto" w:fill="C2D9BA"/>
            <w:vAlign w:val="center"/>
          </w:tcPr>
          <w:p w14:paraId="5EBDFE4F" w14:textId="77777777" w:rsidR="001F389F" w:rsidRPr="008F7AFA" w:rsidRDefault="001F389F">
            <w:pPr>
              <w:pStyle w:val="Table"/>
              <w:jc w:val="center"/>
              <w:rPr>
                <w:sz w:val="18"/>
                <w:szCs w:val="18"/>
              </w:rPr>
            </w:pPr>
            <w:r w:rsidRPr="008F7AFA">
              <w:rPr>
                <w:sz w:val="18"/>
                <w:szCs w:val="18"/>
              </w:rPr>
              <w:t>Not scorable</w:t>
            </w:r>
          </w:p>
        </w:tc>
      </w:tr>
      <w:tr w:rsidR="001F389F" w:rsidRPr="008F7AFA" w14:paraId="4B47D73D" w14:textId="77777777">
        <w:trPr>
          <w:cantSplit/>
          <w:trHeight w:val="265"/>
        </w:trPr>
        <w:tc>
          <w:tcPr>
            <w:tcW w:w="0" w:type="auto"/>
            <w:gridSpan w:val="10"/>
            <w:tcBorders>
              <w:top w:val="single" w:sz="4" w:space="0" w:color="FFF7ED"/>
              <w:left w:val="single" w:sz="4" w:space="0" w:color="C2D9BA"/>
              <w:bottom w:val="single" w:sz="4" w:space="0" w:color="C2D9BA"/>
              <w:right w:val="single" w:sz="4" w:space="0" w:color="C2D9BA"/>
            </w:tcBorders>
            <w:shd w:val="clear" w:color="auto" w:fill="B6D1AC"/>
            <w:vAlign w:val="center"/>
          </w:tcPr>
          <w:p w14:paraId="4B3BAC25" w14:textId="77777777" w:rsidR="001F389F" w:rsidRPr="008F7AFA" w:rsidRDefault="001F389F">
            <w:pPr>
              <w:pStyle w:val="TableText"/>
              <w:keepNext/>
              <w:rPr>
                <w:b/>
                <w:bCs/>
                <w:szCs w:val="18"/>
              </w:rPr>
            </w:pPr>
            <w:r w:rsidRPr="008F7AFA">
              <w:rPr>
                <w:b/>
                <w:bCs/>
                <w:szCs w:val="18"/>
              </w:rPr>
              <w:t>Leukaemia</w:t>
            </w:r>
          </w:p>
        </w:tc>
      </w:tr>
      <w:tr w:rsidR="001F389F" w:rsidRPr="008F7AFA" w14:paraId="70982A3E" w14:textId="77777777">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1E192A29" w14:textId="77777777" w:rsidR="001F389F" w:rsidRPr="008F7AFA" w:rsidRDefault="001F389F">
            <w:pPr>
              <w:keepNext/>
              <w:spacing w:before="60" w:after="60"/>
              <w:rPr>
                <w:sz w:val="18"/>
                <w:szCs w:val="18"/>
              </w:rPr>
            </w:pPr>
            <w:r w:rsidRPr="008F7AFA">
              <w:rPr>
                <w:sz w:val="18"/>
                <w:szCs w:val="18"/>
              </w:rPr>
              <w:t>Acute lymphoblastic leukaemia</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4673290E" w14:textId="77777777" w:rsidR="001F389F" w:rsidRPr="008F7AFA" w:rsidRDefault="001F389F">
            <w:pPr>
              <w:pStyle w:val="TableText"/>
              <w:keepNext/>
              <w:jc w:val="center"/>
              <w:rPr>
                <w:szCs w:val="18"/>
              </w:rPr>
            </w:pPr>
            <w:r w:rsidRPr="008F7AFA">
              <w:rPr>
                <w:rFonts w:cs="Calibri"/>
                <w:color w:val="000000"/>
                <w:szCs w:val="18"/>
              </w:rPr>
              <w:t>4</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4AFAE6D6" w14:textId="77777777" w:rsidR="001F389F" w:rsidRPr="008F7AFA" w:rsidRDefault="001F389F">
            <w:pPr>
              <w:pStyle w:val="TableText"/>
              <w:keepNext/>
              <w:jc w:val="center"/>
              <w:rPr>
                <w:szCs w:val="18"/>
              </w:rPr>
            </w:pPr>
            <w:r w:rsidRPr="008F7AFA">
              <w:rPr>
                <w:szCs w:val="18"/>
              </w:rPr>
              <w:t>1</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16767709" w14:textId="77777777" w:rsidR="001F389F" w:rsidRPr="008F7AFA" w:rsidRDefault="001F389F">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59C15F32" w14:textId="77777777" w:rsidR="001F389F" w:rsidRPr="008F7AFA" w:rsidRDefault="001F389F">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6A6DF394"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17265C9E" w14:textId="77777777" w:rsidR="001F389F" w:rsidRPr="008F7AFA" w:rsidRDefault="001F389F">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35BBE9CC"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05050D22"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2DD5728C" w14:textId="77777777" w:rsidR="001F389F" w:rsidRPr="008F7AFA" w:rsidRDefault="001F389F">
            <w:pPr>
              <w:pStyle w:val="TableText"/>
              <w:keepNext/>
              <w:jc w:val="center"/>
              <w:rPr>
                <w:szCs w:val="18"/>
              </w:rPr>
            </w:pPr>
            <w:r w:rsidRPr="008F7AFA">
              <w:rPr>
                <w:szCs w:val="18"/>
              </w:rPr>
              <w:t>–</w:t>
            </w:r>
          </w:p>
        </w:tc>
      </w:tr>
      <w:tr w:rsidR="001F389F" w:rsidRPr="008F7AFA" w14:paraId="1441D116" w14:textId="77777777">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18996E02" w14:textId="77777777" w:rsidR="001F389F" w:rsidRPr="008F7AFA" w:rsidRDefault="001F389F">
            <w:pPr>
              <w:keepNext/>
              <w:spacing w:before="60" w:after="60"/>
              <w:rPr>
                <w:sz w:val="18"/>
                <w:szCs w:val="18"/>
              </w:rPr>
            </w:pPr>
            <w:r w:rsidRPr="008F7AFA">
              <w:rPr>
                <w:sz w:val="18"/>
                <w:szCs w:val="18"/>
              </w:rPr>
              <w:t>Acute myeloid leukaemia</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511E0257" w14:textId="77777777" w:rsidR="001F389F" w:rsidRPr="008F7AFA" w:rsidRDefault="001F389F">
            <w:pPr>
              <w:pStyle w:val="TableText"/>
              <w:keepNext/>
              <w:jc w:val="center"/>
              <w:rPr>
                <w:szCs w:val="18"/>
              </w:rPr>
            </w:pPr>
            <w:r w:rsidRPr="008F7AFA">
              <w:rPr>
                <w:rFonts w:cs="Calibri"/>
                <w:color w:val="000000"/>
                <w:szCs w:val="18"/>
              </w:rPr>
              <w:t>6</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074CA59E" w14:textId="77777777" w:rsidR="001F389F" w:rsidRPr="008F7AFA" w:rsidRDefault="001F389F">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227A41FE" w14:textId="77777777" w:rsidR="001F389F" w:rsidRPr="008F7AFA" w:rsidRDefault="001F389F">
            <w:pPr>
              <w:pStyle w:val="TableText"/>
              <w:keepNext/>
              <w:jc w:val="center"/>
              <w:rPr>
                <w:rFonts w:cs="Calibri"/>
                <w:color w:val="000000"/>
                <w:szCs w:val="18"/>
              </w:rPr>
            </w:pPr>
            <w:r w:rsidRPr="008F7AFA">
              <w:rPr>
                <w:rFonts w:cs="Calibri"/>
                <w:color w:val="000000"/>
                <w:szCs w:val="18"/>
              </w:rPr>
              <w:t>2</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47426B77" w14:textId="77777777" w:rsidR="001F389F" w:rsidRPr="008F7AFA" w:rsidRDefault="001F389F">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5A2184ED"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52F569FD"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2BEFEC59"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2E4AD937"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087BE661" w14:textId="77777777" w:rsidR="001F389F" w:rsidRPr="008F7AFA" w:rsidRDefault="001F389F">
            <w:pPr>
              <w:pStyle w:val="TableText"/>
              <w:keepNext/>
              <w:jc w:val="center"/>
              <w:rPr>
                <w:szCs w:val="18"/>
              </w:rPr>
            </w:pPr>
            <w:r w:rsidRPr="008F7AFA">
              <w:rPr>
                <w:rFonts w:cs="Calibri"/>
                <w:color w:val="000000"/>
                <w:szCs w:val="18"/>
              </w:rPr>
              <w:t>2</w:t>
            </w:r>
          </w:p>
        </w:tc>
      </w:tr>
      <w:tr w:rsidR="001F389F" w:rsidRPr="008F7AFA" w14:paraId="652C84C4" w14:textId="77777777">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3BFEF529" w14:textId="77777777" w:rsidR="001F389F" w:rsidRPr="008F7AFA" w:rsidRDefault="001F389F">
            <w:pPr>
              <w:keepNext/>
              <w:spacing w:before="60" w:after="60"/>
              <w:rPr>
                <w:sz w:val="18"/>
                <w:szCs w:val="18"/>
              </w:rPr>
            </w:pPr>
            <w:r w:rsidRPr="008F7AFA">
              <w:rPr>
                <w:sz w:val="18"/>
                <w:szCs w:val="18"/>
              </w:rPr>
              <w:t>Chronic lymphoblastic leukaemia</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3F0FFA44" w14:textId="77777777" w:rsidR="001F389F" w:rsidRPr="008F7AFA" w:rsidRDefault="001F389F">
            <w:pPr>
              <w:pStyle w:val="TableText"/>
              <w:keepNext/>
              <w:jc w:val="center"/>
              <w:rPr>
                <w:szCs w:val="18"/>
              </w:rPr>
            </w:pPr>
            <w:r w:rsidRPr="008F7AFA">
              <w:rPr>
                <w:rFonts w:cs="Calibri"/>
                <w:color w:val="000000"/>
                <w:szCs w:val="18"/>
              </w:rPr>
              <w:t>7</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6300CA68" w14:textId="77777777" w:rsidR="001F389F" w:rsidRPr="008F7AFA" w:rsidRDefault="001F389F">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3061F177" w14:textId="77777777" w:rsidR="001F389F" w:rsidRPr="008F7AFA" w:rsidRDefault="001F389F">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38793B79" w14:textId="77777777" w:rsidR="001F389F" w:rsidRPr="008F7AFA" w:rsidRDefault="001F389F">
            <w:pPr>
              <w:pStyle w:val="TableText"/>
              <w:keepNext/>
              <w:jc w:val="center"/>
              <w:rPr>
                <w:szCs w:val="18"/>
              </w:rPr>
            </w:pPr>
            <w:r w:rsidRPr="008F7AFA">
              <w:rPr>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1DEB513F" w14:textId="77777777" w:rsidR="001F389F" w:rsidRPr="008F7AFA" w:rsidRDefault="001F389F">
            <w:pPr>
              <w:pStyle w:val="TableText"/>
              <w:keepNext/>
              <w:jc w:val="center"/>
              <w:rPr>
                <w:szCs w:val="18"/>
              </w:rPr>
            </w:pPr>
            <w:r w:rsidRPr="008F7AFA">
              <w:rPr>
                <w:rFonts w:cs="Calibri"/>
                <w:color w:val="000000"/>
                <w:szCs w:val="18"/>
              </w:rPr>
              <w:t>5</w:t>
            </w:r>
          </w:p>
        </w:tc>
        <w:tc>
          <w:tcPr>
            <w:tcW w:w="0" w:type="auto"/>
            <w:tcBorders>
              <w:top w:val="single" w:sz="4" w:space="0" w:color="C2D9BA"/>
              <w:left w:val="single" w:sz="4" w:space="0" w:color="C2D9BA"/>
              <w:bottom w:val="single" w:sz="4" w:space="0" w:color="C2D9BA"/>
              <w:right w:val="single" w:sz="4" w:space="0" w:color="C2D9BA"/>
            </w:tcBorders>
            <w:vAlign w:val="center"/>
          </w:tcPr>
          <w:p w14:paraId="6798B1E1"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67ECF654" w14:textId="77777777" w:rsidR="001F389F" w:rsidRPr="008F7AFA" w:rsidRDefault="001F389F">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08B2DC72"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50BFB26B" w14:textId="77777777" w:rsidR="001F389F" w:rsidRPr="008F7AFA" w:rsidRDefault="001F389F">
            <w:pPr>
              <w:pStyle w:val="TableText"/>
              <w:keepNext/>
              <w:jc w:val="center"/>
              <w:rPr>
                <w:szCs w:val="18"/>
              </w:rPr>
            </w:pPr>
            <w:r w:rsidRPr="008F7AFA">
              <w:rPr>
                <w:szCs w:val="18"/>
              </w:rPr>
              <w:t>–</w:t>
            </w:r>
          </w:p>
        </w:tc>
      </w:tr>
      <w:tr w:rsidR="001F389F" w:rsidRPr="008F7AFA" w14:paraId="27085607" w14:textId="77777777">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77EE417F" w14:textId="77777777" w:rsidR="001F389F" w:rsidRPr="008F7AFA" w:rsidRDefault="001F389F">
            <w:pPr>
              <w:keepNext/>
              <w:spacing w:before="60" w:after="60"/>
              <w:rPr>
                <w:sz w:val="18"/>
                <w:szCs w:val="18"/>
              </w:rPr>
            </w:pPr>
            <w:r w:rsidRPr="008F7AFA">
              <w:rPr>
                <w:sz w:val="18"/>
                <w:szCs w:val="18"/>
              </w:rPr>
              <w:t>Chronic myeloid leukaemia</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0A538D5E" w14:textId="77777777" w:rsidR="001F389F" w:rsidRPr="008F7AFA" w:rsidRDefault="001F389F">
            <w:pPr>
              <w:pStyle w:val="TableText"/>
              <w:keepNext/>
              <w:jc w:val="center"/>
              <w:rPr>
                <w:szCs w:val="18"/>
              </w:rPr>
            </w:pPr>
            <w:r>
              <w:rPr>
                <w:szCs w:val="18"/>
              </w:rPr>
              <w:t>3</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4262F5BD" w14:textId="77777777" w:rsidR="001F389F" w:rsidRPr="008F7AFA" w:rsidRDefault="001F389F">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697A1C0A" w14:textId="77777777" w:rsidR="001F389F" w:rsidRPr="008F7AFA" w:rsidRDefault="001F389F">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0C92974F" w14:textId="77777777" w:rsidR="001F389F" w:rsidRPr="008F7AFA" w:rsidRDefault="001F389F">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6EC365D9" w14:textId="77777777" w:rsidR="001F389F" w:rsidRPr="008F7AFA" w:rsidRDefault="001F389F">
            <w:pPr>
              <w:pStyle w:val="TableText"/>
              <w:keepNext/>
              <w:jc w:val="center"/>
              <w:rPr>
                <w:szCs w:val="18"/>
              </w:rPr>
            </w:pPr>
            <w:r w:rsidRPr="008F7AFA">
              <w:rPr>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59271FDB"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4CFDEF4C"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44D20F2D"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499CFFA6" w14:textId="77777777" w:rsidR="001F389F" w:rsidRPr="008F7AFA" w:rsidRDefault="001F389F">
            <w:pPr>
              <w:pStyle w:val="TableText"/>
              <w:keepNext/>
              <w:jc w:val="center"/>
              <w:rPr>
                <w:szCs w:val="18"/>
              </w:rPr>
            </w:pPr>
            <w:r>
              <w:rPr>
                <w:szCs w:val="18"/>
              </w:rPr>
              <w:t>1</w:t>
            </w:r>
          </w:p>
        </w:tc>
      </w:tr>
      <w:tr w:rsidR="001F389F" w:rsidRPr="008F7AFA" w14:paraId="73A3B44F" w14:textId="77777777">
        <w:trPr>
          <w:cantSplit/>
          <w:trHeight w:val="265"/>
        </w:trPr>
        <w:tc>
          <w:tcPr>
            <w:tcW w:w="0" w:type="auto"/>
            <w:gridSpan w:val="10"/>
            <w:tcBorders>
              <w:top w:val="single" w:sz="4" w:space="0" w:color="C2D9BA"/>
              <w:left w:val="single" w:sz="4" w:space="0" w:color="C2D9BA"/>
              <w:bottom w:val="single" w:sz="4" w:space="0" w:color="C2D9BA"/>
              <w:right w:val="single" w:sz="4" w:space="0" w:color="C2D9BA"/>
            </w:tcBorders>
            <w:shd w:val="clear" w:color="auto" w:fill="C2D9BA"/>
            <w:vAlign w:val="center"/>
          </w:tcPr>
          <w:p w14:paraId="05D91267" w14:textId="77777777" w:rsidR="001F389F" w:rsidRPr="008F7AFA" w:rsidRDefault="001F389F">
            <w:pPr>
              <w:pStyle w:val="TableText"/>
              <w:keepNext/>
              <w:rPr>
                <w:b/>
                <w:bCs/>
                <w:szCs w:val="18"/>
              </w:rPr>
            </w:pPr>
            <w:r w:rsidRPr="008F7AFA">
              <w:rPr>
                <w:b/>
                <w:bCs/>
                <w:szCs w:val="18"/>
              </w:rPr>
              <w:t>Lymphoma</w:t>
            </w:r>
          </w:p>
        </w:tc>
      </w:tr>
      <w:tr w:rsidR="001F389F" w:rsidRPr="008F7AFA" w14:paraId="1F03557E" w14:textId="77777777">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6A49320F" w14:textId="77777777" w:rsidR="001F389F" w:rsidRPr="008F7AFA" w:rsidRDefault="001F389F">
            <w:pPr>
              <w:keepNext/>
              <w:spacing w:before="60" w:after="60"/>
              <w:rPr>
                <w:rFonts w:cs="Calibri"/>
                <w:bCs/>
                <w:color w:val="000000"/>
                <w:sz w:val="18"/>
                <w:szCs w:val="18"/>
              </w:rPr>
            </w:pPr>
            <w:r w:rsidRPr="008F7AFA">
              <w:rPr>
                <w:sz w:val="18"/>
                <w:szCs w:val="18"/>
              </w:rPr>
              <w:t>Hodgkin’s lymphoma</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151250EE" w14:textId="77777777" w:rsidR="001F389F" w:rsidRPr="008F7AFA" w:rsidRDefault="001F389F">
            <w:pPr>
              <w:pStyle w:val="TableText"/>
              <w:keepNext/>
              <w:jc w:val="center"/>
              <w:rPr>
                <w:rFonts w:cs="Calibri"/>
                <w:color w:val="000000"/>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7AB76804" w14:textId="77777777" w:rsidR="001F389F" w:rsidRPr="008F7AFA" w:rsidRDefault="001F389F">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691E4C13" w14:textId="77777777" w:rsidR="001F389F" w:rsidRPr="008F7AFA" w:rsidRDefault="001F389F">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4A596106" w14:textId="77777777" w:rsidR="001F389F" w:rsidRPr="008F7AFA" w:rsidRDefault="001F389F">
            <w:pPr>
              <w:pStyle w:val="TableText"/>
              <w:keepNext/>
              <w:jc w:val="center"/>
              <w:rPr>
                <w:szCs w:val="18"/>
              </w:rPr>
            </w:pPr>
          </w:p>
        </w:tc>
        <w:tc>
          <w:tcPr>
            <w:tcW w:w="0" w:type="auto"/>
            <w:tcBorders>
              <w:top w:val="single" w:sz="4" w:space="0" w:color="C2D9BA"/>
              <w:left w:val="single" w:sz="4" w:space="0" w:color="C2D9BA"/>
              <w:bottom w:val="single" w:sz="4" w:space="0" w:color="C2D9BA"/>
              <w:right w:val="single" w:sz="4" w:space="0" w:color="C2D9BA"/>
            </w:tcBorders>
            <w:vAlign w:val="center"/>
          </w:tcPr>
          <w:p w14:paraId="61EC0123" w14:textId="77777777" w:rsidR="001F389F" w:rsidRPr="008F7AFA" w:rsidRDefault="001F389F">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35F49360"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02C6A6CA"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19F94FDA"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0C792815" w14:textId="77777777" w:rsidR="001F389F" w:rsidRPr="008F7AFA" w:rsidRDefault="001F389F">
            <w:pPr>
              <w:pStyle w:val="TableText"/>
              <w:keepNext/>
              <w:jc w:val="center"/>
              <w:rPr>
                <w:szCs w:val="18"/>
              </w:rPr>
            </w:pPr>
            <w:r w:rsidRPr="008F7AFA">
              <w:rPr>
                <w:szCs w:val="18"/>
              </w:rPr>
              <w:t>–</w:t>
            </w:r>
          </w:p>
        </w:tc>
      </w:tr>
      <w:tr w:rsidR="001F389F" w:rsidRPr="008F7AFA" w14:paraId="11BA3114" w14:textId="77777777">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5DF38E86" w14:textId="77777777" w:rsidR="001F389F" w:rsidRPr="008F7AFA" w:rsidRDefault="001F389F">
            <w:pPr>
              <w:keepNext/>
              <w:spacing w:before="60" w:after="60"/>
              <w:rPr>
                <w:rFonts w:cs="Calibri"/>
                <w:bCs/>
                <w:color w:val="000000"/>
                <w:sz w:val="18"/>
                <w:szCs w:val="18"/>
              </w:rPr>
            </w:pPr>
            <w:r w:rsidRPr="008F7AFA">
              <w:rPr>
                <w:sz w:val="18"/>
                <w:szCs w:val="18"/>
              </w:rPr>
              <w:t>Non-Hodgkin’s lymphoma</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63AF9D05" w14:textId="77777777" w:rsidR="001F389F" w:rsidRPr="008F7AFA" w:rsidRDefault="001F389F">
            <w:pPr>
              <w:pStyle w:val="TableText"/>
              <w:keepNext/>
              <w:jc w:val="center"/>
              <w:rPr>
                <w:rFonts w:cs="Calibri"/>
                <w:color w:val="000000"/>
                <w:szCs w:val="18"/>
              </w:rPr>
            </w:pPr>
            <w:r w:rsidRPr="008F7AFA">
              <w:rPr>
                <w:rFonts w:cs="Calibri"/>
                <w:color w:val="000000"/>
                <w:szCs w:val="18"/>
              </w:rPr>
              <w:t>5</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6327A9B2" w14:textId="77777777" w:rsidR="001F389F" w:rsidRPr="008F7AFA" w:rsidRDefault="001F389F">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03A60C8D" w14:textId="77777777" w:rsidR="001F389F" w:rsidRPr="008F7AFA" w:rsidRDefault="001F389F">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143C2C81" w14:textId="77777777" w:rsidR="001F389F" w:rsidRPr="008F7AFA" w:rsidRDefault="001F389F">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63841BF1" w14:textId="77777777" w:rsidR="001F389F" w:rsidRPr="008F7AFA" w:rsidRDefault="001F389F">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5E30C68A"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103D7BBF"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21C0F92C" w14:textId="77777777" w:rsidR="001F389F" w:rsidRPr="008F7AFA" w:rsidRDefault="001F389F">
            <w:pPr>
              <w:pStyle w:val="TableText"/>
              <w:keepNext/>
              <w:jc w:val="center"/>
              <w:rPr>
                <w:szCs w:val="18"/>
              </w:rPr>
            </w:pPr>
            <w:r w:rsidRPr="008F7AFA">
              <w:rPr>
                <w:rFonts w:cs="Calibri"/>
                <w:color w:val="000000"/>
                <w:szCs w:val="18"/>
              </w:rPr>
              <w:t>2</w:t>
            </w:r>
          </w:p>
        </w:tc>
        <w:tc>
          <w:tcPr>
            <w:tcW w:w="0" w:type="auto"/>
            <w:tcBorders>
              <w:top w:val="single" w:sz="4" w:space="0" w:color="C2D9BA"/>
              <w:left w:val="single" w:sz="4" w:space="0" w:color="C2D9BA"/>
              <w:bottom w:val="single" w:sz="4" w:space="0" w:color="C2D9BA"/>
              <w:right w:val="single" w:sz="4" w:space="0" w:color="C2D9BA"/>
            </w:tcBorders>
            <w:vAlign w:val="center"/>
          </w:tcPr>
          <w:p w14:paraId="0323DBF6" w14:textId="77777777" w:rsidR="001F389F" w:rsidRPr="008F7AFA" w:rsidRDefault="001F389F">
            <w:pPr>
              <w:pStyle w:val="TableText"/>
              <w:keepNext/>
              <w:jc w:val="center"/>
              <w:rPr>
                <w:szCs w:val="18"/>
              </w:rPr>
            </w:pPr>
            <w:r w:rsidRPr="008F7AFA">
              <w:rPr>
                <w:szCs w:val="18"/>
              </w:rPr>
              <w:t>1</w:t>
            </w:r>
          </w:p>
        </w:tc>
      </w:tr>
      <w:tr w:rsidR="001F389F" w:rsidRPr="008F7AFA" w14:paraId="6ED9693A" w14:textId="77777777">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2EF99566" w14:textId="77777777" w:rsidR="001F389F" w:rsidRPr="008F7AFA" w:rsidRDefault="001F389F">
            <w:pPr>
              <w:keepNext/>
              <w:spacing w:before="60" w:after="60"/>
              <w:rPr>
                <w:sz w:val="18"/>
                <w:szCs w:val="18"/>
              </w:rPr>
            </w:pPr>
            <w:r w:rsidRPr="008F7AFA">
              <w:rPr>
                <w:sz w:val="18"/>
                <w:szCs w:val="18"/>
              </w:rPr>
              <w:t>Lymphoma B-cell</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37E53F53" w14:textId="77777777" w:rsidR="001F389F" w:rsidRPr="008F7AFA" w:rsidRDefault="001F389F">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70BB21C0" w14:textId="77777777" w:rsidR="001F389F" w:rsidRPr="008F7AFA" w:rsidRDefault="001F389F">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560AB158" w14:textId="77777777" w:rsidR="001F389F" w:rsidRPr="008F7AFA" w:rsidRDefault="001F389F">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73425AB4"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539E8E25" w14:textId="77777777" w:rsidR="001F389F" w:rsidRPr="008F7AFA" w:rsidRDefault="001F389F">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04C00ADF"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566DAFED"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490309AA"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14968E2F" w14:textId="77777777" w:rsidR="001F389F" w:rsidRPr="008F7AFA" w:rsidRDefault="001F389F">
            <w:pPr>
              <w:pStyle w:val="TableText"/>
              <w:keepNext/>
              <w:jc w:val="center"/>
              <w:rPr>
                <w:szCs w:val="18"/>
              </w:rPr>
            </w:pPr>
            <w:r w:rsidRPr="008F7AFA">
              <w:rPr>
                <w:szCs w:val="18"/>
              </w:rPr>
              <w:t>–</w:t>
            </w:r>
          </w:p>
        </w:tc>
      </w:tr>
      <w:tr w:rsidR="001F389F" w:rsidRPr="008F7AFA" w14:paraId="7624CE9D" w14:textId="77777777">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25A6D334" w14:textId="77777777" w:rsidR="001F389F" w:rsidRPr="008F7AFA" w:rsidRDefault="001F389F">
            <w:pPr>
              <w:keepNext/>
              <w:spacing w:before="60" w:after="60"/>
              <w:rPr>
                <w:sz w:val="18"/>
                <w:szCs w:val="18"/>
              </w:rPr>
            </w:pPr>
            <w:r w:rsidRPr="008F7AFA">
              <w:rPr>
                <w:sz w:val="18"/>
                <w:szCs w:val="18"/>
              </w:rPr>
              <w:t>Lymphoma T-cell</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0C01328F" w14:textId="77777777" w:rsidR="001F389F" w:rsidRPr="008F7AFA" w:rsidRDefault="001F389F">
            <w:pPr>
              <w:pStyle w:val="TableText"/>
              <w:keepNext/>
              <w:jc w:val="center"/>
              <w:rPr>
                <w:szCs w:val="18"/>
              </w:rPr>
            </w:pPr>
            <w:r w:rsidRPr="008F7AFA">
              <w:rPr>
                <w:rFonts w:cs="Calibri"/>
                <w:color w:val="000000"/>
                <w:szCs w:val="18"/>
              </w:rPr>
              <w:t>4</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24FD4210" w14:textId="77777777" w:rsidR="001F389F" w:rsidRPr="008F7AFA" w:rsidRDefault="001F389F">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22DC1670" w14:textId="77777777" w:rsidR="001F389F" w:rsidRPr="008F7AFA" w:rsidRDefault="001F389F">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70558A1F"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1CA0B363" w14:textId="77777777" w:rsidR="001F389F" w:rsidRPr="008F7AFA" w:rsidRDefault="001F389F">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5C0E94A3" w14:textId="77777777" w:rsidR="001F389F" w:rsidRPr="008F7AFA" w:rsidRDefault="001F389F">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3669097B" w14:textId="77777777" w:rsidR="001F389F" w:rsidRPr="008F7AFA" w:rsidRDefault="001F389F">
            <w:pPr>
              <w:pStyle w:val="TableText"/>
              <w:keepNext/>
              <w:jc w:val="center"/>
              <w:rPr>
                <w:szCs w:val="18"/>
              </w:rPr>
            </w:pPr>
            <w:r w:rsidRPr="008F7AFA">
              <w:rPr>
                <w:rFonts w:cs="Calibri"/>
                <w:color w:val="000000"/>
                <w:szCs w:val="18"/>
              </w:rPr>
              <w:t>2</w:t>
            </w:r>
          </w:p>
        </w:tc>
        <w:tc>
          <w:tcPr>
            <w:tcW w:w="0" w:type="auto"/>
            <w:tcBorders>
              <w:top w:val="single" w:sz="4" w:space="0" w:color="C2D9BA"/>
              <w:left w:val="single" w:sz="4" w:space="0" w:color="C2D9BA"/>
              <w:bottom w:val="single" w:sz="4" w:space="0" w:color="C2D9BA"/>
              <w:right w:val="single" w:sz="4" w:space="0" w:color="C2D9BA"/>
            </w:tcBorders>
            <w:vAlign w:val="center"/>
          </w:tcPr>
          <w:p w14:paraId="769D8C78"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1522E12A" w14:textId="77777777" w:rsidR="001F389F" w:rsidRPr="008F7AFA" w:rsidRDefault="001F389F">
            <w:pPr>
              <w:pStyle w:val="TableText"/>
              <w:keepNext/>
              <w:jc w:val="center"/>
              <w:rPr>
                <w:szCs w:val="18"/>
              </w:rPr>
            </w:pPr>
            <w:r w:rsidRPr="008F7AFA">
              <w:rPr>
                <w:szCs w:val="18"/>
              </w:rPr>
              <w:t>–</w:t>
            </w:r>
          </w:p>
        </w:tc>
      </w:tr>
      <w:tr w:rsidR="001F389F" w:rsidRPr="008F7AFA" w14:paraId="01D9FC16" w14:textId="77777777">
        <w:trPr>
          <w:cantSplit/>
          <w:trHeight w:val="265"/>
        </w:trPr>
        <w:tc>
          <w:tcPr>
            <w:tcW w:w="0" w:type="auto"/>
            <w:gridSpan w:val="10"/>
            <w:tcBorders>
              <w:top w:val="single" w:sz="4" w:space="0" w:color="C2D9BA"/>
              <w:left w:val="single" w:sz="4" w:space="0" w:color="C2D9BA"/>
              <w:bottom w:val="single" w:sz="4" w:space="0" w:color="C2D9BA"/>
              <w:right w:val="single" w:sz="4" w:space="0" w:color="C2D9BA"/>
            </w:tcBorders>
            <w:shd w:val="clear" w:color="auto" w:fill="C2D9BA"/>
            <w:vAlign w:val="center"/>
          </w:tcPr>
          <w:p w14:paraId="7D174C60" w14:textId="77777777" w:rsidR="001F389F" w:rsidRPr="008F7AFA" w:rsidRDefault="001F389F">
            <w:pPr>
              <w:pStyle w:val="TableText"/>
              <w:keepNext/>
              <w:rPr>
                <w:b/>
                <w:bCs/>
                <w:szCs w:val="18"/>
              </w:rPr>
            </w:pPr>
            <w:r w:rsidRPr="008F7AFA">
              <w:rPr>
                <w:b/>
                <w:bCs/>
                <w:szCs w:val="18"/>
              </w:rPr>
              <w:t>Myeloma</w:t>
            </w:r>
          </w:p>
        </w:tc>
      </w:tr>
      <w:tr w:rsidR="001F389F" w:rsidRPr="008F7AFA" w14:paraId="01E3E53C" w14:textId="77777777">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22A87930" w14:textId="77777777" w:rsidR="001F389F" w:rsidRPr="008F7AFA" w:rsidRDefault="001F389F">
            <w:pPr>
              <w:keepNext/>
              <w:spacing w:before="60" w:after="60"/>
              <w:rPr>
                <w:sz w:val="18"/>
                <w:szCs w:val="18"/>
              </w:rPr>
            </w:pPr>
            <w:r w:rsidRPr="008F7AFA">
              <w:rPr>
                <w:sz w:val="18"/>
                <w:szCs w:val="18"/>
              </w:rPr>
              <w:t>Multiple myeloma</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343DEBD3" w14:textId="70AF4210" w:rsidR="001F389F" w:rsidRPr="008F7AFA" w:rsidRDefault="00B02475">
            <w:pPr>
              <w:pStyle w:val="TableText"/>
              <w:keepNext/>
              <w:jc w:val="center"/>
              <w:rPr>
                <w:szCs w:val="18"/>
              </w:rPr>
            </w:pPr>
            <w:r>
              <w:rPr>
                <w:szCs w:val="18"/>
              </w:rPr>
              <w:t>7</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468CCFC6" w14:textId="77777777" w:rsidR="001F389F" w:rsidRPr="008F7AFA" w:rsidRDefault="001F389F">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230BBBC5" w14:textId="77777777" w:rsidR="001F389F" w:rsidRPr="008F7AFA" w:rsidRDefault="001F389F">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142F2A11" w14:textId="77777777" w:rsidR="001F389F" w:rsidRPr="008F7AFA" w:rsidRDefault="001F389F">
            <w:pPr>
              <w:pStyle w:val="TableText"/>
              <w:keepNext/>
              <w:jc w:val="center"/>
              <w:rPr>
                <w:szCs w:val="18"/>
              </w:rPr>
            </w:pPr>
            <w:r w:rsidRPr="008F7AFA">
              <w:rPr>
                <w:rFonts w:cs="Calibri"/>
                <w:color w:val="000000"/>
                <w:szCs w:val="18"/>
              </w:rPr>
              <w:t>2</w:t>
            </w:r>
          </w:p>
        </w:tc>
        <w:tc>
          <w:tcPr>
            <w:tcW w:w="0" w:type="auto"/>
            <w:tcBorders>
              <w:top w:val="single" w:sz="4" w:space="0" w:color="C2D9BA"/>
              <w:left w:val="single" w:sz="4" w:space="0" w:color="C2D9BA"/>
              <w:bottom w:val="single" w:sz="4" w:space="0" w:color="C2D9BA"/>
              <w:right w:val="single" w:sz="4" w:space="0" w:color="C2D9BA"/>
            </w:tcBorders>
            <w:vAlign w:val="center"/>
          </w:tcPr>
          <w:p w14:paraId="706D9C2C" w14:textId="77777777" w:rsidR="001F389F" w:rsidRPr="008F7AFA" w:rsidRDefault="001F389F">
            <w:pPr>
              <w:pStyle w:val="TableText"/>
              <w:keepNext/>
              <w:jc w:val="center"/>
              <w:rPr>
                <w:szCs w:val="18"/>
              </w:rPr>
            </w:pPr>
            <w:r>
              <w:rPr>
                <w:szCs w:val="18"/>
              </w:rPr>
              <w:t>3</w:t>
            </w:r>
          </w:p>
        </w:tc>
        <w:tc>
          <w:tcPr>
            <w:tcW w:w="0" w:type="auto"/>
            <w:tcBorders>
              <w:top w:val="single" w:sz="4" w:space="0" w:color="C2D9BA"/>
              <w:left w:val="single" w:sz="4" w:space="0" w:color="C2D9BA"/>
              <w:bottom w:val="single" w:sz="4" w:space="0" w:color="C2D9BA"/>
              <w:right w:val="single" w:sz="4" w:space="0" w:color="C2D9BA"/>
            </w:tcBorders>
            <w:vAlign w:val="center"/>
          </w:tcPr>
          <w:p w14:paraId="380D478F" w14:textId="77777777" w:rsidR="001F389F" w:rsidRPr="008F7AFA" w:rsidRDefault="001F389F">
            <w:pPr>
              <w:pStyle w:val="TableText"/>
              <w:keepNext/>
              <w:jc w:val="center"/>
              <w:rPr>
                <w:szCs w:val="18"/>
              </w:rPr>
            </w:pPr>
            <w:r w:rsidRPr="008F7AFA">
              <w:rPr>
                <w:rFonts w:cs="Calibri"/>
                <w:color w:val="000000"/>
                <w:szCs w:val="18"/>
              </w:rPr>
              <w:t>2</w:t>
            </w:r>
          </w:p>
        </w:tc>
        <w:tc>
          <w:tcPr>
            <w:tcW w:w="0" w:type="auto"/>
            <w:tcBorders>
              <w:top w:val="single" w:sz="4" w:space="0" w:color="C2D9BA"/>
              <w:left w:val="single" w:sz="4" w:space="0" w:color="C2D9BA"/>
              <w:bottom w:val="single" w:sz="4" w:space="0" w:color="C2D9BA"/>
              <w:right w:val="single" w:sz="4" w:space="0" w:color="C2D9BA"/>
            </w:tcBorders>
            <w:vAlign w:val="center"/>
          </w:tcPr>
          <w:p w14:paraId="707F1149"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55C723A4"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53AF29D0" w14:textId="77777777" w:rsidR="001F389F" w:rsidRPr="008F7AFA" w:rsidRDefault="001F389F">
            <w:pPr>
              <w:pStyle w:val="TableText"/>
              <w:keepNext/>
              <w:jc w:val="center"/>
              <w:rPr>
                <w:szCs w:val="18"/>
              </w:rPr>
            </w:pPr>
            <w:r w:rsidRPr="008F7AFA">
              <w:rPr>
                <w:szCs w:val="18"/>
              </w:rPr>
              <w:t>–</w:t>
            </w:r>
          </w:p>
        </w:tc>
      </w:tr>
      <w:tr w:rsidR="001F389F" w:rsidRPr="008F7AFA" w14:paraId="42B4184B" w14:textId="77777777">
        <w:trPr>
          <w:cantSplit/>
          <w:trHeight w:val="265"/>
        </w:trPr>
        <w:tc>
          <w:tcPr>
            <w:tcW w:w="0" w:type="auto"/>
            <w:gridSpan w:val="10"/>
            <w:tcBorders>
              <w:top w:val="single" w:sz="4" w:space="0" w:color="C2D9BA"/>
              <w:left w:val="single" w:sz="4" w:space="0" w:color="C2D9BA"/>
              <w:bottom w:val="single" w:sz="4" w:space="0" w:color="C2D9BA"/>
              <w:right w:val="single" w:sz="4" w:space="0" w:color="C2D9BA"/>
            </w:tcBorders>
            <w:shd w:val="clear" w:color="auto" w:fill="C2D9BA"/>
            <w:vAlign w:val="center"/>
          </w:tcPr>
          <w:p w14:paraId="1EDDEC04" w14:textId="77777777" w:rsidR="001F389F" w:rsidRPr="008F7AFA" w:rsidRDefault="001F389F">
            <w:pPr>
              <w:pStyle w:val="TableText"/>
              <w:keepNext/>
              <w:rPr>
                <w:b/>
                <w:bCs/>
                <w:szCs w:val="18"/>
              </w:rPr>
            </w:pPr>
            <w:r w:rsidRPr="008F7AFA">
              <w:rPr>
                <w:b/>
                <w:bCs/>
                <w:szCs w:val="18"/>
              </w:rPr>
              <w:t>Other</w:t>
            </w:r>
          </w:p>
        </w:tc>
      </w:tr>
      <w:tr w:rsidR="001F389F" w:rsidRPr="008F7AFA" w14:paraId="291802AD" w14:textId="77777777">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1214C0A1" w14:textId="77777777" w:rsidR="001F389F" w:rsidRPr="008F7AFA" w:rsidRDefault="001F389F">
            <w:pPr>
              <w:keepNext/>
              <w:spacing w:before="60" w:after="60"/>
              <w:rPr>
                <w:sz w:val="18"/>
                <w:szCs w:val="18"/>
              </w:rPr>
            </w:pPr>
            <w:r w:rsidRPr="008F7AFA">
              <w:rPr>
                <w:sz w:val="18"/>
                <w:szCs w:val="18"/>
              </w:rPr>
              <w:t>Other</w:t>
            </w:r>
            <w:r w:rsidRPr="008F7AFA">
              <w:rPr>
                <w:sz w:val="18"/>
                <w:szCs w:val="18"/>
                <w:vertAlign w:val="superscript"/>
              </w:rPr>
              <w:t>‡</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412E89A0" w14:textId="77777777" w:rsidR="001F389F" w:rsidRPr="008F7AFA" w:rsidRDefault="001F389F">
            <w:pPr>
              <w:pStyle w:val="TableText"/>
              <w:keepNext/>
              <w:jc w:val="center"/>
              <w:rPr>
                <w:szCs w:val="18"/>
              </w:rPr>
            </w:pPr>
            <w:r>
              <w:rPr>
                <w:szCs w:val="18"/>
              </w:rPr>
              <w:t>4</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31628E40" w14:textId="77777777" w:rsidR="001F389F" w:rsidRPr="008F7AFA" w:rsidRDefault="001F389F">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2CF7FFE6" w14:textId="77777777" w:rsidR="001F389F" w:rsidRPr="008F7AFA" w:rsidRDefault="001F389F">
            <w:pPr>
              <w:pStyle w:val="TableText"/>
              <w:keepNext/>
              <w:jc w:val="center"/>
              <w:rPr>
                <w:rFonts w:cs="Calibri"/>
                <w:color w:val="000000"/>
                <w:szCs w:val="18"/>
              </w:rPr>
            </w:pPr>
            <w:r w:rsidRPr="008F7AFA">
              <w:rPr>
                <w:rFonts w:cs="Calibri"/>
                <w:color w:val="000000"/>
                <w:szCs w:val="18"/>
              </w:rPr>
              <w:t>–</w:t>
            </w:r>
          </w:p>
        </w:tc>
        <w:tc>
          <w:tcPr>
            <w:tcW w:w="0" w:type="auto"/>
            <w:tcBorders>
              <w:top w:val="single" w:sz="4" w:space="0" w:color="C2D9BA"/>
              <w:left w:val="single" w:sz="4" w:space="0" w:color="C2D9BA"/>
              <w:bottom w:val="single" w:sz="4" w:space="0" w:color="C2D9BA"/>
              <w:right w:val="single" w:sz="4" w:space="0" w:color="C2D9BA"/>
            </w:tcBorders>
            <w:shd w:val="clear" w:color="auto" w:fill="auto"/>
            <w:vAlign w:val="center"/>
          </w:tcPr>
          <w:p w14:paraId="4120DB71"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248F636E" w14:textId="77777777" w:rsidR="001F389F" w:rsidRPr="008F7AFA" w:rsidRDefault="001F389F">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2BE64396" w14:textId="77777777" w:rsidR="001F389F" w:rsidRPr="008F7AFA" w:rsidRDefault="001F389F">
            <w:pPr>
              <w:pStyle w:val="TableText"/>
              <w:keepNext/>
              <w:jc w:val="center"/>
              <w:rPr>
                <w:szCs w:val="18"/>
              </w:rPr>
            </w:pPr>
            <w:r w:rsidRPr="008F7AFA">
              <w:rPr>
                <w:rFonts w:cs="Calibri"/>
                <w:color w:val="000000"/>
                <w:szCs w:val="18"/>
              </w:rPr>
              <w:t>1</w:t>
            </w:r>
          </w:p>
        </w:tc>
        <w:tc>
          <w:tcPr>
            <w:tcW w:w="0" w:type="auto"/>
            <w:tcBorders>
              <w:top w:val="single" w:sz="4" w:space="0" w:color="C2D9BA"/>
              <w:left w:val="single" w:sz="4" w:space="0" w:color="C2D9BA"/>
              <w:bottom w:val="single" w:sz="4" w:space="0" w:color="C2D9BA"/>
              <w:right w:val="single" w:sz="4" w:space="0" w:color="C2D9BA"/>
            </w:tcBorders>
            <w:vAlign w:val="center"/>
          </w:tcPr>
          <w:p w14:paraId="3BBB960D"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26785248" w14:textId="77777777" w:rsidR="001F389F" w:rsidRPr="008F7AFA" w:rsidRDefault="001F389F">
            <w:pPr>
              <w:pStyle w:val="TableText"/>
              <w:keepNext/>
              <w:jc w:val="center"/>
              <w:rPr>
                <w:szCs w:val="18"/>
              </w:rPr>
            </w:pPr>
            <w:r w:rsidRPr="008F7AFA">
              <w:rPr>
                <w:szCs w:val="18"/>
              </w:rPr>
              <w:t>–</w:t>
            </w:r>
          </w:p>
        </w:tc>
        <w:tc>
          <w:tcPr>
            <w:tcW w:w="0" w:type="auto"/>
            <w:tcBorders>
              <w:top w:val="single" w:sz="4" w:space="0" w:color="C2D9BA"/>
              <w:left w:val="single" w:sz="4" w:space="0" w:color="C2D9BA"/>
              <w:bottom w:val="single" w:sz="4" w:space="0" w:color="C2D9BA"/>
              <w:right w:val="single" w:sz="4" w:space="0" w:color="C2D9BA"/>
            </w:tcBorders>
            <w:vAlign w:val="center"/>
          </w:tcPr>
          <w:p w14:paraId="70F95AA9" w14:textId="77777777" w:rsidR="001F389F" w:rsidRPr="008F7AFA" w:rsidRDefault="001F389F">
            <w:pPr>
              <w:pStyle w:val="TableText"/>
              <w:keepNext/>
              <w:jc w:val="center"/>
              <w:rPr>
                <w:szCs w:val="18"/>
              </w:rPr>
            </w:pPr>
            <w:r>
              <w:rPr>
                <w:szCs w:val="18"/>
              </w:rPr>
              <w:t>2</w:t>
            </w:r>
          </w:p>
        </w:tc>
      </w:tr>
      <w:tr w:rsidR="001F389F" w:rsidRPr="008F7AFA" w14:paraId="333FC545" w14:textId="77777777">
        <w:trPr>
          <w:cantSplit/>
          <w:trHeight w:val="265"/>
        </w:trPr>
        <w:tc>
          <w:tcPr>
            <w:tcW w:w="0" w:type="auto"/>
            <w:gridSpan w:val="10"/>
            <w:tcBorders>
              <w:top w:val="single" w:sz="4" w:space="0" w:color="C2D9BA"/>
              <w:left w:val="single" w:sz="4" w:space="0" w:color="C2D9BA"/>
              <w:bottom w:val="single" w:sz="4" w:space="0" w:color="C2D9BA"/>
              <w:right w:val="single" w:sz="4" w:space="0" w:color="C2D9BA"/>
            </w:tcBorders>
            <w:shd w:val="clear" w:color="auto" w:fill="C2D9BA"/>
            <w:vAlign w:val="center"/>
          </w:tcPr>
          <w:p w14:paraId="192B754D" w14:textId="77777777" w:rsidR="001F389F" w:rsidRPr="008F7AFA" w:rsidRDefault="001F389F">
            <w:pPr>
              <w:pStyle w:val="TableText"/>
              <w:keepNext/>
              <w:rPr>
                <w:rFonts w:cs="Calibri"/>
                <w:b/>
                <w:bCs/>
                <w:color w:val="000000"/>
                <w:szCs w:val="18"/>
              </w:rPr>
            </w:pPr>
            <w:r w:rsidRPr="008F7AFA">
              <w:rPr>
                <w:b/>
                <w:bCs/>
                <w:szCs w:val="18"/>
              </w:rPr>
              <w:t>Total</w:t>
            </w:r>
          </w:p>
        </w:tc>
      </w:tr>
      <w:tr w:rsidR="001F389F" w:rsidRPr="008F7AFA" w14:paraId="604149F1" w14:textId="77777777">
        <w:trPr>
          <w:cantSplit/>
          <w:trHeight w:val="265"/>
        </w:trPr>
        <w:tc>
          <w:tcPr>
            <w:tcW w:w="0" w:type="auto"/>
            <w:tcBorders>
              <w:top w:val="single" w:sz="4" w:space="0" w:color="C2D9BA"/>
              <w:left w:val="single" w:sz="4" w:space="0" w:color="C2D9BA"/>
              <w:bottom w:val="single" w:sz="4" w:space="0" w:color="C2D9BA"/>
              <w:right w:val="single" w:sz="4" w:space="0" w:color="C2D9BA"/>
            </w:tcBorders>
            <w:vAlign w:val="center"/>
          </w:tcPr>
          <w:p w14:paraId="307FA7AF" w14:textId="77777777" w:rsidR="001F389F" w:rsidRPr="008F7AFA" w:rsidRDefault="001F389F">
            <w:pPr>
              <w:keepNext/>
              <w:spacing w:before="60" w:after="60"/>
              <w:rPr>
                <w:sz w:val="18"/>
                <w:szCs w:val="18"/>
              </w:rPr>
            </w:pPr>
            <w:r w:rsidRPr="008F7AFA">
              <w:rPr>
                <w:sz w:val="18"/>
                <w:szCs w:val="18"/>
              </w:rPr>
              <w:t>Total</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2C50A038" w14:textId="77777777" w:rsidR="001F389F" w:rsidRPr="008F7AFA" w:rsidRDefault="001F389F">
            <w:pPr>
              <w:pStyle w:val="TableText"/>
              <w:keepNext/>
              <w:jc w:val="center"/>
              <w:rPr>
                <w:rFonts w:cs="Calibri"/>
                <w:color w:val="000000"/>
                <w:szCs w:val="18"/>
              </w:rPr>
            </w:pPr>
            <w:r w:rsidRPr="008F7AFA">
              <w:rPr>
                <w:rFonts w:cs="Calibri"/>
                <w:color w:val="000000"/>
                <w:szCs w:val="18"/>
              </w:rPr>
              <w:t>4</w:t>
            </w:r>
            <w:r>
              <w:rPr>
                <w:rFonts w:cs="Calibri"/>
                <w:color w:val="000000"/>
                <w:szCs w:val="18"/>
              </w:rPr>
              <w:t>2</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2C1F4E4D" w14:textId="77777777" w:rsidR="001F389F" w:rsidRPr="008F7AFA" w:rsidRDefault="001F389F">
            <w:pPr>
              <w:pStyle w:val="TableText"/>
              <w:keepNext/>
              <w:jc w:val="center"/>
              <w:rPr>
                <w:rFonts w:cs="Calibri"/>
                <w:color w:val="000000"/>
                <w:szCs w:val="18"/>
              </w:rPr>
            </w:pPr>
            <w:r w:rsidRPr="008F7AFA">
              <w:rPr>
                <w:rFonts w:cs="Calibri"/>
                <w:color w:val="000000"/>
                <w:szCs w:val="18"/>
              </w:rPr>
              <w:t>2</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480B9E2A" w14:textId="77777777" w:rsidR="001F389F" w:rsidRPr="008F7AFA" w:rsidRDefault="001F389F">
            <w:pPr>
              <w:pStyle w:val="TableText"/>
              <w:keepNext/>
              <w:jc w:val="center"/>
              <w:rPr>
                <w:rFonts w:cs="Calibri"/>
                <w:color w:val="000000"/>
                <w:szCs w:val="18"/>
              </w:rPr>
            </w:pPr>
            <w:r w:rsidRPr="008F7AFA">
              <w:rPr>
                <w:rFonts w:cs="Calibri"/>
                <w:color w:val="000000"/>
                <w:szCs w:val="18"/>
              </w:rPr>
              <w:t>3</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00BF81F6" w14:textId="77777777" w:rsidR="001F389F" w:rsidRPr="008F7AFA" w:rsidRDefault="001F389F">
            <w:pPr>
              <w:pStyle w:val="TableText"/>
              <w:keepNext/>
              <w:jc w:val="center"/>
              <w:rPr>
                <w:rFonts w:cs="Calibri"/>
                <w:color w:val="000000"/>
                <w:szCs w:val="18"/>
              </w:rPr>
            </w:pPr>
            <w:r w:rsidRPr="008F7AFA">
              <w:rPr>
                <w:rFonts w:cs="Calibri"/>
                <w:color w:val="000000"/>
                <w:szCs w:val="18"/>
              </w:rPr>
              <w:t>7</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4DE95F88" w14:textId="77777777" w:rsidR="001F389F" w:rsidRPr="008F7AFA" w:rsidRDefault="001F389F">
            <w:pPr>
              <w:pStyle w:val="TableText"/>
              <w:keepNext/>
              <w:jc w:val="center"/>
              <w:rPr>
                <w:rFonts w:cs="Calibri"/>
                <w:color w:val="000000"/>
                <w:szCs w:val="18"/>
              </w:rPr>
            </w:pPr>
            <w:r w:rsidRPr="008F7AFA">
              <w:rPr>
                <w:rFonts w:cs="Calibri"/>
                <w:color w:val="000000"/>
                <w:szCs w:val="18"/>
              </w:rPr>
              <w:t>1</w:t>
            </w:r>
            <w:r>
              <w:rPr>
                <w:rFonts w:cs="Calibri"/>
                <w:color w:val="000000"/>
                <w:szCs w:val="18"/>
              </w:rPr>
              <w:t>4</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0D02C1D9" w14:textId="77777777" w:rsidR="001F389F" w:rsidRPr="008F7AFA" w:rsidRDefault="001F389F">
            <w:pPr>
              <w:pStyle w:val="TableText"/>
              <w:keepNext/>
              <w:jc w:val="center"/>
              <w:rPr>
                <w:rFonts w:cs="Calibri"/>
                <w:color w:val="000000"/>
                <w:szCs w:val="18"/>
              </w:rPr>
            </w:pPr>
            <w:r w:rsidRPr="008F7AFA">
              <w:rPr>
                <w:rFonts w:cs="Calibri"/>
                <w:color w:val="000000"/>
                <w:szCs w:val="18"/>
              </w:rPr>
              <w:t>5</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3DD34DD1" w14:textId="77777777" w:rsidR="001F389F" w:rsidRPr="008F7AFA" w:rsidRDefault="001F389F">
            <w:pPr>
              <w:pStyle w:val="TableText"/>
              <w:keepNext/>
              <w:jc w:val="center"/>
              <w:rPr>
                <w:rFonts w:cs="Calibri"/>
                <w:color w:val="000000"/>
                <w:szCs w:val="18"/>
              </w:rPr>
            </w:pPr>
            <w:r w:rsidRPr="008F7AFA">
              <w:rPr>
                <w:rFonts w:cs="Calibri"/>
                <w:color w:val="000000"/>
                <w:szCs w:val="18"/>
              </w:rPr>
              <w:t>3</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6E5D164D" w14:textId="77777777" w:rsidR="001F389F" w:rsidRPr="008F7AFA" w:rsidRDefault="001F389F">
            <w:pPr>
              <w:pStyle w:val="TableText"/>
              <w:keepNext/>
              <w:jc w:val="center"/>
              <w:rPr>
                <w:rFonts w:cs="Calibri"/>
                <w:color w:val="000000"/>
                <w:szCs w:val="18"/>
              </w:rPr>
            </w:pPr>
            <w:r w:rsidRPr="008F7AFA">
              <w:rPr>
                <w:rFonts w:cs="Calibri"/>
                <w:color w:val="000000"/>
                <w:szCs w:val="18"/>
              </w:rPr>
              <w:t>2</w:t>
            </w:r>
          </w:p>
        </w:tc>
        <w:tc>
          <w:tcPr>
            <w:tcW w:w="0" w:type="auto"/>
            <w:tcBorders>
              <w:top w:val="single" w:sz="4" w:space="0" w:color="C2D9BA"/>
              <w:left w:val="single" w:sz="4" w:space="0" w:color="C2D9BA"/>
              <w:bottom w:val="single" w:sz="4" w:space="0" w:color="C2D9BA"/>
              <w:right w:val="single" w:sz="4" w:space="0" w:color="C2D9BA"/>
            </w:tcBorders>
            <w:shd w:val="clear" w:color="auto" w:fill="FFF7ED"/>
            <w:vAlign w:val="center"/>
          </w:tcPr>
          <w:p w14:paraId="042D7DD7" w14:textId="77777777" w:rsidR="001F389F" w:rsidRPr="008F7AFA" w:rsidRDefault="001F389F">
            <w:pPr>
              <w:pStyle w:val="TableText"/>
              <w:keepNext/>
              <w:jc w:val="center"/>
              <w:rPr>
                <w:rFonts w:cs="Calibri"/>
                <w:color w:val="000000"/>
                <w:szCs w:val="18"/>
              </w:rPr>
            </w:pPr>
            <w:r w:rsidRPr="008F7AFA">
              <w:rPr>
                <w:rFonts w:cs="Calibri"/>
                <w:color w:val="000000"/>
                <w:szCs w:val="18"/>
              </w:rPr>
              <w:t>6</w:t>
            </w:r>
          </w:p>
        </w:tc>
      </w:tr>
    </w:tbl>
    <w:p w14:paraId="61F77E65" w14:textId="77777777" w:rsidR="00AC461E" w:rsidRPr="00E44F3E" w:rsidRDefault="00AC461E" w:rsidP="00AC461E">
      <w:pPr>
        <w:pStyle w:val="Note"/>
        <w:ind w:left="0" w:firstLine="0"/>
      </w:pPr>
      <w:r w:rsidRPr="00E44F3E">
        <w:t>Note: Gaps shown are for medicine-indication pairs. Total gaps are less if regimen</w:t>
      </w:r>
      <w:r>
        <w:t>-indication</w:t>
      </w:r>
      <w:r w:rsidRPr="00E44F3E">
        <w:t xml:space="preserve"> pairs were considered. No gaps had an ESMO-MCBS:H score of B or C.</w:t>
      </w:r>
    </w:p>
    <w:p w14:paraId="6EB8D76F" w14:textId="77777777" w:rsidR="00AC461E" w:rsidRPr="00121A51" w:rsidRDefault="00AC461E" w:rsidP="00AC461E">
      <w:pPr>
        <w:pStyle w:val="Note"/>
      </w:pPr>
      <w:r w:rsidRPr="00411124">
        <w:t>*</w:t>
      </w:r>
      <w:r w:rsidRPr="00121A51">
        <w:rPr>
          <w:b/>
        </w:rPr>
        <w:tab/>
      </w:r>
      <w:r w:rsidRPr="00121A51">
        <w:t>Indicates an ESMO-MCBS:H score of substantial clinical benefit</w:t>
      </w:r>
      <w:r>
        <w:t>.</w:t>
      </w:r>
    </w:p>
    <w:p w14:paraId="442DA8FF" w14:textId="77777777" w:rsidR="00AC461E" w:rsidRPr="00121A51" w:rsidRDefault="00AC461E" w:rsidP="00AC461E">
      <w:pPr>
        <w:pStyle w:val="Note"/>
      </w:pPr>
      <w:r w:rsidRPr="00121A51">
        <w:t>†</w:t>
      </w:r>
      <w:r w:rsidRPr="00121A51">
        <w:tab/>
        <w:t>NEB = no evaluable benefit</w:t>
      </w:r>
      <w:r>
        <w:t>.</w:t>
      </w:r>
    </w:p>
    <w:p w14:paraId="26DC7EA7" w14:textId="059F1792" w:rsidR="00A12A44" w:rsidRPr="00C45E6C" w:rsidRDefault="00AC461E" w:rsidP="00AC461E">
      <w:pPr>
        <w:pStyle w:val="Note"/>
      </w:pPr>
      <w:r w:rsidRPr="00121A51">
        <w:t>‡</w:t>
      </w:r>
      <w:r w:rsidRPr="00121A51">
        <w:tab/>
      </w:r>
      <w:r>
        <w:t>‘</w:t>
      </w:r>
      <w:r w:rsidRPr="00121A51">
        <w:t>Other</w:t>
      </w:r>
      <w:r>
        <w:t>’</w:t>
      </w:r>
      <w:r w:rsidRPr="00121A51">
        <w:t xml:space="preserve"> includes systemic light chain amyloidosis, myelodysplastic syndrome and chronic myelomonocytic leukaemia.</w:t>
      </w:r>
    </w:p>
    <w:p w14:paraId="73F38982" w14:textId="77777777" w:rsidR="00A12A44" w:rsidRPr="00C45E6C" w:rsidRDefault="00A12A44" w:rsidP="00A12A44">
      <w:pPr>
        <w:sectPr w:rsidR="00A12A44" w:rsidRPr="00C45E6C" w:rsidSect="00405D36">
          <w:headerReference w:type="even" r:id="rId33"/>
          <w:headerReference w:type="default" r:id="rId34"/>
          <w:footerReference w:type="even" r:id="rId35"/>
          <w:footerReference w:type="default" r:id="rId36"/>
          <w:headerReference w:type="first" r:id="rId37"/>
          <w:pgSz w:w="11907" w:h="16834" w:code="9"/>
          <w:pgMar w:top="1418" w:right="1701" w:bottom="1418" w:left="1843" w:header="284" w:footer="425" w:gutter="284"/>
          <w:pgNumType w:start="1"/>
          <w:cols w:space="720"/>
          <w:docGrid w:linePitch="286"/>
        </w:sectPr>
      </w:pPr>
    </w:p>
    <w:p w14:paraId="45495581" w14:textId="21CE9AD5" w:rsidR="00FD46FB" w:rsidRPr="00150F8B" w:rsidRDefault="00FD46FB" w:rsidP="00A31DC3">
      <w:pPr>
        <w:pStyle w:val="Heading2"/>
        <w:spacing w:before="0"/>
        <w:rPr>
          <w:sz w:val="24"/>
          <w:szCs w:val="24"/>
        </w:rPr>
      </w:pPr>
      <w:bookmarkStart w:id="39" w:name="_Toc170721214"/>
      <w:bookmarkStart w:id="40" w:name="_Toc180138600"/>
      <w:r w:rsidRPr="00150F8B">
        <w:rPr>
          <w:sz w:val="24"/>
          <w:szCs w:val="24"/>
        </w:rPr>
        <w:lastRenderedPageBreak/>
        <w:t>Appendix 2: Medicine</w:t>
      </w:r>
      <w:r w:rsidRPr="00150F8B">
        <w:rPr>
          <w:bCs/>
          <w:sz w:val="24"/>
          <w:szCs w:val="24"/>
        </w:rPr>
        <w:t>-indication pairs</w:t>
      </w:r>
      <w:r w:rsidRPr="00150F8B">
        <w:rPr>
          <w:sz w:val="24"/>
          <w:szCs w:val="24"/>
        </w:rPr>
        <w:t xml:space="preserve"> funded in Australia but not in </w:t>
      </w:r>
      <w:r w:rsidR="00152DDE">
        <w:rPr>
          <w:sz w:val="24"/>
          <w:szCs w:val="24"/>
        </w:rPr>
        <w:t>Aotearoa New Zealand</w:t>
      </w:r>
      <w:r w:rsidRPr="00150F8B">
        <w:rPr>
          <w:sz w:val="24"/>
          <w:szCs w:val="24"/>
        </w:rPr>
        <w:t xml:space="preserve"> with a substantial magnitude of clinical benefit</w:t>
      </w:r>
      <w:bookmarkEnd w:id="39"/>
      <w:bookmarkEnd w:id="40"/>
    </w:p>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1454"/>
        <w:gridCol w:w="1488"/>
        <w:gridCol w:w="1937"/>
        <w:gridCol w:w="1676"/>
        <w:gridCol w:w="2613"/>
        <w:gridCol w:w="1498"/>
        <w:gridCol w:w="1246"/>
        <w:gridCol w:w="1360"/>
        <w:gridCol w:w="726"/>
      </w:tblGrid>
      <w:tr w:rsidR="008922D8" w:rsidRPr="00E44F3E" w14:paraId="203656FC" w14:textId="77777777">
        <w:trPr>
          <w:cantSplit/>
          <w:trHeight w:val="20"/>
          <w:tblHeader/>
        </w:trPr>
        <w:tc>
          <w:tcPr>
            <w:tcW w:w="0" w:type="auto"/>
            <w:tcBorders>
              <w:top w:val="nil"/>
              <w:bottom w:val="nil"/>
            </w:tcBorders>
            <w:shd w:val="clear" w:color="auto" w:fill="C2D9BA"/>
            <w:vAlign w:val="center"/>
          </w:tcPr>
          <w:p w14:paraId="00E19354" w14:textId="77777777" w:rsidR="008922D8" w:rsidRPr="00E44F3E" w:rsidRDefault="008922D8">
            <w:pPr>
              <w:pStyle w:val="TableText"/>
              <w:jc w:val="center"/>
              <w:rPr>
                <w:b/>
                <w:bCs/>
              </w:rPr>
            </w:pPr>
            <w:r w:rsidRPr="00E44F3E">
              <w:rPr>
                <w:b/>
                <w:bCs/>
              </w:rPr>
              <w:t>ESMO</w:t>
            </w:r>
            <w:r>
              <w:rPr>
                <w:b/>
                <w:bCs/>
              </w:rPr>
              <w:noBreakHyphen/>
            </w:r>
            <w:r w:rsidRPr="00E44F3E">
              <w:rPr>
                <w:b/>
                <w:bCs/>
              </w:rPr>
              <w:t>MCBS:H score</w:t>
            </w:r>
          </w:p>
        </w:tc>
        <w:tc>
          <w:tcPr>
            <w:tcW w:w="0" w:type="auto"/>
            <w:tcBorders>
              <w:top w:val="nil"/>
              <w:bottom w:val="nil"/>
            </w:tcBorders>
            <w:shd w:val="clear" w:color="auto" w:fill="C2D9BA"/>
            <w:vAlign w:val="center"/>
          </w:tcPr>
          <w:p w14:paraId="68DDB735" w14:textId="77777777" w:rsidR="008922D8" w:rsidRPr="00E44F3E" w:rsidRDefault="008922D8">
            <w:pPr>
              <w:pStyle w:val="TableText"/>
              <w:rPr>
                <w:b/>
                <w:bCs/>
              </w:rPr>
            </w:pPr>
            <w:r w:rsidRPr="00E44F3E">
              <w:rPr>
                <w:b/>
                <w:bCs/>
              </w:rPr>
              <w:t>Medicine name</w:t>
            </w:r>
          </w:p>
        </w:tc>
        <w:tc>
          <w:tcPr>
            <w:tcW w:w="0" w:type="auto"/>
            <w:tcBorders>
              <w:top w:val="nil"/>
              <w:bottom w:val="nil"/>
            </w:tcBorders>
            <w:shd w:val="clear" w:color="auto" w:fill="C2D9BA"/>
            <w:vAlign w:val="center"/>
          </w:tcPr>
          <w:p w14:paraId="1CCA6737" w14:textId="77777777" w:rsidR="008922D8" w:rsidRPr="00E44F3E" w:rsidRDefault="008922D8">
            <w:pPr>
              <w:pStyle w:val="TableText"/>
              <w:rPr>
                <w:b/>
                <w:bCs/>
              </w:rPr>
            </w:pPr>
            <w:r w:rsidRPr="00E44F3E">
              <w:rPr>
                <w:b/>
                <w:bCs/>
              </w:rPr>
              <w:t>Used in combination with</w:t>
            </w:r>
          </w:p>
        </w:tc>
        <w:tc>
          <w:tcPr>
            <w:tcW w:w="0" w:type="auto"/>
            <w:tcBorders>
              <w:top w:val="nil"/>
              <w:bottom w:val="nil"/>
            </w:tcBorders>
            <w:shd w:val="clear" w:color="auto" w:fill="C2D9BA"/>
            <w:vAlign w:val="center"/>
          </w:tcPr>
          <w:p w14:paraId="1BE66AB2" w14:textId="77777777" w:rsidR="008922D8" w:rsidRPr="00E44F3E" w:rsidRDefault="008922D8">
            <w:pPr>
              <w:pStyle w:val="TableText"/>
              <w:rPr>
                <w:b/>
                <w:bCs/>
              </w:rPr>
            </w:pPr>
            <w:r w:rsidRPr="00E44F3E">
              <w:rPr>
                <w:b/>
                <w:bCs/>
              </w:rPr>
              <w:t xml:space="preserve">Cancer </w:t>
            </w:r>
            <w:r>
              <w:rPr>
                <w:b/>
                <w:bCs/>
              </w:rPr>
              <w:t>t</w:t>
            </w:r>
            <w:r w:rsidRPr="00E44F3E">
              <w:rPr>
                <w:b/>
                <w:bCs/>
              </w:rPr>
              <w:t>ype</w:t>
            </w:r>
          </w:p>
        </w:tc>
        <w:tc>
          <w:tcPr>
            <w:tcW w:w="0" w:type="auto"/>
            <w:tcBorders>
              <w:top w:val="nil"/>
              <w:bottom w:val="nil"/>
            </w:tcBorders>
            <w:shd w:val="clear" w:color="auto" w:fill="C2D9BA"/>
            <w:vAlign w:val="center"/>
          </w:tcPr>
          <w:p w14:paraId="7197ED9A" w14:textId="77777777" w:rsidR="008922D8" w:rsidRPr="00E44F3E" w:rsidRDefault="008922D8">
            <w:pPr>
              <w:pStyle w:val="TableText"/>
              <w:rPr>
                <w:b/>
                <w:bCs/>
              </w:rPr>
            </w:pPr>
            <w:r w:rsidRPr="00E44F3E">
              <w:rPr>
                <w:b/>
                <w:bCs/>
              </w:rPr>
              <w:t>Indication per PBS</w:t>
            </w:r>
          </w:p>
        </w:tc>
        <w:tc>
          <w:tcPr>
            <w:tcW w:w="0" w:type="auto"/>
            <w:tcBorders>
              <w:top w:val="nil"/>
              <w:bottom w:val="nil"/>
            </w:tcBorders>
            <w:shd w:val="clear" w:color="auto" w:fill="C2D9BA"/>
            <w:vAlign w:val="center"/>
          </w:tcPr>
          <w:p w14:paraId="6C831CF6" w14:textId="77777777" w:rsidR="008922D8" w:rsidRPr="00E44F3E" w:rsidRDefault="008922D8">
            <w:pPr>
              <w:pStyle w:val="TableText"/>
              <w:jc w:val="center"/>
              <w:rPr>
                <w:b/>
                <w:bCs/>
              </w:rPr>
            </w:pPr>
            <w:r w:rsidRPr="00E44F3E">
              <w:rPr>
                <w:b/>
                <w:bCs/>
              </w:rPr>
              <w:t>Formulation</w:t>
            </w:r>
          </w:p>
        </w:tc>
        <w:tc>
          <w:tcPr>
            <w:tcW w:w="0" w:type="auto"/>
            <w:tcBorders>
              <w:top w:val="nil"/>
              <w:bottom w:val="nil"/>
            </w:tcBorders>
            <w:shd w:val="clear" w:color="auto" w:fill="C2D9BA"/>
            <w:vAlign w:val="center"/>
          </w:tcPr>
          <w:p w14:paraId="7CFAF87C" w14:textId="77777777" w:rsidR="008922D8" w:rsidRPr="00E44F3E" w:rsidRDefault="008922D8">
            <w:pPr>
              <w:pStyle w:val="TableText"/>
              <w:jc w:val="center"/>
              <w:rPr>
                <w:b/>
                <w:bCs/>
              </w:rPr>
            </w:pPr>
            <w:r w:rsidRPr="00E44F3E">
              <w:rPr>
                <w:b/>
                <w:bCs/>
              </w:rPr>
              <w:t>Medicine funded in NZ for other indications</w:t>
            </w:r>
          </w:p>
        </w:tc>
        <w:tc>
          <w:tcPr>
            <w:tcW w:w="0" w:type="auto"/>
            <w:tcBorders>
              <w:top w:val="nil"/>
              <w:bottom w:val="nil"/>
            </w:tcBorders>
            <w:shd w:val="clear" w:color="auto" w:fill="C2D9BA"/>
            <w:vAlign w:val="center"/>
          </w:tcPr>
          <w:p w14:paraId="431B9546" w14:textId="77777777" w:rsidR="008922D8" w:rsidRPr="00E44F3E" w:rsidRDefault="008922D8">
            <w:pPr>
              <w:pStyle w:val="TableText"/>
              <w:jc w:val="center"/>
              <w:rPr>
                <w:b/>
                <w:bCs/>
              </w:rPr>
            </w:pPr>
            <w:r w:rsidRPr="00E44F3E">
              <w:rPr>
                <w:b/>
                <w:bCs/>
              </w:rPr>
              <w:t xml:space="preserve">Current Pharmac </w:t>
            </w:r>
            <w:r>
              <w:rPr>
                <w:b/>
                <w:bCs/>
              </w:rPr>
              <w:t>s</w:t>
            </w:r>
            <w:r w:rsidRPr="00E44F3E">
              <w:rPr>
                <w:b/>
                <w:bCs/>
              </w:rPr>
              <w:t>tatus (</w:t>
            </w:r>
            <w:r>
              <w:rPr>
                <w:b/>
                <w:bCs/>
              </w:rPr>
              <w:t>Oct 2024</w:t>
            </w:r>
            <w:r w:rsidRPr="00E44F3E">
              <w:rPr>
                <w:b/>
                <w:bCs/>
              </w:rPr>
              <w:t>)</w:t>
            </w:r>
            <w:r w:rsidRPr="00E44F3E">
              <w:rPr>
                <w:b/>
                <w:bCs/>
                <w:vertAlign w:val="superscript"/>
              </w:rPr>
              <w:t xml:space="preserve"> †</w:t>
            </w:r>
          </w:p>
        </w:tc>
        <w:tc>
          <w:tcPr>
            <w:tcW w:w="0" w:type="auto"/>
            <w:tcBorders>
              <w:top w:val="nil"/>
              <w:bottom w:val="nil"/>
            </w:tcBorders>
            <w:shd w:val="clear" w:color="auto" w:fill="C2D9BA"/>
            <w:vAlign w:val="center"/>
          </w:tcPr>
          <w:p w14:paraId="143A6B62" w14:textId="77777777" w:rsidR="008922D8" w:rsidRPr="00E44F3E" w:rsidRDefault="008922D8">
            <w:pPr>
              <w:pStyle w:val="TableText"/>
              <w:jc w:val="center"/>
              <w:rPr>
                <w:b/>
                <w:bCs/>
              </w:rPr>
            </w:pPr>
            <w:r w:rsidRPr="00E44F3E">
              <w:rPr>
                <w:b/>
                <w:bCs/>
              </w:rPr>
              <w:t>Noted as a gap in 2022</w:t>
            </w:r>
          </w:p>
        </w:tc>
      </w:tr>
      <w:tr w:rsidR="008922D8" w:rsidRPr="00E44F3E" w14:paraId="6979FBC2" w14:textId="77777777">
        <w:trPr>
          <w:cantSplit/>
          <w:trHeight w:val="20"/>
        </w:trPr>
        <w:tc>
          <w:tcPr>
            <w:tcW w:w="0" w:type="auto"/>
            <w:tcBorders>
              <w:top w:val="nil"/>
              <w:bottom w:val="single" w:sz="4" w:space="0" w:color="C2D9BA"/>
            </w:tcBorders>
            <w:shd w:val="clear" w:color="auto" w:fill="auto"/>
          </w:tcPr>
          <w:p w14:paraId="5FB3C6DB" w14:textId="77777777" w:rsidR="008922D8" w:rsidRPr="00E44F3E" w:rsidRDefault="008922D8">
            <w:pPr>
              <w:pStyle w:val="TableText"/>
              <w:jc w:val="center"/>
              <w:rPr>
                <w:b/>
                <w:bCs/>
              </w:rPr>
            </w:pPr>
            <w:r w:rsidRPr="00E44F3E">
              <w:rPr>
                <w:b/>
                <w:bCs/>
              </w:rPr>
              <w:t>A</w:t>
            </w:r>
          </w:p>
          <w:p w14:paraId="0EE09A13" w14:textId="77777777" w:rsidR="008922D8" w:rsidRPr="00E44F3E" w:rsidRDefault="008922D8">
            <w:pPr>
              <w:pStyle w:val="TableText"/>
              <w:jc w:val="center"/>
            </w:pPr>
            <w:r w:rsidRPr="00E44F3E">
              <w:t>Substantial clinical benefit – curative</w:t>
            </w:r>
          </w:p>
        </w:tc>
        <w:tc>
          <w:tcPr>
            <w:tcW w:w="0" w:type="auto"/>
            <w:tcBorders>
              <w:top w:val="nil"/>
              <w:bottom w:val="single" w:sz="4" w:space="0" w:color="C2D9BA"/>
            </w:tcBorders>
            <w:shd w:val="clear" w:color="auto" w:fill="auto"/>
          </w:tcPr>
          <w:p w14:paraId="59838E90" w14:textId="77777777" w:rsidR="008922D8" w:rsidRPr="00E44F3E" w:rsidRDefault="008922D8">
            <w:pPr>
              <w:pStyle w:val="TableText"/>
            </w:pPr>
            <w:proofErr w:type="spellStart"/>
            <w:r w:rsidRPr="00E44F3E">
              <w:t>Midostaurin</w:t>
            </w:r>
            <w:proofErr w:type="spellEnd"/>
          </w:p>
        </w:tc>
        <w:tc>
          <w:tcPr>
            <w:tcW w:w="0" w:type="auto"/>
            <w:tcBorders>
              <w:top w:val="nil"/>
              <w:bottom w:val="single" w:sz="4" w:space="0" w:color="C2D9BA"/>
            </w:tcBorders>
            <w:shd w:val="clear" w:color="auto" w:fill="auto"/>
          </w:tcPr>
          <w:p w14:paraId="270104FA" w14:textId="77777777" w:rsidR="008922D8" w:rsidRPr="00E44F3E" w:rsidRDefault="008922D8">
            <w:pPr>
              <w:pStyle w:val="TableText"/>
            </w:pPr>
            <w:r w:rsidRPr="00E44F3E">
              <w:t xml:space="preserve">Anthracycline and cytarabine chemotherapy (both already funded in </w:t>
            </w:r>
            <w:r>
              <w:t>Aotearoa New Zealand</w:t>
            </w:r>
            <w:r w:rsidRPr="00E44F3E">
              <w:t>)</w:t>
            </w:r>
          </w:p>
        </w:tc>
        <w:tc>
          <w:tcPr>
            <w:tcW w:w="0" w:type="auto"/>
            <w:tcBorders>
              <w:top w:val="nil"/>
              <w:bottom w:val="single" w:sz="4" w:space="0" w:color="C2D9BA"/>
            </w:tcBorders>
            <w:shd w:val="clear" w:color="auto" w:fill="auto"/>
          </w:tcPr>
          <w:p w14:paraId="6D28BC6A" w14:textId="77777777" w:rsidR="008922D8" w:rsidRPr="00E44F3E" w:rsidRDefault="008922D8">
            <w:pPr>
              <w:pStyle w:val="TableText"/>
            </w:pPr>
            <w:bookmarkStart w:id="41" w:name="_Hlk177464321"/>
            <w:r w:rsidRPr="00E44F3E">
              <w:t>Acute myeloid leukaemia (AML)</w:t>
            </w:r>
            <w:bookmarkEnd w:id="41"/>
          </w:p>
        </w:tc>
        <w:tc>
          <w:tcPr>
            <w:tcW w:w="0" w:type="auto"/>
            <w:tcBorders>
              <w:top w:val="nil"/>
              <w:bottom w:val="single" w:sz="4" w:space="0" w:color="C2D9BA"/>
            </w:tcBorders>
            <w:shd w:val="clear" w:color="auto" w:fill="auto"/>
          </w:tcPr>
          <w:p w14:paraId="4ED1274B" w14:textId="77777777" w:rsidR="008922D8" w:rsidRPr="00E44F3E" w:rsidRDefault="008922D8">
            <w:pPr>
              <w:pStyle w:val="TableText"/>
            </w:pPr>
            <w:r w:rsidRPr="00E44F3E">
              <w:t>Newly diagnosed patients with an internal tandem duplication (ITD) or tyrosine kinase domain (TKD) FMS-like tyrosine kinase 3 (FLT3) mutation</w:t>
            </w:r>
          </w:p>
        </w:tc>
        <w:tc>
          <w:tcPr>
            <w:tcW w:w="0" w:type="auto"/>
            <w:tcBorders>
              <w:top w:val="nil"/>
              <w:bottom w:val="single" w:sz="4" w:space="0" w:color="C2D9BA"/>
            </w:tcBorders>
            <w:shd w:val="clear" w:color="auto" w:fill="auto"/>
          </w:tcPr>
          <w:p w14:paraId="48DD3A98" w14:textId="77777777" w:rsidR="008922D8" w:rsidRPr="00E44F3E" w:rsidRDefault="008922D8">
            <w:pPr>
              <w:pStyle w:val="TableText"/>
              <w:jc w:val="center"/>
            </w:pPr>
            <w:r w:rsidRPr="00E44F3E">
              <w:t>Oral capsule</w:t>
            </w:r>
          </w:p>
        </w:tc>
        <w:tc>
          <w:tcPr>
            <w:tcW w:w="0" w:type="auto"/>
            <w:tcBorders>
              <w:top w:val="nil"/>
              <w:bottom w:val="single" w:sz="4" w:space="0" w:color="C2D9BA"/>
            </w:tcBorders>
            <w:shd w:val="clear" w:color="auto" w:fill="auto"/>
          </w:tcPr>
          <w:p w14:paraId="6A1DA498" w14:textId="77777777" w:rsidR="008922D8" w:rsidRPr="00E44F3E" w:rsidRDefault="008922D8">
            <w:pPr>
              <w:pStyle w:val="TableText"/>
              <w:jc w:val="center"/>
            </w:pPr>
            <w:r w:rsidRPr="00E44F3E">
              <w:t>No</w:t>
            </w:r>
          </w:p>
        </w:tc>
        <w:tc>
          <w:tcPr>
            <w:tcW w:w="0" w:type="auto"/>
            <w:tcBorders>
              <w:top w:val="nil"/>
              <w:bottom w:val="single" w:sz="4" w:space="0" w:color="C2D9BA"/>
            </w:tcBorders>
            <w:shd w:val="clear" w:color="auto" w:fill="auto"/>
          </w:tcPr>
          <w:p w14:paraId="0E405116" w14:textId="50A28ADB" w:rsidR="008922D8" w:rsidRPr="00E44F3E" w:rsidRDefault="001A5783">
            <w:pPr>
              <w:pStyle w:val="TableText"/>
              <w:jc w:val="center"/>
            </w:pPr>
            <w:r>
              <w:t>F</w:t>
            </w:r>
            <w:r w:rsidRPr="00E44F3E">
              <w:t>und</w:t>
            </w:r>
            <w:r>
              <w:t>ed</w:t>
            </w:r>
            <w:r w:rsidRPr="00E44F3E">
              <w:t xml:space="preserve"> </w:t>
            </w:r>
            <w:r w:rsidR="008922D8" w:rsidRPr="00E44F3E">
              <w:t>from 1</w:t>
            </w:r>
            <w:r w:rsidR="008922D8">
              <w:t> </w:t>
            </w:r>
            <w:r w:rsidR="008922D8" w:rsidRPr="00E44F3E">
              <w:t>July 2024</w:t>
            </w:r>
          </w:p>
        </w:tc>
        <w:tc>
          <w:tcPr>
            <w:tcW w:w="0" w:type="auto"/>
            <w:tcBorders>
              <w:top w:val="nil"/>
              <w:bottom w:val="single" w:sz="4" w:space="0" w:color="C2D9BA"/>
            </w:tcBorders>
            <w:shd w:val="clear" w:color="auto" w:fill="auto"/>
          </w:tcPr>
          <w:p w14:paraId="547361C1" w14:textId="77777777" w:rsidR="008922D8" w:rsidRPr="00E44F3E" w:rsidRDefault="008922D8">
            <w:pPr>
              <w:pStyle w:val="TableText"/>
              <w:jc w:val="center"/>
            </w:pPr>
            <w:r w:rsidRPr="00E44F3E">
              <w:t>Yes</w:t>
            </w:r>
          </w:p>
        </w:tc>
      </w:tr>
      <w:tr w:rsidR="008922D8" w:rsidRPr="00E44F3E" w14:paraId="28A4C5BB" w14:textId="77777777">
        <w:trPr>
          <w:cantSplit/>
          <w:trHeight w:val="20"/>
        </w:trPr>
        <w:tc>
          <w:tcPr>
            <w:tcW w:w="0" w:type="auto"/>
            <w:tcBorders>
              <w:top w:val="single" w:sz="4" w:space="0" w:color="C2D9BA"/>
              <w:bottom w:val="single" w:sz="4" w:space="0" w:color="C2D9BA"/>
            </w:tcBorders>
            <w:shd w:val="clear" w:color="auto" w:fill="auto"/>
          </w:tcPr>
          <w:p w14:paraId="07BC28BB" w14:textId="77777777" w:rsidR="008922D8" w:rsidRPr="00E44F3E" w:rsidRDefault="008922D8">
            <w:pPr>
              <w:pStyle w:val="TableText"/>
              <w:jc w:val="center"/>
              <w:rPr>
                <w:b/>
                <w:bCs/>
              </w:rPr>
            </w:pPr>
            <w:r w:rsidRPr="00E44F3E">
              <w:rPr>
                <w:b/>
                <w:bCs/>
              </w:rPr>
              <w:t>A</w:t>
            </w:r>
          </w:p>
          <w:p w14:paraId="58734CF2" w14:textId="77777777" w:rsidR="008922D8" w:rsidRPr="00E44F3E" w:rsidRDefault="008922D8">
            <w:pPr>
              <w:pStyle w:val="TableText"/>
              <w:jc w:val="center"/>
            </w:pPr>
            <w:r w:rsidRPr="00E44F3E">
              <w:t>Substantial clinical benefit – curative</w:t>
            </w:r>
          </w:p>
        </w:tc>
        <w:tc>
          <w:tcPr>
            <w:tcW w:w="0" w:type="auto"/>
            <w:tcBorders>
              <w:top w:val="single" w:sz="4" w:space="0" w:color="C2D9BA"/>
              <w:bottom w:val="single" w:sz="4" w:space="0" w:color="C2D9BA"/>
            </w:tcBorders>
            <w:shd w:val="clear" w:color="auto" w:fill="auto"/>
          </w:tcPr>
          <w:p w14:paraId="5A5BD6E6" w14:textId="77777777" w:rsidR="008922D8" w:rsidRPr="00E44F3E" w:rsidRDefault="008922D8">
            <w:pPr>
              <w:pStyle w:val="TableText"/>
            </w:pPr>
            <w:r w:rsidRPr="00E44F3E">
              <w:t>Blinatumomab</w:t>
            </w:r>
          </w:p>
        </w:tc>
        <w:tc>
          <w:tcPr>
            <w:tcW w:w="0" w:type="auto"/>
            <w:tcBorders>
              <w:top w:val="single" w:sz="4" w:space="0" w:color="C2D9BA"/>
              <w:bottom w:val="single" w:sz="4" w:space="0" w:color="C2D9BA"/>
            </w:tcBorders>
            <w:shd w:val="clear" w:color="auto" w:fill="auto"/>
          </w:tcPr>
          <w:p w14:paraId="1050207B" w14:textId="77777777" w:rsidR="008922D8" w:rsidRPr="00E44F3E" w:rsidRDefault="008922D8">
            <w:pPr>
              <w:pStyle w:val="TableText"/>
            </w:pPr>
            <w:r w:rsidRPr="00E44F3E">
              <w:t>Monotherapy</w:t>
            </w:r>
          </w:p>
        </w:tc>
        <w:tc>
          <w:tcPr>
            <w:tcW w:w="0" w:type="auto"/>
            <w:tcBorders>
              <w:top w:val="single" w:sz="4" w:space="0" w:color="C2D9BA"/>
              <w:bottom w:val="single" w:sz="4" w:space="0" w:color="C2D9BA"/>
            </w:tcBorders>
            <w:shd w:val="clear" w:color="auto" w:fill="auto"/>
          </w:tcPr>
          <w:p w14:paraId="6CFAC9E0" w14:textId="77777777" w:rsidR="008922D8" w:rsidRPr="00E44F3E" w:rsidRDefault="008922D8">
            <w:pPr>
              <w:pStyle w:val="TableText"/>
            </w:pPr>
            <w:r w:rsidRPr="00E44F3E">
              <w:t>Precursor B-cell acute lymphoblastic leukaemia (</w:t>
            </w:r>
            <w:r>
              <w:t>p</w:t>
            </w:r>
            <w:r w:rsidRPr="00E44F3E">
              <w:t>re-B-cell ALL)</w:t>
            </w:r>
          </w:p>
        </w:tc>
        <w:tc>
          <w:tcPr>
            <w:tcW w:w="0" w:type="auto"/>
            <w:tcBorders>
              <w:top w:val="single" w:sz="4" w:space="0" w:color="C2D9BA"/>
              <w:bottom w:val="single" w:sz="4" w:space="0" w:color="C2D9BA"/>
            </w:tcBorders>
            <w:shd w:val="clear" w:color="auto" w:fill="auto"/>
          </w:tcPr>
          <w:p w14:paraId="6C1F833E" w14:textId="77777777" w:rsidR="008922D8" w:rsidRPr="00E44F3E" w:rsidRDefault="008922D8">
            <w:pPr>
              <w:pStyle w:val="TableText"/>
            </w:pPr>
            <w:r w:rsidRPr="00E44F3E">
              <w:t xml:space="preserve">Complete haematological remission with measurable residual disease (MRD) </w:t>
            </w:r>
          </w:p>
        </w:tc>
        <w:tc>
          <w:tcPr>
            <w:tcW w:w="0" w:type="auto"/>
            <w:tcBorders>
              <w:top w:val="single" w:sz="4" w:space="0" w:color="C2D9BA"/>
              <w:bottom w:val="single" w:sz="4" w:space="0" w:color="C2D9BA"/>
            </w:tcBorders>
            <w:shd w:val="clear" w:color="auto" w:fill="auto"/>
          </w:tcPr>
          <w:p w14:paraId="0FFADEE2" w14:textId="77777777" w:rsidR="008922D8" w:rsidRPr="00E44F3E" w:rsidRDefault="008922D8">
            <w:pPr>
              <w:pStyle w:val="TableText"/>
              <w:jc w:val="center"/>
            </w:pPr>
            <w:r w:rsidRPr="00E44F3E">
              <w:t>Continuous intravenous infusion</w:t>
            </w:r>
          </w:p>
        </w:tc>
        <w:tc>
          <w:tcPr>
            <w:tcW w:w="0" w:type="auto"/>
            <w:tcBorders>
              <w:top w:val="single" w:sz="4" w:space="0" w:color="C2D9BA"/>
              <w:bottom w:val="single" w:sz="4" w:space="0" w:color="C2D9BA"/>
            </w:tcBorders>
            <w:shd w:val="clear" w:color="auto" w:fill="auto"/>
          </w:tcPr>
          <w:p w14:paraId="2645333C" w14:textId="77777777" w:rsidR="008922D8" w:rsidRPr="00E44F3E" w:rsidRDefault="008922D8">
            <w:pPr>
              <w:pStyle w:val="TableText"/>
              <w:jc w:val="center"/>
            </w:pPr>
            <w:r w:rsidRPr="00E44F3E">
              <w:t>No</w:t>
            </w:r>
          </w:p>
        </w:tc>
        <w:tc>
          <w:tcPr>
            <w:tcW w:w="0" w:type="auto"/>
            <w:tcBorders>
              <w:top w:val="single" w:sz="4" w:space="0" w:color="C2D9BA"/>
              <w:bottom w:val="single" w:sz="4" w:space="0" w:color="C2D9BA"/>
            </w:tcBorders>
            <w:shd w:val="clear" w:color="auto" w:fill="auto"/>
          </w:tcPr>
          <w:p w14:paraId="47CB41F0" w14:textId="77777777" w:rsidR="008922D8" w:rsidRPr="00E44F3E" w:rsidRDefault="008922D8">
            <w:pPr>
              <w:pStyle w:val="TableText"/>
              <w:jc w:val="center"/>
              <w:rPr>
                <w:rFonts w:cs="Calibri"/>
                <w:color w:val="000000"/>
                <w:lang w:eastAsia="en-NZ"/>
              </w:rPr>
            </w:pPr>
            <w:r w:rsidRPr="00E44F3E">
              <w:rPr>
                <w:rFonts w:cs="Calibri"/>
                <w:color w:val="000000"/>
              </w:rPr>
              <w:t xml:space="preserve">Seeking </w:t>
            </w:r>
            <w:r>
              <w:rPr>
                <w:rFonts w:cs="Calibri"/>
                <w:color w:val="000000"/>
              </w:rPr>
              <w:t>c</w:t>
            </w:r>
            <w:r w:rsidRPr="00E44F3E">
              <w:rPr>
                <w:rFonts w:cs="Calibri"/>
                <w:color w:val="000000"/>
              </w:rPr>
              <w:t xml:space="preserve">linical </w:t>
            </w:r>
            <w:r>
              <w:rPr>
                <w:rFonts w:cs="Calibri"/>
                <w:color w:val="000000"/>
              </w:rPr>
              <w:t>a</w:t>
            </w:r>
            <w:r w:rsidRPr="00E44F3E">
              <w:rPr>
                <w:rFonts w:cs="Calibri"/>
                <w:color w:val="000000"/>
              </w:rPr>
              <w:t>dvice</w:t>
            </w:r>
          </w:p>
        </w:tc>
        <w:tc>
          <w:tcPr>
            <w:tcW w:w="0" w:type="auto"/>
            <w:tcBorders>
              <w:top w:val="single" w:sz="4" w:space="0" w:color="C2D9BA"/>
              <w:bottom w:val="single" w:sz="4" w:space="0" w:color="C2D9BA"/>
            </w:tcBorders>
            <w:shd w:val="clear" w:color="auto" w:fill="auto"/>
          </w:tcPr>
          <w:p w14:paraId="5BAD766B" w14:textId="77777777" w:rsidR="008922D8" w:rsidRPr="00E44F3E" w:rsidRDefault="008922D8">
            <w:pPr>
              <w:pStyle w:val="TableText"/>
              <w:jc w:val="center"/>
              <w:rPr>
                <w:rFonts w:ascii="Calibri" w:hAnsi="Calibri" w:cs="Calibri"/>
                <w:color w:val="000000"/>
                <w:sz w:val="22"/>
                <w:szCs w:val="22"/>
                <w:lang w:eastAsia="en-NZ"/>
              </w:rPr>
            </w:pPr>
            <w:r w:rsidRPr="00E44F3E">
              <w:rPr>
                <w:rFonts w:ascii="Calibri" w:hAnsi="Calibri" w:cs="Calibri"/>
                <w:color w:val="000000"/>
                <w:sz w:val="22"/>
                <w:szCs w:val="22"/>
              </w:rPr>
              <w:t>Yes</w:t>
            </w:r>
          </w:p>
        </w:tc>
      </w:tr>
      <w:tr w:rsidR="008922D8" w:rsidRPr="00E44F3E" w14:paraId="1E15D7EA" w14:textId="77777777">
        <w:trPr>
          <w:cantSplit/>
          <w:trHeight w:val="20"/>
        </w:trPr>
        <w:tc>
          <w:tcPr>
            <w:tcW w:w="0" w:type="auto"/>
            <w:tcBorders>
              <w:top w:val="single" w:sz="4" w:space="0" w:color="C2D9BA"/>
              <w:bottom w:val="single" w:sz="4" w:space="0" w:color="C2D9BA"/>
            </w:tcBorders>
          </w:tcPr>
          <w:p w14:paraId="54426F20" w14:textId="77777777" w:rsidR="008922D8" w:rsidRPr="00E44F3E" w:rsidRDefault="008922D8">
            <w:pPr>
              <w:pStyle w:val="TableText"/>
              <w:jc w:val="center"/>
              <w:rPr>
                <w:b/>
                <w:bCs/>
              </w:rPr>
            </w:pPr>
            <w:r w:rsidRPr="00E44F3E">
              <w:rPr>
                <w:b/>
                <w:bCs/>
              </w:rPr>
              <w:t>5</w:t>
            </w:r>
          </w:p>
          <w:p w14:paraId="13ADF073" w14:textId="77777777" w:rsidR="008922D8" w:rsidRPr="00E44F3E" w:rsidRDefault="008922D8">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12EE2CBE" w14:textId="77777777" w:rsidR="008922D8" w:rsidRPr="00E44F3E" w:rsidRDefault="008922D8">
            <w:pPr>
              <w:pStyle w:val="TableText"/>
            </w:pPr>
            <w:r w:rsidRPr="00E44F3E">
              <w:t>Azacitidine*</w:t>
            </w:r>
          </w:p>
        </w:tc>
        <w:tc>
          <w:tcPr>
            <w:tcW w:w="0" w:type="auto"/>
            <w:tcBorders>
              <w:top w:val="single" w:sz="4" w:space="0" w:color="C2D9BA"/>
              <w:bottom w:val="single" w:sz="4" w:space="0" w:color="C2D9BA"/>
            </w:tcBorders>
            <w:shd w:val="clear" w:color="auto" w:fill="auto"/>
          </w:tcPr>
          <w:p w14:paraId="56373B01" w14:textId="77777777" w:rsidR="008922D8" w:rsidRPr="00E44F3E" w:rsidRDefault="008922D8">
            <w:pPr>
              <w:pStyle w:val="TableText"/>
            </w:pPr>
            <w:r w:rsidRPr="00E44F3E">
              <w:t>Venetoclax*</w:t>
            </w:r>
          </w:p>
        </w:tc>
        <w:tc>
          <w:tcPr>
            <w:tcW w:w="0" w:type="auto"/>
            <w:tcBorders>
              <w:top w:val="single" w:sz="4" w:space="0" w:color="C2D9BA"/>
              <w:bottom w:val="single" w:sz="4" w:space="0" w:color="C2D9BA"/>
            </w:tcBorders>
          </w:tcPr>
          <w:p w14:paraId="1FDF883B" w14:textId="77777777" w:rsidR="008922D8" w:rsidRPr="00E44F3E" w:rsidRDefault="008922D8">
            <w:pPr>
              <w:pStyle w:val="TableText"/>
            </w:pPr>
            <w:r w:rsidRPr="00E44F3E">
              <w:t>Acute myeloid</w:t>
            </w:r>
            <w:r>
              <w:t xml:space="preserve"> </w:t>
            </w:r>
            <w:r w:rsidRPr="00E44F3E">
              <w:t>leukaemia (AML)</w:t>
            </w:r>
          </w:p>
        </w:tc>
        <w:tc>
          <w:tcPr>
            <w:tcW w:w="0" w:type="auto"/>
            <w:tcBorders>
              <w:top w:val="single" w:sz="4" w:space="0" w:color="C2D9BA"/>
              <w:bottom w:val="single" w:sz="4" w:space="0" w:color="C2D9BA"/>
            </w:tcBorders>
            <w:shd w:val="clear" w:color="auto" w:fill="auto"/>
          </w:tcPr>
          <w:p w14:paraId="5D7A045E" w14:textId="77777777" w:rsidR="008922D8" w:rsidRPr="00E44F3E" w:rsidRDefault="008922D8">
            <w:pPr>
              <w:pStyle w:val="TableText"/>
            </w:pPr>
            <w:r w:rsidRPr="00E44F3E">
              <w:t>Patients who are unfit for intensive chemotherapy</w:t>
            </w:r>
          </w:p>
        </w:tc>
        <w:tc>
          <w:tcPr>
            <w:tcW w:w="0" w:type="auto"/>
            <w:tcBorders>
              <w:top w:val="single" w:sz="4" w:space="0" w:color="C2D9BA"/>
              <w:bottom w:val="single" w:sz="4" w:space="0" w:color="C2D9BA"/>
            </w:tcBorders>
            <w:shd w:val="clear" w:color="auto" w:fill="auto"/>
          </w:tcPr>
          <w:p w14:paraId="2D06682F" w14:textId="77777777" w:rsidR="008922D8" w:rsidRPr="00E44F3E" w:rsidRDefault="008922D8">
            <w:pPr>
              <w:pStyle w:val="TableText"/>
              <w:jc w:val="center"/>
            </w:pPr>
            <w:r w:rsidRPr="00E44F3E">
              <w:t>Subcutaneous injection or intravenous infusion</w:t>
            </w:r>
          </w:p>
        </w:tc>
        <w:tc>
          <w:tcPr>
            <w:tcW w:w="0" w:type="auto"/>
            <w:tcBorders>
              <w:top w:val="single" w:sz="4" w:space="0" w:color="C2D9BA"/>
              <w:bottom w:val="single" w:sz="4" w:space="0" w:color="C2D9BA"/>
            </w:tcBorders>
          </w:tcPr>
          <w:p w14:paraId="69D7AB56" w14:textId="77777777" w:rsidR="008922D8" w:rsidRPr="00E44F3E" w:rsidRDefault="008922D8">
            <w:pPr>
              <w:pStyle w:val="TableText"/>
              <w:jc w:val="center"/>
            </w:pPr>
            <w:r w:rsidRPr="00E44F3E">
              <w:t>Yes</w:t>
            </w:r>
          </w:p>
        </w:tc>
        <w:tc>
          <w:tcPr>
            <w:tcW w:w="0" w:type="auto"/>
            <w:tcBorders>
              <w:top w:val="single" w:sz="4" w:space="0" w:color="C2D9BA"/>
              <w:bottom w:val="single" w:sz="4" w:space="0" w:color="C2D9BA"/>
            </w:tcBorders>
          </w:tcPr>
          <w:p w14:paraId="11D50166" w14:textId="77777777" w:rsidR="008922D8" w:rsidRPr="00E44F3E" w:rsidRDefault="008922D8">
            <w:pPr>
              <w:pStyle w:val="TableText"/>
              <w:jc w:val="center"/>
            </w:pPr>
            <w:r w:rsidRPr="00C80CF6">
              <w:t>OFI</w:t>
            </w:r>
            <w:r w:rsidRPr="00E44F3E">
              <w:t xml:space="preserve"> </w:t>
            </w:r>
            <w:r>
              <w:t>l</w:t>
            </w:r>
            <w:r w:rsidRPr="00E44F3E">
              <w:t>ist</w:t>
            </w:r>
          </w:p>
        </w:tc>
        <w:tc>
          <w:tcPr>
            <w:tcW w:w="0" w:type="auto"/>
            <w:tcBorders>
              <w:top w:val="single" w:sz="4" w:space="0" w:color="C2D9BA"/>
              <w:bottom w:val="single" w:sz="4" w:space="0" w:color="C2D9BA"/>
            </w:tcBorders>
          </w:tcPr>
          <w:p w14:paraId="33A362E6" w14:textId="77777777" w:rsidR="008922D8" w:rsidRPr="00E44F3E" w:rsidRDefault="008922D8">
            <w:pPr>
              <w:pStyle w:val="TableText"/>
              <w:jc w:val="center"/>
            </w:pPr>
            <w:r w:rsidRPr="00E44F3E">
              <w:t>No</w:t>
            </w:r>
          </w:p>
        </w:tc>
      </w:tr>
      <w:tr w:rsidR="008922D8" w:rsidRPr="00E44F3E" w14:paraId="3BF0E05A" w14:textId="77777777">
        <w:trPr>
          <w:cantSplit/>
          <w:trHeight w:val="20"/>
        </w:trPr>
        <w:tc>
          <w:tcPr>
            <w:tcW w:w="0" w:type="auto"/>
            <w:tcBorders>
              <w:top w:val="single" w:sz="4" w:space="0" w:color="C2D9BA"/>
              <w:bottom w:val="single" w:sz="4" w:space="0" w:color="C2D9BA"/>
            </w:tcBorders>
          </w:tcPr>
          <w:p w14:paraId="4708F4FD" w14:textId="77777777" w:rsidR="008922D8" w:rsidRPr="00E44F3E" w:rsidRDefault="008922D8">
            <w:pPr>
              <w:pStyle w:val="TableText"/>
              <w:jc w:val="center"/>
              <w:rPr>
                <w:b/>
                <w:bCs/>
              </w:rPr>
            </w:pPr>
            <w:r w:rsidRPr="00E44F3E">
              <w:rPr>
                <w:b/>
                <w:bCs/>
              </w:rPr>
              <w:t>5</w:t>
            </w:r>
          </w:p>
          <w:p w14:paraId="3DAB649A" w14:textId="77777777" w:rsidR="008922D8" w:rsidRPr="00E44F3E" w:rsidRDefault="008922D8">
            <w:pPr>
              <w:pStyle w:val="TableText"/>
              <w:jc w:val="center"/>
              <w:rPr>
                <w:bCs/>
              </w:rPr>
            </w:pPr>
            <w:r w:rsidRPr="00E44F3E">
              <w:t>Substantial clinical benefit – not curative</w:t>
            </w:r>
          </w:p>
        </w:tc>
        <w:tc>
          <w:tcPr>
            <w:tcW w:w="0" w:type="auto"/>
            <w:tcBorders>
              <w:top w:val="single" w:sz="4" w:space="0" w:color="C2D9BA"/>
              <w:bottom w:val="single" w:sz="4" w:space="0" w:color="C2D9BA"/>
            </w:tcBorders>
          </w:tcPr>
          <w:p w14:paraId="733F47DA" w14:textId="77777777" w:rsidR="008922D8" w:rsidRPr="00E44F3E" w:rsidRDefault="008922D8">
            <w:pPr>
              <w:pStyle w:val="TableText"/>
              <w:rPr>
                <w:rFonts w:cs="Calibri"/>
                <w:bCs/>
                <w:color w:val="000000"/>
              </w:rPr>
            </w:pPr>
            <w:r w:rsidRPr="00E44F3E">
              <w:t>Blinatumomab</w:t>
            </w:r>
          </w:p>
        </w:tc>
        <w:tc>
          <w:tcPr>
            <w:tcW w:w="0" w:type="auto"/>
            <w:tcBorders>
              <w:top w:val="single" w:sz="4" w:space="0" w:color="C2D9BA"/>
              <w:bottom w:val="single" w:sz="4" w:space="0" w:color="C2D9BA"/>
            </w:tcBorders>
            <w:shd w:val="clear" w:color="auto" w:fill="auto"/>
          </w:tcPr>
          <w:p w14:paraId="5DB46337" w14:textId="77777777" w:rsidR="008922D8" w:rsidRPr="00E44F3E" w:rsidRDefault="008922D8">
            <w:pPr>
              <w:pStyle w:val="TableText"/>
            </w:pPr>
            <w:r w:rsidRPr="00E44F3E">
              <w:t>Monotherapy</w:t>
            </w:r>
          </w:p>
        </w:tc>
        <w:tc>
          <w:tcPr>
            <w:tcW w:w="0" w:type="auto"/>
            <w:tcBorders>
              <w:top w:val="single" w:sz="4" w:space="0" w:color="C2D9BA"/>
              <w:bottom w:val="single" w:sz="4" w:space="0" w:color="C2D9BA"/>
            </w:tcBorders>
          </w:tcPr>
          <w:p w14:paraId="6C4F19E8" w14:textId="77777777" w:rsidR="008922D8" w:rsidRPr="00E44F3E" w:rsidRDefault="008922D8">
            <w:pPr>
              <w:pStyle w:val="TableText"/>
              <w:rPr>
                <w:rFonts w:cs="Calibri"/>
                <w:color w:val="000000"/>
              </w:rPr>
            </w:pPr>
            <w:r w:rsidRPr="00E44F3E">
              <w:t>Precursor B-cell acute lymphoblastic leukaemia (</w:t>
            </w:r>
            <w:r>
              <w:t>p</w:t>
            </w:r>
            <w:r w:rsidRPr="00E44F3E">
              <w:t>re-B</w:t>
            </w:r>
            <w:r>
              <w:noBreakHyphen/>
            </w:r>
            <w:r w:rsidRPr="00E44F3E">
              <w:t>cell ALL)</w:t>
            </w:r>
          </w:p>
        </w:tc>
        <w:tc>
          <w:tcPr>
            <w:tcW w:w="0" w:type="auto"/>
            <w:tcBorders>
              <w:top w:val="single" w:sz="4" w:space="0" w:color="C2D9BA"/>
              <w:bottom w:val="single" w:sz="4" w:space="0" w:color="C2D9BA"/>
            </w:tcBorders>
            <w:shd w:val="clear" w:color="auto" w:fill="auto"/>
          </w:tcPr>
          <w:p w14:paraId="31A1CCD2" w14:textId="77777777" w:rsidR="008922D8" w:rsidRPr="00E44F3E" w:rsidRDefault="008922D8">
            <w:pPr>
              <w:pStyle w:val="TableText"/>
              <w:rPr>
                <w:rFonts w:cs="Calibri"/>
                <w:color w:val="000000"/>
              </w:rPr>
            </w:pPr>
            <w:r w:rsidRPr="00E44F3E">
              <w:t xml:space="preserve">Patients with relapsed or refractory disease </w:t>
            </w:r>
          </w:p>
        </w:tc>
        <w:tc>
          <w:tcPr>
            <w:tcW w:w="0" w:type="auto"/>
            <w:tcBorders>
              <w:top w:val="single" w:sz="4" w:space="0" w:color="C2D9BA"/>
              <w:bottom w:val="single" w:sz="4" w:space="0" w:color="C2D9BA"/>
            </w:tcBorders>
            <w:shd w:val="clear" w:color="auto" w:fill="auto"/>
          </w:tcPr>
          <w:p w14:paraId="273B71BA" w14:textId="77777777" w:rsidR="008922D8" w:rsidRPr="00E44F3E" w:rsidRDefault="008922D8">
            <w:pPr>
              <w:pStyle w:val="TableText"/>
              <w:jc w:val="center"/>
            </w:pPr>
            <w:r w:rsidRPr="00E44F3E">
              <w:t>Continuous intravenous infusion</w:t>
            </w:r>
          </w:p>
        </w:tc>
        <w:tc>
          <w:tcPr>
            <w:tcW w:w="0" w:type="auto"/>
            <w:tcBorders>
              <w:top w:val="single" w:sz="4" w:space="0" w:color="C2D9BA"/>
              <w:bottom w:val="single" w:sz="4" w:space="0" w:color="C2D9BA"/>
            </w:tcBorders>
          </w:tcPr>
          <w:p w14:paraId="2E86B374" w14:textId="77777777" w:rsidR="008922D8" w:rsidRPr="00E44F3E" w:rsidRDefault="008922D8">
            <w:pPr>
              <w:pStyle w:val="TableText"/>
              <w:jc w:val="center"/>
              <w:rPr>
                <w:rFonts w:cs="Calibri"/>
                <w:color w:val="000000"/>
              </w:rPr>
            </w:pPr>
            <w:r w:rsidRPr="00E44F3E">
              <w:t>No</w:t>
            </w:r>
          </w:p>
        </w:tc>
        <w:tc>
          <w:tcPr>
            <w:tcW w:w="0" w:type="auto"/>
            <w:tcBorders>
              <w:top w:val="single" w:sz="4" w:space="0" w:color="C2D9BA"/>
              <w:bottom w:val="single" w:sz="4" w:space="0" w:color="C2D9BA"/>
            </w:tcBorders>
          </w:tcPr>
          <w:p w14:paraId="009F3C8A" w14:textId="77777777" w:rsidR="008922D8" w:rsidRPr="00E44F3E" w:rsidRDefault="008922D8">
            <w:pPr>
              <w:pStyle w:val="TableText"/>
              <w:jc w:val="center"/>
            </w:pPr>
            <w:r w:rsidRPr="00E44F3E">
              <w:t>No application</w:t>
            </w:r>
          </w:p>
        </w:tc>
        <w:tc>
          <w:tcPr>
            <w:tcW w:w="0" w:type="auto"/>
            <w:tcBorders>
              <w:top w:val="single" w:sz="4" w:space="0" w:color="C2D9BA"/>
              <w:bottom w:val="single" w:sz="4" w:space="0" w:color="C2D9BA"/>
            </w:tcBorders>
          </w:tcPr>
          <w:p w14:paraId="77E233F9" w14:textId="77777777" w:rsidR="008922D8" w:rsidRPr="00E44F3E" w:rsidRDefault="008922D8">
            <w:pPr>
              <w:pStyle w:val="TableText"/>
              <w:jc w:val="center"/>
              <w:rPr>
                <w:rFonts w:cs="Calibri"/>
                <w:color w:val="000000"/>
              </w:rPr>
            </w:pPr>
            <w:r w:rsidRPr="00E44F3E">
              <w:t>Yes</w:t>
            </w:r>
          </w:p>
        </w:tc>
      </w:tr>
      <w:tr w:rsidR="008922D8" w:rsidRPr="00E44F3E" w14:paraId="15CFB689" w14:textId="77777777">
        <w:trPr>
          <w:cantSplit/>
          <w:trHeight w:val="20"/>
        </w:trPr>
        <w:tc>
          <w:tcPr>
            <w:tcW w:w="0" w:type="auto"/>
            <w:tcBorders>
              <w:top w:val="single" w:sz="4" w:space="0" w:color="C2D9BA"/>
              <w:bottom w:val="single" w:sz="4" w:space="0" w:color="C2D9BA"/>
            </w:tcBorders>
          </w:tcPr>
          <w:p w14:paraId="22DBBCAE" w14:textId="77777777" w:rsidR="008922D8" w:rsidRPr="00E44F3E" w:rsidRDefault="008922D8">
            <w:pPr>
              <w:pStyle w:val="TableText"/>
              <w:jc w:val="center"/>
              <w:rPr>
                <w:b/>
                <w:bCs/>
              </w:rPr>
            </w:pPr>
            <w:r w:rsidRPr="00E44F3E">
              <w:rPr>
                <w:b/>
                <w:bCs/>
              </w:rPr>
              <w:t>5</w:t>
            </w:r>
          </w:p>
          <w:p w14:paraId="62E22CD6" w14:textId="77777777" w:rsidR="008922D8" w:rsidRPr="00E44F3E" w:rsidRDefault="008922D8">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19DEEE7A" w14:textId="77777777" w:rsidR="008922D8" w:rsidRPr="00E44F3E" w:rsidRDefault="008922D8">
            <w:pPr>
              <w:pStyle w:val="TableText"/>
            </w:pPr>
            <w:r w:rsidRPr="00E44F3E">
              <w:t>Venetoclax*</w:t>
            </w:r>
          </w:p>
        </w:tc>
        <w:tc>
          <w:tcPr>
            <w:tcW w:w="0" w:type="auto"/>
            <w:tcBorders>
              <w:top w:val="single" w:sz="4" w:space="0" w:color="C2D9BA"/>
              <w:bottom w:val="single" w:sz="4" w:space="0" w:color="C2D9BA"/>
            </w:tcBorders>
            <w:shd w:val="clear" w:color="auto" w:fill="auto"/>
          </w:tcPr>
          <w:p w14:paraId="186F84E8" w14:textId="77777777" w:rsidR="008922D8" w:rsidRPr="00E44F3E" w:rsidRDefault="008922D8">
            <w:pPr>
              <w:pStyle w:val="TableText"/>
            </w:pPr>
            <w:r w:rsidRPr="00E44F3E">
              <w:t>Azacitidine*</w:t>
            </w:r>
          </w:p>
        </w:tc>
        <w:tc>
          <w:tcPr>
            <w:tcW w:w="0" w:type="auto"/>
            <w:tcBorders>
              <w:top w:val="single" w:sz="4" w:space="0" w:color="C2D9BA"/>
              <w:bottom w:val="single" w:sz="4" w:space="0" w:color="C2D9BA"/>
            </w:tcBorders>
          </w:tcPr>
          <w:p w14:paraId="094A6FCF" w14:textId="77777777" w:rsidR="008922D8" w:rsidRPr="00E44F3E" w:rsidRDefault="008922D8">
            <w:pPr>
              <w:pStyle w:val="TableText"/>
            </w:pPr>
            <w:r w:rsidRPr="00E44F3E">
              <w:t>Acute myeloid leukaemia (AML)</w:t>
            </w:r>
          </w:p>
        </w:tc>
        <w:tc>
          <w:tcPr>
            <w:tcW w:w="0" w:type="auto"/>
            <w:tcBorders>
              <w:top w:val="single" w:sz="4" w:space="0" w:color="C2D9BA"/>
              <w:bottom w:val="single" w:sz="4" w:space="0" w:color="C2D9BA"/>
            </w:tcBorders>
            <w:shd w:val="clear" w:color="auto" w:fill="auto"/>
          </w:tcPr>
          <w:p w14:paraId="07AFFC2B" w14:textId="77777777" w:rsidR="008922D8" w:rsidRPr="00E44F3E" w:rsidRDefault="008922D8">
            <w:pPr>
              <w:pStyle w:val="TableText"/>
            </w:pPr>
            <w:r w:rsidRPr="00E44F3E">
              <w:t>Patients who are unfit for intensive chemotherapy</w:t>
            </w:r>
          </w:p>
        </w:tc>
        <w:tc>
          <w:tcPr>
            <w:tcW w:w="0" w:type="auto"/>
            <w:tcBorders>
              <w:top w:val="single" w:sz="4" w:space="0" w:color="C2D9BA"/>
              <w:bottom w:val="single" w:sz="4" w:space="0" w:color="C2D9BA"/>
            </w:tcBorders>
            <w:shd w:val="clear" w:color="auto" w:fill="auto"/>
          </w:tcPr>
          <w:p w14:paraId="0569B84B" w14:textId="77777777" w:rsidR="008922D8" w:rsidRPr="00E44F3E" w:rsidRDefault="008922D8">
            <w:pPr>
              <w:pStyle w:val="TableText"/>
              <w:jc w:val="center"/>
            </w:pPr>
            <w:r w:rsidRPr="00E44F3E">
              <w:t>Oral tablet</w:t>
            </w:r>
          </w:p>
        </w:tc>
        <w:tc>
          <w:tcPr>
            <w:tcW w:w="0" w:type="auto"/>
            <w:tcBorders>
              <w:top w:val="single" w:sz="4" w:space="0" w:color="C2D9BA"/>
              <w:bottom w:val="single" w:sz="4" w:space="0" w:color="C2D9BA"/>
            </w:tcBorders>
          </w:tcPr>
          <w:p w14:paraId="43CFD157" w14:textId="77777777" w:rsidR="008922D8" w:rsidRPr="00E44F3E" w:rsidRDefault="008922D8">
            <w:pPr>
              <w:pStyle w:val="TableText"/>
              <w:jc w:val="center"/>
            </w:pPr>
            <w:r w:rsidRPr="00E44F3E">
              <w:t>Yes</w:t>
            </w:r>
          </w:p>
        </w:tc>
        <w:tc>
          <w:tcPr>
            <w:tcW w:w="0" w:type="auto"/>
            <w:tcBorders>
              <w:top w:val="single" w:sz="4" w:space="0" w:color="C2D9BA"/>
              <w:bottom w:val="single" w:sz="4" w:space="0" w:color="C2D9BA"/>
            </w:tcBorders>
          </w:tcPr>
          <w:p w14:paraId="169EC402" w14:textId="77777777" w:rsidR="008922D8" w:rsidRPr="00E44F3E" w:rsidRDefault="008922D8">
            <w:pPr>
              <w:pStyle w:val="TableText"/>
              <w:jc w:val="center"/>
            </w:pPr>
            <w:r w:rsidRPr="00C80CF6">
              <w:t>OFI</w:t>
            </w:r>
            <w:r w:rsidRPr="00E44F3E">
              <w:t xml:space="preserve"> </w:t>
            </w:r>
            <w:r>
              <w:t>l</w:t>
            </w:r>
            <w:r w:rsidRPr="00E44F3E">
              <w:t>ist</w:t>
            </w:r>
          </w:p>
        </w:tc>
        <w:tc>
          <w:tcPr>
            <w:tcW w:w="0" w:type="auto"/>
            <w:tcBorders>
              <w:top w:val="single" w:sz="4" w:space="0" w:color="C2D9BA"/>
              <w:bottom w:val="single" w:sz="4" w:space="0" w:color="C2D9BA"/>
            </w:tcBorders>
          </w:tcPr>
          <w:p w14:paraId="63D24C8D" w14:textId="77777777" w:rsidR="008922D8" w:rsidRPr="00E44F3E" w:rsidRDefault="008922D8">
            <w:pPr>
              <w:pStyle w:val="TableText"/>
              <w:jc w:val="center"/>
            </w:pPr>
            <w:r w:rsidRPr="00E44F3E">
              <w:t>No</w:t>
            </w:r>
          </w:p>
        </w:tc>
      </w:tr>
      <w:tr w:rsidR="008922D8" w:rsidRPr="00E44F3E" w14:paraId="0D5EF3ED" w14:textId="77777777">
        <w:trPr>
          <w:cantSplit/>
          <w:trHeight w:val="20"/>
        </w:trPr>
        <w:tc>
          <w:tcPr>
            <w:tcW w:w="0" w:type="auto"/>
            <w:tcBorders>
              <w:top w:val="single" w:sz="4" w:space="0" w:color="C2D9BA"/>
              <w:bottom w:val="single" w:sz="4" w:space="0" w:color="C2D9BA"/>
            </w:tcBorders>
          </w:tcPr>
          <w:p w14:paraId="5C9A5C2B" w14:textId="77777777" w:rsidR="008922D8" w:rsidRPr="00E44F3E" w:rsidRDefault="008922D8">
            <w:pPr>
              <w:pStyle w:val="TableText"/>
              <w:jc w:val="center"/>
              <w:rPr>
                <w:b/>
                <w:bCs/>
              </w:rPr>
            </w:pPr>
            <w:r w:rsidRPr="00E44F3E">
              <w:rPr>
                <w:b/>
                <w:bCs/>
              </w:rPr>
              <w:lastRenderedPageBreak/>
              <w:t>4</w:t>
            </w:r>
          </w:p>
          <w:p w14:paraId="28CEB284" w14:textId="77777777" w:rsidR="008922D8" w:rsidRPr="00E44F3E" w:rsidRDefault="008922D8">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1CA34414" w14:textId="77777777" w:rsidR="008922D8" w:rsidRPr="00E44F3E" w:rsidRDefault="008922D8">
            <w:pPr>
              <w:pStyle w:val="TableText"/>
            </w:pPr>
            <w:r w:rsidRPr="00E44F3E">
              <w:t xml:space="preserve">Acalabrutinib, </w:t>
            </w:r>
            <w:r>
              <w:t>i</w:t>
            </w:r>
            <w:r w:rsidRPr="00E44F3E">
              <w:t xml:space="preserve">brutinib or </w:t>
            </w:r>
            <w:proofErr w:type="spellStart"/>
            <w:r w:rsidRPr="00E44F3E">
              <w:t>zanubrutinib</w:t>
            </w:r>
            <w:proofErr w:type="spellEnd"/>
            <w:r w:rsidRPr="00E44F3E">
              <w:rPr>
                <w:vertAlign w:val="superscript"/>
              </w:rPr>
              <w:t>‡</w:t>
            </w:r>
          </w:p>
        </w:tc>
        <w:tc>
          <w:tcPr>
            <w:tcW w:w="0" w:type="auto"/>
            <w:tcBorders>
              <w:top w:val="single" w:sz="4" w:space="0" w:color="C2D9BA"/>
              <w:bottom w:val="single" w:sz="4" w:space="0" w:color="C2D9BA"/>
            </w:tcBorders>
            <w:shd w:val="clear" w:color="auto" w:fill="auto"/>
          </w:tcPr>
          <w:p w14:paraId="3E7769BD" w14:textId="77777777" w:rsidR="008922D8" w:rsidRPr="00E44F3E" w:rsidRDefault="008922D8">
            <w:pPr>
              <w:pStyle w:val="TableText"/>
            </w:pPr>
            <w:r w:rsidRPr="00E44F3E">
              <w:t>Monotherapy</w:t>
            </w:r>
          </w:p>
        </w:tc>
        <w:tc>
          <w:tcPr>
            <w:tcW w:w="0" w:type="auto"/>
            <w:tcBorders>
              <w:top w:val="single" w:sz="4" w:space="0" w:color="C2D9BA"/>
              <w:bottom w:val="single" w:sz="4" w:space="0" w:color="C2D9BA"/>
            </w:tcBorders>
          </w:tcPr>
          <w:p w14:paraId="06205387" w14:textId="77777777" w:rsidR="008922D8" w:rsidRPr="00E44F3E" w:rsidRDefault="008922D8">
            <w:pPr>
              <w:pStyle w:val="TableText"/>
            </w:pPr>
            <w:r w:rsidRPr="00E44F3E">
              <w:t>Mantle cell lymphoma</w:t>
            </w:r>
            <w:r>
              <w:t xml:space="preserve"> </w:t>
            </w:r>
            <w:r w:rsidRPr="00E44F3E">
              <w:t>(MCL)</w:t>
            </w:r>
          </w:p>
        </w:tc>
        <w:tc>
          <w:tcPr>
            <w:tcW w:w="0" w:type="auto"/>
            <w:tcBorders>
              <w:top w:val="single" w:sz="4" w:space="0" w:color="C2D9BA"/>
              <w:bottom w:val="single" w:sz="4" w:space="0" w:color="C2D9BA"/>
            </w:tcBorders>
            <w:shd w:val="clear" w:color="auto" w:fill="auto"/>
          </w:tcPr>
          <w:p w14:paraId="213109AF" w14:textId="77777777" w:rsidR="008922D8" w:rsidRPr="00E44F3E" w:rsidRDefault="008922D8">
            <w:pPr>
              <w:pStyle w:val="TableText"/>
            </w:pPr>
            <w:r w:rsidRPr="00E44F3E">
              <w:t xml:space="preserve">Relapsed or refractory to at least one prior therapy </w:t>
            </w:r>
          </w:p>
        </w:tc>
        <w:tc>
          <w:tcPr>
            <w:tcW w:w="0" w:type="auto"/>
            <w:tcBorders>
              <w:top w:val="single" w:sz="4" w:space="0" w:color="C2D9BA"/>
              <w:bottom w:val="single" w:sz="4" w:space="0" w:color="C2D9BA"/>
            </w:tcBorders>
            <w:shd w:val="clear" w:color="auto" w:fill="auto"/>
          </w:tcPr>
          <w:p w14:paraId="714D356B" w14:textId="77777777" w:rsidR="008922D8" w:rsidRPr="00E44F3E" w:rsidRDefault="008922D8">
            <w:pPr>
              <w:pStyle w:val="TableText"/>
              <w:jc w:val="center"/>
            </w:pPr>
            <w:r w:rsidRPr="00E44F3E">
              <w:t>Oral capsule/ tablet</w:t>
            </w:r>
          </w:p>
        </w:tc>
        <w:tc>
          <w:tcPr>
            <w:tcW w:w="0" w:type="auto"/>
            <w:tcBorders>
              <w:top w:val="single" w:sz="4" w:space="0" w:color="C2D9BA"/>
              <w:bottom w:val="single" w:sz="4" w:space="0" w:color="C2D9BA"/>
            </w:tcBorders>
          </w:tcPr>
          <w:p w14:paraId="3A074893" w14:textId="77777777" w:rsidR="008922D8" w:rsidRPr="00E44F3E" w:rsidRDefault="008922D8">
            <w:pPr>
              <w:pStyle w:val="TableText"/>
              <w:jc w:val="center"/>
            </w:pPr>
            <w:r w:rsidRPr="00E44F3E">
              <w:t>Yes</w:t>
            </w:r>
          </w:p>
        </w:tc>
        <w:tc>
          <w:tcPr>
            <w:tcW w:w="0" w:type="auto"/>
            <w:tcBorders>
              <w:top w:val="single" w:sz="4" w:space="0" w:color="C2D9BA"/>
              <w:bottom w:val="single" w:sz="4" w:space="0" w:color="C2D9BA"/>
            </w:tcBorders>
          </w:tcPr>
          <w:p w14:paraId="44780F3C" w14:textId="77777777" w:rsidR="008922D8" w:rsidRPr="00135084" w:rsidRDefault="008922D8">
            <w:pPr>
              <w:pStyle w:val="TableText"/>
              <w:jc w:val="center"/>
            </w:pPr>
            <w:r w:rsidRPr="00135084">
              <w:t xml:space="preserve">Acalabrutinib – </w:t>
            </w:r>
            <w:r>
              <w:t>n</w:t>
            </w:r>
            <w:r w:rsidRPr="00135084">
              <w:t xml:space="preserve">o </w:t>
            </w:r>
            <w:r>
              <w:t>a</w:t>
            </w:r>
            <w:r w:rsidRPr="00135084">
              <w:t>pplication</w:t>
            </w:r>
          </w:p>
          <w:p w14:paraId="4CED56D9" w14:textId="77777777" w:rsidR="008922D8" w:rsidRPr="00650975" w:rsidRDefault="008922D8">
            <w:pPr>
              <w:pStyle w:val="TableText"/>
              <w:jc w:val="center"/>
            </w:pPr>
            <w:r w:rsidRPr="00135084">
              <w:t>Ibrutinib</w:t>
            </w:r>
            <w:r w:rsidRPr="00650975">
              <w:t xml:space="preserve"> – OFI</w:t>
            </w:r>
            <w:r>
              <w:t> </w:t>
            </w:r>
            <w:r w:rsidRPr="00650975">
              <w:t>list</w:t>
            </w:r>
          </w:p>
          <w:p w14:paraId="4829ABCE" w14:textId="77777777" w:rsidR="008922D8" w:rsidRDefault="008922D8">
            <w:pPr>
              <w:pStyle w:val="TableText"/>
              <w:jc w:val="center"/>
            </w:pPr>
            <w:r w:rsidRPr="00135084">
              <w:t xml:space="preserve">Zanubrutinib – </w:t>
            </w:r>
          </w:p>
          <w:p w14:paraId="01B0EA09" w14:textId="77777777" w:rsidR="008922D8" w:rsidRPr="00E44F3E" w:rsidRDefault="008922D8">
            <w:pPr>
              <w:pStyle w:val="TableText"/>
              <w:jc w:val="center"/>
            </w:pPr>
            <w:r>
              <w:t xml:space="preserve">OFI list </w:t>
            </w:r>
          </w:p>
        </w:tc>
        <w:tc>
          <w:tcPr>
            <w:tcW w:w="0" w:type="auto"/>
            <w:tcBorders>
              <w:top w:val="single" w:sz="4" w:space="0" w:color="C2D9BA"/>
              <w:bottom w:val="single" w:sz="4" w:space="0" w:color="C2D9BA"/>
            </w:tcBorders>
          </w:tcPr>
          <w:p w14:paraId="7B0F19D5" w14:textId="77777777" w:rsidR="008922D8" w:rsidRPr="00E44F3E" w:rsidRDefault="008922D8">
            <w:pPr>
              <w:pStyle w:val="TableText"/>
              <w:jc w:val="center"/>
            </w:pPr>
            <w:r w:rsidRPr="00E44F3E">
              <w:t>Yes</w:t>
            </w:r>
          </w:p>
        </w:tc>
      </w:tr>
      <w:tr w:rsidR="008922D8" w:rsidRPr="00E44F3E" w14:paraId="08E382D1" w14:textId="77777777">
        <w:trPr>
          <w:cantSplit/>
          <w:trHeight w:val="20"/>
        </w:trPr>
        <w:tc>
          <w:tcPr>
            <w:tcW w:w="0" w:type="auto"/>
            <w:tcBorders>
              <w:top w:val="single" w:sz="4" w:space="0" w:color="C2D9BA"/>
              <w:bottom w:val="single" w:sz="4" w:space="0" w:color="C2D9BA"/>
            </w:tcBorders>
          </w:tcPr>
          <w:p w14:paraId="0EC072BD" w14:textId="77777777" w:rsidR="008922D8" w:rsidRPr="00E44F3E" w:rsidRDefault="008922D8">
            <w:pPr>
              <w:pStyle w:val="TableText"/>
              <w:jc w:val="center"/>
              <w:rPr>
                <w:b/>
                <w:bCs/>
              </w:rPr>
            </w:pPr>
            <w:r w:rsidRPr="00E44F3E">
              <w:rPr>
                <w:b/>
                <w:bCs/>
              </w:rPr>
              <w:t>4</w:t>
            </w:r>
          </w:p>
          <w:p w14:paraId="07FE7383" w14:textId="77777777" w:rsidR="008922D8" w:rsidRPr="00E44F3E" w:rsidRDefault="008922D8">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47A21A91" w14:textId="77777777" w:rsidR="008922D8" w:rsidRPr="00E44F3E" w:rsidRDefault="008922D8">
            <w:pPr>
              <w:pStyle w:val="TableText"/>
              <w:rPr>
                <w:rFonts w:cs="Calibri"/>
                <w:bCs/>
                <w:color w:val="000000"/>
              </w:rPr>
            </w:pPr>
            <w:proofErr w:type="spellStart"/>
            <w:r w:rsidRPr="00E44F3E">
              <w:t>Asciminib</w:t>
            </w:r>
            <w:proofErr w:type="spellEnd"/>
          </w:p>
        </w:tc>
        <w:tc>
          <w:tcPr>
            <w:tcW w:w="0" w:type="auto"/>
            <w:tcBorders>
              <w:top w:val="single" w:sz="4" w:space="0" w:color="C2D9BA"/>
              <w:bottom w:val="single" w:sz="4" w:space="0" w:color="C2D9BA"/>
            </w:tcBorders>
            <w:shd w:val="clear" w:color="auto" w:fill="auto"/>
          </w:tcPr>
          <w:p w14:paraId="30E20C6F" w14:textId="77777777" w:rsidR="008922D8" w:rsidRPr="00E44F3E" w:rsidRDefault="008922D8">
            <w:pPr>
              <w:pStyle w:val="TableText"/>
            </w:pPr>
            <w:r w:rsidRPr="00E44F3E">
              <w:t>Monotherapy</w:t>
            </w:r>
          </w:p>
        </w:tc>
        <w:tc>
          <w:tcPr>
            <w:tcW w:w="0" w:type="auto"/>
            <w:tcBorders>
              <w:top w:val="single" w:sz="4" w:space="0" w:color="C2D9BA"/>
              <w:bottom w:val="single" w:sz="4" w:space="0" w:color="C2D9BA"/>
            </w:tcBorders>
          </w:tcPr>
          <w:p w14:paraId="6B03DD68" w14:textId="77777777" w:rsidR="008922D8" w:rsidRPr="00E44F3E" w:rsidRDefault="008922D8">
            <w:pPr>
              <w:pStyle w:val="TableText"/>
              <w:rPr>
                <w:rFonts w:cs="Calibri"/>
                <w:color w:val="000000"/>
              </w:rPr>
            </w:pPr>
            <w:bookmarkStart w:id="42" w:name="_Hlk177464373"/>
            <w:r w:rsidRPr="00E44F3E">
              <w:t>Chronic myeloid leukaemia (CML)</w:t>
            </w:r>
            <w:bookmarkEnd w:id="42"/>
          </w:p>
        </w:tc>
        <w:tc>
          <w:tcPr>
            <w:tcW w:w="0" w:type="auto"/>
            <w:tcBorders>
              <w:top w:val="single" w:sz="4" w:space="0" w:color="C2D9BA"/>
              <w:bottom w:val="single" w:sz="4" w:space="0" w:color="C2D9BA"/>
            </w:tcBorders>
            <w:shd w:val="clear" w:color="auto" w:fill="auto"/>
          </w:tcPr>
          <w:p w14:paraId="0E51CBE1" w14:textId="77777777" w:rsidR="008922D8" w:rsidRPr="00E44F3E" w:rsidRDefault="008922D8">
            <w:pPr>
              <w:pStyle w:val="TableText"/>
              <w:rPr>
                <w:rFonts w:cs="Calibri"/>
                <w:color w:val="000000"/>
              </w:rPr>
            </w:pPr>
            <w:r w:rsidRPr="00E44F3E">
              <w:t>Philadelphia chromosome positive or with transcript BCR-ABL1 tyrosine kinase mutation positive without T315I mutation in chronic phase previously treated with two or more tyrosine kinase inhibitors</w:t>
            </w:r>
          </w:p>
        </w:tc>
        <w:tc>
          <w:tcPr>
            <w:tcW w:w="0" w:type="auto"/>
            <w:tcBorders>
              <w:top w:val="single" w:sz="4" w:space="0" w:color="C2D9BA"/>
              <w:bottom w:val="single" w:sz="4" w:space="0" w:color="C2D9BA"/>
            </w:tcBorders>
            <w:shd w:val="clear" w:color="auto" w:fill="auto"/>
          </w:tcPr>
          <w:p w14:paraId="73073C32" w14:textId="77777777" w:rsidR="008922D8" w:rsidRPr="00E44F3E" w:rsidRDefault="008922D8">
            <w:pPr>
              <w:pStyle w:val="TableText"/>
              <w:jc w:val="center"/>
            </w:pPr>
            <w:r w:rsidRPr="00E44F3E">
              <w:t>Oral tablet</w:t>
            </w:r>
          </w:p>
        </w:tc>
        <w:tc>
          <w:tcPr>
            <w:tcW w:w="0" w:type="auto"/>
            <w:tcBorders>
              <w:top w:val="single" w:sz="4" w:space="0" w:color="C2D9BA"/>
              <w:bottom w:val="single" w:sz="4" w:space="0" w:color="C2D9BA"/>
            </w:tcBorders>
          </w:tcPr>
          <w:p w14:paraId="779D329C" w14:textId="77777777" w:rsidR="008922D8" w:rsidRPr="00E44F3E" w:rsidRDefault="008922D8">
            <w:pPr>
              <w:pStyle w:val="TableText"/>
              <w:jc w:val="center"/>
            </w:pPr>
            <w:r w:rsidRPr="00E44F3E">
              <w:t>No</w:t>
            </w:r>
          </w:p>
        </w:tc>
        <w:tc>
          <w:tcPr>
            <w:tcW w:w="0" w:type="auto"/>
            <w:tcBorders>
              <w:top w:val="single" w:sz="4" w:space="0" w:color="C2D9BA"/>
              <w:bottom w:val="single" w:sz="4" w:space="0" w:color="C2D9BA"/>
            </w:tcBorders>
          </w:tcPr>
          <w:p w14:paraId="64AB92F7" w14:textId="77777777" w:rsidR="008922D8" w:rsidRPr="00E44F3E" w:rsidRDefault="008922D8">
            <w:pPr>
              <w:pStyle w:val="TableText"/>
              <w:jc w:val="center"/>
            </w:pPr>
            <w:r>
              <w:t>Seeking clinical advice</w:t>
            </w:r>
          </w:p>
        </w:tc>
        <w:tc>
          <w:tcPr>
            <w:tcW w:w="0" w:type="auto"/>
            <w:tcBorders>
              <w:top w:val="single" w:sz="4" w:space="0" w:color="C2D9BA"/>
              <w:bottom w:val="single" w:sz="4" w:space="0" w:color="C2D9BA"/>
            </w:tcBorders>
          </w:tcPr>
          <w:p w14:paraId="2531F728" w14:textId="77777777" w:rsidR="008922D8" w:rsidRPr="00E44F3E" w:rsidRDefault="008922D8">
            <w:pPr>
              <w:pStyle w:val="TableText"/>
              <w:jc w:val="center"/>
            </w:pPr>
            <w:r w:rsidRPr="00E44F3E">
              <w:t>No</w:t>
            </w:r>
          </w:p>
        </w:tc>
      </w:tr>
      <w:tr w:rsidR="008922D8" w:rsidRPr="00E44F3E" w14:paraId="5D8C660F" w14:textId="77777777">
        <w:trPr>
          <w:cantSplit/>
          <w:trHeight w:val="20"/>
        </w:trPr>
        <w:tc>
          <w:tcPr>
            <w:tcW w:w="0" w:type="auto"/>
            <w:tcBorders>
              <w:top w:val="single" w:sz="4" w:space="0" w:color="C2D9BA"/>
              <w:bottom w:val="single" w:sz="4" w:space="0" w:color="C2D9BA"/>
            </w:tcBorders>
          </w:tcPr>
          <w:p w14:paraId="1B1E31C4" w14:textId="77777777" w:rsidR="008922D8" w:rsidRPr="00E44F3E" w:rsidRDefault="008922D8">
            <w:pPr>
              <w:pStyle w:val="TableText"/>
              <w:jc w:val="center"/>
              <w:rPr>
                <w:b/>
                <w:bCs/>
              </w:rPr>
            </w:pPr>
            <w:r w:rsidRPr="00E44F3E">
              <w:rPr>
                <w:b/>
                <w:bCs/>
              </w:rPr>
              <w:t>4</w:t>
            </w:r>
          </w:p>
          <w:p w14:paraId="7067FBA0" w14:textId="77777777" w:rsidR="008922D8" w:rsidRPr="00E44F3E" w:rsidRDefault="008922D8">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602D17A5" w14:textId="77777777" w:rsidR="008922D8" w:rsidRPr="00E44F3E" w:rsidRDefault="008922D8">
            <w:pPr>
              <w:pStyle w:val="TableText"/>
              <w:rPr>
                <w:rFonts w:cs="Calibri"/>
                <w:bCs/>
                <w:color w:val="000000"/>
              </w:rPr>
            </w:pPr>
            <w:proofErr w:type="spellStart"/>
            <w:r w:rsidRPr="00E44F3E">
              <w:t>Gilteritinib</w:t>
            </w:r>
            <w:proofErr w:type="spellEnd"/>
          </w:p>
        </w:tc>
        <w:tc>
          <w:tcPr>
            <w:tcW w:w="0" w:type="auto"/>
            <w:tcBorders>
              <w:top w:val="single" w:sz="4" w:space="0" w:color="C2D9BA"/>
              <w:bottom w:val="single" w:sz="4" w:space="0" w:color="C2D9BA"/>
            </w:tcBorders>
            <w:shd w:val="clear" w:color="auto" w:fill="auto"/>
          </w:tcPr>
          <w:p w14:paraId="3CF0EBC9" w14:textId="77777777" w:rsidR="008922D8" w:rsidRPr="00E44F3E" w:rsidRDefault="008922D8">
            <w:pPr>
              <w:pStyle w:val="TableText"/>
              <w:rPr>
                <w:rFonts w:cs="Calibri"/>
                <w:bCs/>
                <w:color w:val="000000"/>
              </w:rPr>
            </w:pPr>
            <w:r w:rsidRPr="00E44F3E">
              <w:t>Monotherapy</w:t>
            </w:r>
          </w:p>
        </w:tc>
        <w:tc>
          <w:tcPr>
            <w:tcW w:w="0" w:type="auto"/>
            <w:tcBorders>
              <w:top w:val="single" w:sz="4" w:space="0" w:color="C2D9BA"/>
              <w:bottom w:val="single" w:sz="4" w:space="0" w:color="C2D9BA"/>
            </w:tcBorders>
          </w:tcPr>
          <w:p w14:paraId="01924581" w14:textId="77777777" w:rsidR="008922D8" w:rsidRPr="00E44F3E" w:rsidRDefault="008922D8">
            <w:pPr>
              <w:pStyle w:val="TableText"/>
              <w:rPr>
                <w:rFonts w:cs="Calibri"/>
                <w:color w:val="000000"/>
              </w:rPr>
            </w:pPr>
            <w:r w:rsidRPr="00E44F3E">
              <w:t>Acute myeloid leukaemia (AML)</w:t>
            </w:r>
          </w:p>
        </w:tc>
        <w:tc>
          <w:tcPr>
            <w:tcW w:w="0" w:type="auto"/>
            <w:tcBorders>
              <w:top w:val="single" w:sz="4" w:space="0" w:color="C2D9BA"/>
              <w:bottom w:val="single" w:sz="4" w:space="0" w:color="C2D9BA"/>
            </w:tcBorders>
            <w:shd w:val="clear" w:color="auto" w:fill="auto"/>
          </w:tcPr>
          <w:p w14:paraId="63812447" w14:textId="77777777" w:rsidR="008922D8" w:rsidRPr="00E44F3E" w:rsidRDefault="008922D8">
            <w:pPr>
              <w:pStyle w:val="TableText"/>
              <w:rPr>
                <w:rFonts w:cs="Calibri"/>
                <w:color w:val="000000"/>
              </w:rPr>
            </w:pPr>
            <w:r w:rsidRPr="00E44F3E">
              <w:t>Relapsed or refractory with FLT3 ITD or TKD mutation</w:t>
            </w:r>
          </w:p>
        </w:tc>
        <w:tc>
          <w:tcPr>
            <w:tcW w:w="0" w:type="auto"/>
            <w:tcBorders>
              <w:top w:val="single" w:sz="4" w:space="0" w:color="C2D9BA"/>
              <w:bottom w:val="single" w:sz="4" w:space="0" w:color="C2D9BA"/>
            </w:tcBorders>
            <w:shd w:val="clear" w:color="auto" w:fill="auto"/>
          </w:tcPr>
          <w:p w14:paraId="6C599D65" w14:textId="77777777" w:rsidR="008922D8" w:rsidRPr="00E44F3E" w:rsidRDefault="008922D8">
            <w:pPr>
              <w:pStyle w:val="TableText"/>
              <w:jc w:val="center"/>
            </w:pPr>
            <w:r w:rsidRPr="00E44F3E">
              <w:t>Oral tablet</w:t>
            </w:r>
          </w:p>
        </w:tc>
        <w:tc>
          <w:tcPr>
            <w:tcW w:w="0" w:type="auto"/>
            <w:tcBorders>
              <w:top w:val="single" w:sz="4" w:space="0" w:color="C2D9BA"/>
              <w:bottom w:val="single" w:sz="4" w:space="0" w:color="C2D9BA"/>
            </w:tcBorders>
          </w:tcPr>
          <w:p w14:paraId="44F81CAF" w14:textId="77777777" w:rsidR="008922D8" w:rsidRPr="00E44F3E" w:rsidRDefault="008922D8">
            <w:pPr>
              <w:pStyle w:val="TableText"/>
              <w:jc w:val="center"/>
              <w:rPr>
                <w:rFonts w:cs="Calibri"/>
                <w:color w:val="000000"/>
              </w:rPr>
            </w:pPr>
            <w:r w:rsidRPr="00E44F3E">
              <w:t>No</w:t>
            </w:r>
          </w:p>
        </w:tc>
        <w:tc>
          <w:tcPr>
            <w:tcW w:w="0" w:type="auto"/>
            <w:tcBorders>
              <w:top w:val="single" w:sz="4" w:space="0" w:color="C2D9BA"/>
              <w:bottom w:val="single" w:sz="4" w:space="0" w:color="C2D9BA"/>
            </w:tcBorders>
          </w:tcPr>
          <w:p w14:paraId="7D713C1D" w14:textId="77777777" w:rsidR="008922D8" w:rsidRPr="00E44F3E" w:rsidRDefault="008922D8">
            <w:pPr>
              <w:pStyle w:val="TableText"/>
              <w:jc w:val="center"/>
            </w:pPr>
            <w:r w:rsidRPr="00E44F3E">
              <w:t>No application</w:t>
            </w:r>
          </w:p>
        </w:tc>
        <w:tc>
          <w:tcPr>
            <w:tcW w:w="0" w:type="auto"/>
            <w:tcBorders>
              <w:top w:val="single" w:sz="4" w:space="0" w:color="C2D9BA"/>
              <w:bottom w:val="single" w:sz="4" w:space="0" w:color="C2D9BA"/>
            </w:tcBorders>
          </w:tcPr>
          <w:p w14:paraId="7C1C1CDE" w14:textId="77777777" w:rsidR="008922D8" w:rsidRPr="00E44F3E" w:rsidRDefault="008922D8">
            <w:pPr>
              <w:pStyle w:val="TableText"/>
              <w:jc w:val="center"/>
              <w:rPr>
                <w:rFonts w:cs="Calibri"/>
                <w:color w:val="000000"/>
              </w:rPr>
            </w:pPr>
            <w:r w:rsidRPr="00E44F3E">
              <w:t>No</w:t>
            </w:r>
          </w:p>
        </w:tc>
      </w:tr>
      <w:tr w:rsidR="008922D8" w:rsidRPr="00E44F3E" w14:paraId="18F917C7" w14:textId="77777777">
        <w:trPr>
          <w:cantSplit/>
          <w:trHeight w:val="20"/>
        </w:trPr>
        <w:tc>
          <w:tcPr>
            <w:tcW w:w="0" w:type="auto"/>
            <w:tcBorders>
              <w:top w:val="single" w:sz="4" w:space="0" w:color="C2D9BA"/>
              <w:bottom w:val="single" w:sz="4" w:space="0" w:color="C2D9BA"/>
            </w:tcBorders>
          </w:tcPr>
          <w:p w14:paraId="6E343F90" w14:textId="77777777" w:rsidR="008922D8" w:rsidRPr="00E44F3E" w:rsidRDefault="008922D8">
            <w:pPr>
              <w:pStyle w:val="TableText"/>
              <w:jc w:val="center"/>
              <w:rPr>
                <w:b/>
                <w:bCs/>
              </w:rPr>
            </w:pPr>
            <w:r w:rsidRPr="00E44F3E">
              <w:rPr>
                <w:b/>
                <w:bCs/>
              </w:rPr>
              <w:t>4</w:t>
            </w:r>
          </w:p>
          <w:p w14:paraId="657769A7" w14:textId="77777777" w:rsidR="008922D8" w:rsidRPr="00E44F3E" w:rsidRDefault="008922D8">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311D0CB4" w14:textId="77777777" w:rsidR="008922D8" w:rsidRPr="00E44F3E" w:rsidRDefault="008922D8">
            <w:pPr>
              <w:pStyle w:val="TableText"/>
            </w:pPr>
            <w:proofErr w:type="spellStart"/>
            <w:r w:rsidRPr="00E44F3E">
              <w:t>Idelalisib</w:t>
            </w:r>
            <w:proofErr w:type="spellEnd"/>
          </w:p>
        </w:tc>
        <w:tc>
          <w:tcPr>
            <w:tcW w:w="0" w:type="auto"/>
            <w:tcBorders>
              <w:top w:val="single" w:sz="4" w:space="0" w:color="C2D9BA"/>
              <w:bottom w:val="single" w:sz="4" w:space="0" w:color="C2D9BA"/>
            </w:tcBorders>
            <w:shd w:val="clear" w:color="auto" w:fill="auto"/>
          </w:tcPr>
          <w:p w14:paraId="427D117C" w14:textId="77777777" w:rsidR="008922D8" w:rsidRPr="00E44F3E" w:rsidRDefault="008922D8">
            <w:pPr>
              <w:pStyle w:val="TableText"/>
            </w:pPr>
            <w:r w:rsidRPr="00E44F3E">
              <w:t xml:space="preserve">Rituximab for 8 doses followed by monotherapy (already funded in </w:t>
            </w:r>
            <w:r>
              <w:t>Aotearoa New Zealand</w:t>
            </w:r>
            <w:r w:rsidRPr="00E44F3E">
              <w:t>)</w:t>
            </w:r>
          </w:p>
        </w:tc>
        <w:tc>
          <w:tcPr>
            <w:tcW w:w="0" w:type="auto"/>
            <w:tcBorders>
              <w:top w:val="single" w:sz="4" w:space="0" w:color="C2D9BA"/>
              <w:bottom w:val="single" w:sz="4" w:space="0" w:color="C2D9BA"/>
            </w:tcBorders>
          </w:tcPr>
          <w:p w14:paraId="53148F72" w14:textId="77777777" w:rsidR="008922D8" w:rsidRPr="00E44F3E" w:rsidRDefault="008922D8">
            <w:pPr>
              <w:pStyle w:val="TableText"/>
            </w:pPr>
            <w:bookmarkStart w:id="43" w:name="_Hlk177464354"/>
            <w:r w:rsidRPr="00E44F3E">
              <w:t xml:space="preserve">Chronic lymphocytic leukaemia (CLL) or </w:t>
            </w:r>
            <w:r>
              <w:t>s</w:t>
            </w:r>
            <w:r w:rsidRPr="00E44F3E">
              <w:t xml:space="preserve">mall </w:t>
            </w:r>
            <w:r>
              <w:t>l</w:t>
            </w:r>
            <w:r w:rsidRPr="00E44F3E">
              <w:t xml:space="preserve">ymphocytic </w:t>
            </w:r>
            <w:r>
              <w:t>l</w:t>
            </w:r>
            <w:r w:rsidRPr="00E44F3E">
              <w:t>ymphoma (SLL)</w:t>
            </w:r>
            <w:bookmarkEnd w:id="43"/>
          </w:p>
        </w:tc>
        <w:tc>
          <w:tcPr>
            <w:tcW w:w="0" w:type="auto"/>
            <w:tcBorders>
              <w:top w:val="single" w:sz="4" w:space="0" w:color="C2D9BA"/>
              <w:bottom w:val="single" w:sz="4" w:space="0" w:color="C2D9BA"/>
            </w:tcBorders>
            <w:shd w:val="clear" w:color="auto" w:fill="auto"/>
          </w:tcPr>
          <w:p w14:paraId="56CFFA9B" w14:textId="77777777" w:rsidR="008922D8" w:rsidRPr="00E44F3E" w:rsidRDefault="008922D8">
            <w:pPr>
              <w:pStyle w:val="TableText"/>
            </w:pPr>
            <w:r w:rsidRPr="00E44F3E">
              <w:rPr>
                <w:rFonts w:cs="Calibri"/>
                <w:color w:val="000000"/>
              </w:rPr>
              <w:t>Relapsed or refractory to at least one prior therapy, CD20-positive</w:t>
            </w:r>
          </w:p>
        </w:tc>
        <w:tc>
          <w:tcPr>
            <w:tcW w:w="0" w:type="auto"/>
            <w:tcBorders>
              <w:top w:val="single" w:sz="4" w:space="0" w:color="C2D9BA"/>
              <w:bottom w:val="single" w:sz="4" w:space="0" w:color="C2D9BA"/>
            </w:tcBorders>
            <w:shd w:val="clear" w:color="auto" w:fill="auto"/>
          </w:tcPr>
          <w:p w14:paraId="03CDDF42" w14:textId="77777777" w:rsidR="008922D8" w:rsidRPr="00E44F3E" w:rsidRDefault="008922D8">
            <w:pPr>
              <w:pStyle w:val="TableText"/>
              <w:jc w:val="center"/>
            </w:pPr>
            <w:r w:rsidRPr="00E44F3E">
              <w:t>Oral tablet</w:t>
            </w:r>
          </w:p>
        </w:tc>
        <w:tc>
          <w:tcPr>
            <w:tcW w:w="0" w:type="auto"/>
            <w:tcBorders>
              <w:top w:val="single" w:sz="4" w:space="0" w:color="C2D9BA"/>
              <w:bottom w:val="single" w:sz="4" w:space="0" w:color="C2D9BA"/>
            </w:tcBorders>
          </w:tcPr>
          <w:p w14:paraId="0BFA9D61" w14:textId="77777777" w:rsidR="008922D8" w:rsidRPr="00E44F3E" w:rsidRDefault="008922D8">
            <w:pPr>
              <w:pStyle w:val="TableText"/>
              <w:jc w:val="center"/>
            </w:pPr>
            <w:r w:rsidRPr="00E44F3E">
              <w:t>No</w:t>
            </w:r>
          </w:p>
        </w:tc>
        <w:tc>
          <w:tcPr>
            <w:tcW w:w="0" w:type="auto"/>
            <w:tcBorders>
              <w:top w:val="single" w:sz="4" w:space="0" w:color="C2D9BA"/>
              <w:bottom w:val="single" w:sz="4" w:space="0" w:color="C2D9BA"/>
            </w:tcBorders>
          </w:tcPr>
          <w:p w14:paraId="287440C5" w14:textId="77777777" w:rsidR="008922D8" w:rsidRPr="00E44F3E" w:rsidRDefault="008922D8">
            <w:pPr>
              <w:pStyle w:val="TableText"/>
              <w:jc w:val="center"/>
            </w:pPr>
            <w:r w:rsidRPr="00E44F3E">
              <w:t>No application</w:t>
            </w:r>
          </w:p>
        </w:tc>
        <w:tc>
          <w:tcPr>
            <w:tcW w:w="0" w:type="auto"/>
            <w:tcBorders>
              <w:top w:val="single" w:sz="4" w:space="0" w:color="C2D9BA"/>
              <w:bottom w:val="single" w:sz="4" w:space="0" w:color="C2D9BA"/>
            </w:tcBorders>
          </w:tcPr>
          <w:p w14:paraId="0EE597B1" w14:textId="77777777" w:rsidR="008922D8" w:rsidRPr="00E44F3E" w:rsidRDefault="008922D8">
            <w:pPr>
              <w:pStyle w:val="TableText"/>
              <w:jc w:val="center"/>
            </w:pPr>
            <w:r w:rsidRPr="00E44F3E">
              <w:t>Yes</w:t>
            </w:r>
          </w:p>
        </w:tc>
      </w:tr>
      <w:tr w:rsidR="008922D8" w:rsidRPr="00E44F3E" w14:paraId="45BB9D8B" w14:textId="77777777">
        <w:trPr>
          <w:cantSplit/>
          <w:trHeight w:val="20"/>
        </w:trPr>
        <w:tc>
          <w:tcPr>
            <w:tcW w:w="0" w:type="auto"/>
            <w:tcBorders>
              <w:top w:val="single" w:sz="4" w:space="0" w:color="C2D9BA"/>
              <w:bottom w:val="single" w:sz="4" w:space="0" w:color="C2D9BA"/>
            </w:tcBorders>
          </w:tcPr>
          <w:p w14:paraId="2711E2CB" w14:textId="77777777" w:rsidR="008922D8" w:rsidRPr="00E44F3E" w:rsidRDefault="008922D8">
            <w:pPr>
              <w:pStyle w:val="TableText"/>
              <w:jc w:val="center"/>
              <w:rPr>
                <w:b/>
                <w:bCs/>
              </w:rPr>
            </w:pPr>
            <w:r w:rsidRPr="00E44F3E">
              <w:rPr>
                <w:b/>
                <w:bCs/>
              </w:rPr>
              <w:t>4</w:t>
            </w:r>
          </w:p>
          <w:p w14:paraId="743653BE" w14:textId="77777777" w:rsidR="008922D8" w:rsidRPr="00E44F3E" w:rsidRDefault="008922D8">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6337A398" w14:textId="77777777" w:rsidR="008922D8" w:rsidRPr="00E44F3E" w:rsidRDefault="008922D8">
            <w:pPr>
              <w:pStyle w:val="TableText"/>
            </w:pPr>
            <w:proofErr w:type="spellStart"/>
            <w:r w:rsidRPr="00E44F3E">
              <w:t>Inotuzumab</w:t>
            </w:r>
            <w:proofErr w:type="spellEnd"/>
            <w:r w:rsidRPr="00E44F3E">
              <w:t xml:space="preserve"> </w:t>
            </w:r>
            <w:proofErr w:type="spellStart"/>
            <w:r w:rsidRPr="00E44F3E">
              <w:t>ozogamicin</w:t>
            </w:r>
            <w:proofErr w:type="spellEnd"/>
          </w:p>
        </w:tc>
        <w:tc>
          <w:tcPr>
            <w:tcW w:w="0" w:type="auto"/>
            <w:tcBorders>
              <w:top w:val="single" w:sz="4" w:space="0" w:color="C2D9BA"/>
              <w:bottom w:val="single" w:sz="4" w:space="0" w:color="C2D9BA"/>
            </w:tcBorders>
            <w:shd w:val="clear" w:color="auto" w:fill="auto"/>
          </w:tcPr>
          <w:p w14:paraId="688BFCEC" w14:textId="77777777" w:rsidR="008922D8" w:rsidRPr="00E44F3E" w:rsidRDefault="008922D8">
            <w:pPr>
              <w:pStyle w:val="TableText"/>
            </w:pPr>
            <w:r w:rsidRPr="00E44F3E">
              <w:t>Monotherapy</w:t>
            </w:r>
          </w:p>
        </w:tc>
        <w:tc>
          <w:tcPr>
            <w:tcW w:w="0" w:type="auto"/>
            <w:tcBorders>
              <w:top w:val="single" w:sz="4" w:space="0" w:color="C2D9BA"/>
              <w:bottom w:val="single" w:sz="4" w:space="0" w:color="C2D9BA"/>
            </w:tcBorders>
          </w:tcPr>
          <w:p w14:paraId="5D72C97E" w14:textId="77777777" w:rsidR="008922D8" w:rsidRPr="00E44F3E" w:rsidRDefault="008922D8">
            <w:pPr>
              <w:pStyle w:val="TableText"/>
              <w:rPr>
                <w:rFonts w:cs="Calibri"/>
                <w:color w:val="000000"/>
              </w:rPr>
            </w:pPr>
            <w:r w:rsidRPr="00E44F3E">
              <w:t>Precursor B-cell acute lymphoblastic leukaemia (</w:t>
            </w:r>
            <w:r>
              <w:t>p</w:t>
            </w:r>
            <w:r w:rsidRPr="00E44F3E">
              <w:t>re-B</w:t>
            </w:r>
            <w:r>
              <w:noBreakHyphen/>
            </w:r>
            <w:r w:rsidRPr="00E44F3E">
              <w:t xml:space="preserve">cell ALL) </w:t>
            </w:r>
          </w:p>
        </w:tc>
        <w:tc>
          <w:tcPr>
            <w:tcW w:w="0" w:type="auto"/>
            <w:tcBorders>
              <w:top w:val="single" w:sz="4" w:space="0" w:color="C2D9BA"/>
              <w:bottom w:val="single" w:sz="4" w:space="0" w:color="C2D9BA"/>
            </w:tcBorders>
            <w:shd w:val="clear" w:color="auto" w:fill="auto"/>
          </w:tcPr>
          <w:p w14:paraId="17A8C5DC" w14:textId="77777777" w:rsidR="008922D8" w:rsidRPr="00E44F3E" w:rsidRDefault="008922D8">
            <w:pPr>
              <w:pStyle w:val="TableText"/>
              <w:rPr>
                <w:rFonts w:cs="Calibri"/>
                <w:color w:val="000000"/>
              </w:rPr>
            </w:pPr>
            <w:r w:rsidRPr="00E44F3E">
              <w:t xml:space="preserve">Relapsed or refractory B-precursor cell, CD22-positive </w:t>
            </w:r>
          </w:p>
        </w:tc>
        <w:tc>
          <w:tcPr>
            <w:tcW w:w="0" w:type="auto"/>
            <w:tcBorders>
              <w:top w:val="single" w:sz="4" w:space="0" w:color="C2D9BA"/>
              <w:bottom w:val="single" w:sz="4" w:space="0" w:color="C2D9BA"/>
            </w:tcBorders>
            <w:shd w:val="clear" w:color="auto" w:fill="auto"/>
          </w:tcPr>
          <w:p w14:paraId="40BB4FA8" w14:textId="77777777" w:rsidR="008922D8" w:rsidRPr="00E44F3E" w:rsidRDefault="008922D8">
            <w:pPr>
              <w:pStyle w:val="TableText"/>
              <w:jc w:val="center"/>
            </w:pPr>
            <w:r w:rsidRPr="00E44F3E">
              <w:t>Intravenous infusion</w:t>
            </w:r>
          </w:p>
        </w:tc>
        <w:tc>
          <w:tcPr>
            <w:tcW w:w="0" w:type="auto"/>
            <w:tcBorders>
              <w:top w:val="single" w:sz="4" w:space="0" w:color="C2D9BA"/>
              <w:bottom w:val="single" w:sz="4" w:space="0" w:color="C2D9BA"/>
            </w:tcBorders>
          </w:tcPr>
          <w:p w14:paraId="6CEBA57D" w14:textId="77777777" w:rsidR="008922D8" w:rsidRPr="00E44F3E" w:rsidRDefault="008922D8">
            <w:pPr>
              <w:pStyle w:val="TableText"/>
              <w:jc w:val="center"/>
            </w:pPr>
            <w:r w:rsidRPr="00E44F3E">
              <w:t>No</w:t>
            </w:r>
          </w:p>
        </w:tc>
        <w:tc>
          <w:tcPr>
            <w:tcW w:w="0" w:type="auto"/>
            <w:tcBorders>
              <w:top w:val="single" w:sz="4" w:space="0" w:color="C2D9BA"/>
              <w:bottom w:val="single" w:sz="4" w:space="0" w:color="C2D9BA"/>
            </w:tcBorders>
          </w:tcPr>
          <w:p w14:paraId="273894DD" w14:textId="77777777" w:rsidR="008922D8" w:rsidRPr="00E44F3E" w:rsidRDefault="008922D8">
            <w:pPr>
              <w:pStyle w:val="TableText"/>
              <w:jc w:val="center"/>
            </w:pPr>
            <w:r w:rsidRPr="00C80CF6">
              <w:t>OFI</w:t>
            </w:r>
            <w:r w:rsidRPr="00E44F3E">
              <w:t xml:space="preserve"> </w:t>
            </w:r>
            <w:r>
              <w:t>l</w:t>
            </w:r>
            <w:r w:rsidRPr="00E44F3E">
              <w:t>ist</w:t>
            </w:r>
          </w:p>
        </w:tc>
        <w:tc>
          <w:tcPr>
            <w:tcW w:w="0" w:type="auto"/>
            <w:tcBorders>
              <w:top w:val="single" w:sz="4" w:space="0" w:color="C2D9BA"/>
              <w:bottom w:val="single" w:sz="4" w:space="0" w:color="C2D9BA"/>
            </w:tcBorders>
          </w:tcPr>
          <w:p w14:paraId="40B39DDA" w14:textId="77777777" w:rsidR="008922D8" w:rsidRPr="00E44F3E" w:rsidRDefault="008922D8">
            <w:pPr>
              <w:pStyle w:val="TableText"/>
              <w:jc w:val="center"/>
            </w:pPr>
            <w:r w:rsidRPr="00E44F3E">
              <w:t>Yes</w:t>
            </w:r>
          </w:p>
        </w:tc>
      </w:tr>
      <w:tr w:rsidR="008922D8" w:rsidRPr="00E44F3E" w14:paraId="7E11393B" w14:textId="77777777">
        <w:trPr>
          <w:cantSplit/>
          <w:trHeight w:val="20"/>
        </w:trPr>
        <w:tc>
          <w:tcPr>
            <w:tcW w:w="0" w:type="auto"/>
            <w:tcBorders>
              <w:top w:val="single" w:sz="4" w:space="0" w:color="C2D9BA"/>
              <w:bottom w:val="single" w:sz="4" w:space="0" w:color="C2D9BA"/>
            </w:tcBorders>
          </w:tcPr>
          <w:p w14:paraId="4997C62C" w14:textId="77777777" w:rsidR="008922D8" w:rsidRPr="00E44F3E" w:rsidRDefault="008922D8">
            <w:pPr>
              <w:pStyle w:val="TableText"/>
              <w:jc w:val="center"/>
              <w:rPr>
                <w:b/>
                <w:bCs/>
              </w:rPr>
            </w:pPr>
            <w:r w:rsidRPr="00E44F3E">
              <w:rPr>
                <w:b/>
                <w:bCs/>
              </w:rPr>
              <w:lastRenderedPageBreak/>
              <w:t>4</w:t>
            </w:r>
          </w:p>
          <w:p w14:paraId="5E9A564E" w14:textId="77777777" w:rsidR="008922D8" w:rsidRPr="00E44F3E" w:rsidRDefault="008922D8">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61EDE3BF" w14:textId="77777777" w:rsidR="008922D8" w:rsidRPr="00E44F3E" w:rsidRDefault="008922D8">
            <w:pPr>
              <w:pStyle w:val="TableText"/>
            </w:pPr>
            <w:r w:rsidRPr="00E44F3E">
              <w:t>Lenalidomide</w:t>
            </w:r>
          </w:p>
        </w:tc>
        <w:tc>
          <w:tcPr>
            <w:tcW w:w="0" w:type="auto"/>
            <w:tcBorders>
              <w:top w:val="single" w:sz="4" w:space="0" w:color="C2D9BA"/>
              <w:bottom w:val="single" w:sz="4" w:space="0" w:color="C2D9BA"/>
            </w:tcBorders>
            <w:shd w:val="clear" w:color="auto" w:fill="auto"/>
          </w:tcPr>
          <w:p w14:paraId="7E47086D" w14:textId="77777777" w:rsidR="008922D8" w:rsidRPr="00E44F3E" w:rsidRDefault="008922D8">
            <w:pPr>
              <w:pStyle w:val="TableText"/>
            </w:pPr>
            <w:r w:rsidRPr="00E44F3E">
              <w:t xml:space="preserve">Dexamethasone with or without </w:t>
            </w:r>
            <w:r>
              <w:t>b</w:t>
            </w:r>
            <w:r w:rsidRPr="00E44F3E">
              <w:t xml:space="preserve">ortezomib </w:t>
            </w:r>
          </w:p>
        </w:tc>
        <w:tc>
          <w:tcPr>
            <w:tcW w:w="0" w:type="auto"/>
            <w:tcBorders>
              <w:top w:val="single" w:sz="4" w:space="0" w:color="C2D9BA"/>
              <w:bottom w:val="single" w:sz="4" w:space="0" w:color="C2D9BA"/>
            </w:tcBorders>
          </w:tcPr>
          <w:p w14:paraId="061B28F9" w14:textId="77777777" w:rsidR="008922D8" w:rsidRPr="00E44F3E" w:rsidRDefault="008922D8">
            <w:pPr>
              <w:pStyle w:val="TableText"/>
              <w:rPr>
                <w:rFonts w:cs="Calibri"/>
                <w:color w:val="000000"/>
              </w:rPr>
            </w:pPr>
            <w:r w:rsidRPr="00E44F3E">
              <w:t>Multiple myeloma (MM)</w:t>
            </w:r>
          </w:p>
        </w:tc>
        <w:tc>
          <w:tcPr>
            <w:tcW w:w="0" w:type="auto"/>
            <w:tcBorders>
              <w:top w:val="single" w:sz="4" w:space="0" w:color="C2D9BA"/>
              <w:bottom w:val="single" w:sz="4" w:space="0" w:color="C2D9BA"/>
            </w:tcBorders>
            <w:shd w:val="clear" w:color="auto" w:fill="auto"/>
          </w:tcPr>
          <w:p w14:paraId="5AFF972C" w14:textId="77777777" w:rsidR="008922D8" w:rsidRPr="00E44F3E" w:rsidRDefault="008922D8">
            <w:pPr>
              <w:pStyle w:val="TableText"/>
              <w:rPr>
                <w:rFonts w:cs="Calibri"/>
                <w:color w:val="000000"/>
              </w:rPr>
            </w:pPr>
            <w:r w:rsidRPr="00E44F3E">
              <w:t xml:space="preserve">Newly diagnosed </w:t>
            </w:r>
          </w:p>
        </w:tc>
        <w:tc>
          <w:tcPr>
            <w:tcW w:w="0" w:type="auto"/>
            <w:tcBorders>
              <w:top w:val="single" w:sz="4" w:space="0" w:color="C2D9BA"/>
              <w:bottom w:val="single" w:sz="4" w:space="0" w:color="C2D9BA"/>
            </w:tcBorders>
            <w:shd w:val="clear" w:color="auto" w:fill="auto"/>
          </w:tcPr>
          <w:p w14:paraId="1A574E1A" w14:textId="77777777" w:rsidR="008922D8" w:rsidRPr="00E44F3E" w:rsidRDefault="008922D8">
            <w:pPr>
              <w:pStyle w:val="TableText"/>
              <w:jc w:val="center"/>
            </w:pPr>
            <w:r w:rsidRPr="00E44F3E">
              <w:t>Oral capsule/</w:t>
            </w:r>
            <w:r w:rsidRPr="00E44F3E">
              <w:br/>
              <w:t>tablet</w:t>
            </w:r>
          </w:p>
        </w:tc>
        <w:tc>
          <w:tcPr>
            <w:tcW w:w="0" w:type="auto"/>
            <w:tcBorders>
              <w:top w:val="single" w:sz="4" w:space="0" w:color="C2D9BA"/>
              <w:bottom w:val="single" w:sz="4" w:space="0" w:color="C2D9BA"/>
            </w:tcBorders>
          </w:tcPr>
          <w:p w14:paraId="225BEA21" w14:textId="77777777" w:rsidR="008922D8" w:rsidRPr="00E44F3E" w:rsidRDefault="008922D8">
            <w:pPr>
              <w:pStyle w:val="TableText"/>
              <w:jc w:val="center"/>
            </w:pPr>
            <w:r w:rsidRPr="00E44F3E">
              <w:t>Yes</w:t>
            </w:r>
          </w:p>
        </w:tc>
        <w:tc>
          <w:tcPr>
            <w:tcW w:w="0" w:type="auto"/>
            <w:tcBorders>
              <w:top w:val="single" w:sz="4" w:space="0" w:color="C2D9BA"/>
              <w:bottom w:val="single" w:sz="4" w:space="0" w:color="C2D9BA"/>
            </w:tcBorders>
          </w:tcPr>
          <w:p w14:paraId="3B31ADAF" w14:textId="50EFF036" w:rsidR="008922D8" w:rsidRPr="00E44F3E" w:rsidRDefault="00867308">
            <w:pPr>
              <w:pStyle w:val="TableText"/>
              <w:jc w:val="center"/>
            </w:pPr>
            <w:r>
              <w:t>F</w:t>
            </w:r>
            <w:r w:rsidR="008922D8" w:rsidRPr="00E44F3E">
              <w:t>und</w:t>
            </w:r>
            <w:r w:rsidR="001A5783">
              <w:t>ed</w:t>
            </w:r>
            <w:r w:rsidR="008922D8" w:rsidRPr="00E44F3E">
              <w:t xml:space="preserve"> from 1</w:t>
            </w:r>
            <w:r w:rsidR="008922D8">
              <w:t> </w:t>
            </w:r>
            <w:r w:rsidR="008922D8" w:rsidRPr="00E44F3E">
              <w:t>August 2024</w:t>
            </w:r>
          </w:p>
        </w:tc>
        <w:tc>
          <w:tcPr>
            <w:tcW w:w="0" w:type="auto"/>
            <w:tcBorders>
              <w:top w:val="single" w:sz="4" w:space="0" w:color="C2D9BA"/>
              <w:bottom w:val="single" w:sz="4" w:space="0" w:color="C2D9BA"/>
            </w:tcBorders>
          </w:tcPr>
          <w:p w14:paraId="7BE0E72A" w14:textId="77777777" w:rsidR="008922D8" w:rsidRPr="00E44F3E" w:rsidRDefault="008922D8">
            <w:pPr>
              <w:pStyle w:val="TableText"/>
              <w:jc w:val="center"/>
            </w:pPr>
            <w:r w:rsidRPr="00E44F3E">
              <w:t>Yes</w:t>
            </w:r>
          </w:p>
        </w:tc>
      </w:tr>
      <w:tr w:rsidR="008922D8" w:rsidRPr="00E44F3E" w14:paraId="3E4C0A53" w14:textId="77777777">
        <w:trPr>
          <w:cantSplit/>
          <w:trHeight w:val="20"/>
        </w:trPr>
        <w:tc>
          <w:tcPr>
            <w:tcW w:w="0" w:type="auto"/>
            <w:tcBorders>
              <w:top w:val="single" w:sz="4" w:space="0" w:color="C2D9BA"/>
              <w:bottom w:val="single" w:sz="4" w:space="0" w:color="C2D9BA"/>
            </w:tcBorders>
          </w:tcPr>
          <w:p w14:paraId="75CD79C0" w14:textId="77777777" w:rsidR="008922D8" w:rsidRPr="00E44F3E" w:rsidRDefault="008922D8">
            <w:pPr>
              <w:pStyle w:val="TableText"/>
              <w:jc w:val="center"/>
              <w:rPr>
                <w:b/>
                <w:bCs/>
              </w:rPr>
            </w:pPr>
            <w:r w:rsidRPr="00E44F3E">
              <w:rPr>
                <w:b/>
                <w:bCs/>
              </w:rPr>
              <w:t>4</w:t>
            </w:r>
          </w:p>
          <w:p w14:paraId="66C4BB8D" w14:textId="77777777" w:rsidR="008922D8" w:rsidRPr="00E44F3E" w:rsidRDefault="008922D8">
            <w:pPr>
              <w:pStyle w:val="TableText"/>
              <w:jc w:val="center"/>
            </w:pPr>
            <w:r w:rsidRPr="00E44F3E">
              <w:t>Substantial clinical benefit – not curative</w:t>
            </w:r>
          </w:p>
        </w:tc>
        <w:tc>
          <w:tcPr>
            <w:tcW w:w="0" w:type="auto"/>
            <w:tcBorders>
              <w:top w:val="single" w:sz="4" w:space="0" w:color="C2D9BA"/>
              <w:bottom w:val="single" w:sz="4" w:space="0" w:color="C2D9BA"/>
            </w:tcBorders>
          </w:tcPr>
          <w:p w14:paraId="245BF35B" w14:textId="77777777" w:rsidR="008922D8" w:rsidRPr="00E44F3E" w:rsidRDefault="008922D8">
            <w:pPr>
              <w:pStyle w:val="TableText"/>
            </w:pPr>
            <w:r w:rsidRPr="00E44F3E">
              <w:t>Pomalidomide</w:t>
            </w:r>
          </w:p>
        </w:tc>
        <w:tc>
          <w:tcPr>
            <w:tcW w:w="0" w:type="auto"/>
            <w:tcBorders>
              <w:top w:val="single" w:sz="4" w:space="0" w:color="C2D9BA"/>
              <w:bottom w:val="single" w:sz="4" w:space="0" w:color="C2D9BA"/>
            </w:tcBorders>
            <w:shd w:val="clear" w:color="auto" w:fill="auto"/>
          </w:tcPr>
          <w:p w14:paraId="7693A972" w14:textId="77777777" w:rsidR="008922D8" w:rsidRPr="00E44F3E" w:rsidRDefault="008922D8">
            <w:pPr>
              <w:pStyle w:val="TableText"/>
            </w:pPr>
            <w:r w:rsidRPr="00E44F3E">
              <w:t xml:space="preserve">Dexamethasone (already funded in </w:t>
            </w:r>
            <w:r>
              <w:t>Aotearoa New Zealand</w:t>
            </w:r>
            <w:r w:rsidRPr="00E44F3E">
              <w:t>)</w:t>
            </w:r>
          </w:p>
        </w:tc>
        <w:tc>
          <w:tcPr>
            <w:tcW w:w="0" w:type="auto"/>
            <w:tcBorders>
              <w:top w:val="single" w:sz="4" w:space="0" w:color="C2D9BA"/>
              <w:bottom w:val="single" w:sz="4" w:space="0" w:color="C2D9BA"/>
            </w:tcBorders>
          </w:tcPr>
          <w:p w14:paraId="19D86DE2" w14:textId="77777777" w:rsidR="008922D8" w:rsidRPr="00E44F3E" w:rsidRDefault="008922D8">
            <w:pPr>
              <w:pStyle w:val="TableText"/>
            </w:pPr>
            <w:bookmarkStart w:id="44" w:name="_Hlk177464458"/>
            <w:r w:rsidRPr="00E44F3E">
              <w:t>Multiple myeloma (MM)</w:t>
            </w:r>
            <w:bookmarkEnd w:id="44"/>
          </w:p>
        </w:tc>
        <w:tc>
          <w:tcPr>
            <w:tcW w:w="0" w:type="auto"/>
            <w:tcBorders>
              <w:top w:val="single" w:sz="4" w:space="0" w:color="C2D9BA"/>
              <w:bottom w:val="single" w:sz="4" w:space="0" w:color="C2D9BA"/>
            </w:tcBorders>
            <w:shd w:val="clear" w:color="auto" w:fill="auto"/>
          </w:tcPr>
          <w:p w14:paraId="1EFC2722" w14:textId="77777777" w:rsidR="008922D8" w:rsidRPr="00E44F3E" w:rsidRDefault="008922D8">
            <w:pPr>
              <w:pStyle w:val="TableText"/>
            </w:pPr>
            <w:r w:rsidRPr="00E44F3E">
              <w:t>Relapsed or refractory third</w:t>
            </w:r>
            <w:r>
              <w:t>-</w:t>
            </w:r>
            <w:r w:rsidRPr="00E44F3E">
              <w:t>line treatment</w:t>
            </w:r>
          </w:p>
        </w:tc>
        <w:tc>
          <w:tcPr>
            <w:tcW w:w="0" w:type="auto"/>
            <w:tcBorders>
              <w:top w:val="single" w:sz="4" w:space="0" w:color="C2D9BA"/>
              <w:bottom w:val="single" w:sz="4" w:space="0" w:color="C2D9BA"/>
            </w:tcBorders>
            <w:shd w:val="clear" w:color="auto" w:fill="auto"/>
          </w:tcPr>
          <w:p w14:paraId="4A760763" w14:textId="77777777" w:rsidR="008922D8" w:rsidRPr="00E44F3E" w:rsidRDefault="008922D8">
            <w:pPr>
              <w:pStyle w:val="TableText"/>
              <w:jc w:val="center"/>
            </w:pPr>
            <w:r w:rsidRPr="00E44F3E">
              <w:t>Oral capsule</w:t>
            </w:r>
          </w:p>
        </w:tc>
        <w:tc>
          <w:tcPr>
            <w:tcW w:w="0" w:type="auto"/>
            <w:tcBorders>
              <w:top w:val="single" w:sz="4" w:space="0" w:color="C2D9BA"/>
              <w:bottom w:val="single" w:sz="4" w:space="0" w:color="C2D9BA"/>
            </w:tcBorders>
          </w:tcPr>
          <w:p w14:paraId="2D06381C" w14:textId="77777777" w:rsidR="008922D8" w:rsidRPr="00E44F3E" w:rsidRDefault="008922D8">
            <w:pPr>
              <w:pStyle w:val="TableText"/>
              <w:jc w:val="center"/>
            </w:pPr>
            <w:r w:rsidRPr="00E44F3E">
              <w:t>No</w:t>
            </w:r>
          </w:p>
        </w:tc>
        <w:tc>
          <w:tcPr>
            <w:tcW w:w="0" w:type="auto"/>
            <w:tcBorders>
              <w:top w:val="single" w:sz="4" w:space="0" w:color="C2D9BA"/>
              <w:bottom w:val="single" w:sz="4" w:space="0" w:color="C2D9BA"/>
            </w:tcBorders>
          </w:tcPr>
          <w:p w14:paraId="62A34729" w14:textId="4F8C013F" w:rsidR="008922D8" w:rsidRPr="00E44F3E" w:rsidRDefault="001A5783">
            <w:pPr>
              <w:pStyle w:val="TableText"/>
              <w:jc w:val="center"/>
            </w:pPr>
            <w:r>
              <w:t>F</w:t>
            </w:r>
            <w:r w:rsidRPr="00E44F3E">
              <w:t>und</w:t>
            </w:r>
            <w:r>
              <w:t>ed</w:t>
            </w:r>
            <w:r w:rsidRPr="00E44F3E">
              <w:t xml:space="preserve"> </w:t>
            </w:r>
            <w:r w:rsidR="008922D8" w:rsidRPr="00E44F3E">
              <w:t>from 1</w:t>
            </w:r>
            <w:r w:rsidR="008922D8">
              <w:t> </w:t>
            </w:r>
            <w:r w:rsidR="008922D8" w:rsidRPr="00E44F3E">
              <w:t>August 2024</w:t>
            </w:r>
          </w:p>
        </w:tc>
        <w:tc>
          <w:tcPr>
            <w:tcW w:w="0" w:type="auto"/>
            <w:tcBorders>
              <w:top w:val="single" w:sz="4" w:space="0" w:color="C2D9BA"/>
              <w:bottom w:val="single" w:sz="4" w:space="0" w:color="C2D9BA"/>
            </w:tcBorders>
          </w:tcPr>
          <w:p w14:paraId="2CEDEA8E" w14:textId="77777777" w:rsidR="008922D8" w:rsidRPr="00E44F3E" w:rsidRDefault="008922D8">
            <w:pPr>
              <w:pStyle w:val="TableText"/>
              <w:jc w:val="center"/>
            </w:pPr>
            <w:r w:rsidRPr="00E44F3E">
              <w:t>Yes</w:t>
            </w:r>
          </w:p>
        </w:tc>
      </w:tr>
    </w:tbl>
    <w:p w14:paraId="7C185D4D" w14:textId="77777777" w:rsidR="00B041A5" w:rsidRPr="00E44F3E" w:rsidRDefault="00B041A5" w:rsidP="00B041A5">
      <w:pPr>
        <w:pStyle w:val="Note"/>
      </w:pPr>
      <w:r w:rsidRPr="00E44F3E">
        <w:t xml:space="preserve">Note: a score of A or B </w:t>
      </w:r>
      <w:r>
        <w:t>indicates</w:t>
      </w:r>
      <w:r w:rsidRPr="00E44F3E">
        <w:t xml:space="preserve"> curative, a score of </w:t>
      </w:r>
      <w:r>
        <w:t>5</w:t>
      </w:r>
      <w:r w:rsidRPr="00E44F3E">
        <w:t xml:space="preserve"> or </w:t>
      </w:r>
      <w:r>
        <w:t>4</w:t>
      </w:r>
      <w:r w:rsidRPr="00E44F3E">
        <w:t xml:space="preserve"> </w:t>
      </w:r>
      <w:r>
        <w:t>indicates</w:t>
      </w:r>
      <w:r w:rsidRPr="00E44F3E">
        <w:t xml:space="preserve"> substantial clinical benefit but not curative</w:t>
      </w:r>
      <w:r>
        <w:t>.</w:t>
      </w:r>
      <w:r w:rsidRPr="00E44F3E">
        <w:t xml:space="preserve"> </w:t>
      </w:r>
    </w:p>
    <w:p w14:paraId="4DC0538D" w14:textId="77777777" w:rsidR="00B041A5" w:rsidRPr="00126E8E" w:rsidRDefault="00B041A5" w:rsidP="00B041A5">
      <w:pPr>
        <w:pStyle w:val="Note"/>
      </w:pPr>
      <w:r w:rsidRPr="00126E8E">
        <w:t>*</w:t>
      </w:r>
      <w:r w:rsidRPr="00126E8E">
        <w:tab/>
        <w:t>Represents a regimen</w:t>
      </w:r>
      <w:r>
        <w:t xml:space="preserve">-indication </w:t>
      </w:r>
      <w:r w:rsidRPr="00126E8E">
        <w:t>pair – where more than one medicine is taken as part of the same treatment, and both would need to be funded to close the gap.</w:t>
      </w:r>
    </w:p>
    <w:p w14:paraId="6652165F" w14:textId="77777777" w:rsidR="00B041A5" w:rsidRPr="00126E8E" w:rsidRDefault="00B041A5" w:rsidP="00B041A5">
      <w:pPr>
        <w:pStyle w:val="Note"/>
      </w:pPr>
      <w:r w:rsidRPr="00126E8E">
        <w:t>†</w:t>
      </w:r>
      <w:r w:rsidRPr="00126E8E">
        <w:tab/>
        <w:t xml:space="preserve">Status as of May 2024. The status of medicine applications at Pharmac is constantly being progressed and updated. Please refer to </w:t>
      </w:r>
      <w:proofErr w:type="spellStart"/>
      <w:r w:rsidRPr="00126E8E">
        <w:t>Pharmac’s</w:t>
      </w:r>
      <w:proofErr w:type="spellEnd"/>
      <w:r w:rsidRPr="00126E8E">
        <w:t xml:space="preserve"> Application Tracker</w:t>
      </w:r>
      <w:r>
        <w:t xml:space="preserve"> (</w:t>
      </w:r>
      <w:hyperlink r:id="rId38" w:history="1">
        <w:r w:rsidRPr="00F216A7">
          <w:rPr>
            <w:rStyle w:val="Hyperlink"/>
          </w:rPr>
          <w:t>connect.pharmac.govt.nz/</w:t>
        </w:r>
        <w:proofErr w:type="spellStart"/>
        <w:r w:rsidRPr="00F216A7">
          <w:rPr>
            <w:rStyle w:val="Hyperlink"/>
          </w:rPr>
          <w:t>apptracker</w:t>
        </w:r>
        <w:proofErr w:type="spellEnd"/>
      </w:hyperlink>
      <w:r>
        <w:t xml:space="preserve">) </w:t>
      </w:r>
      <w:r w:rsidRPr="00126E8E">
        <w:t>for up</w:t>
      </w:r>
      <w:r>
        <w:t>-</w:t>
      </w:r>
      <w:r w:rsidRPr="00126E8E">
        <w:t>to</w:t>
      </w:r>
      <w:r>
        <w:t>-</w:t>
      </w:r>
      <w:r w:rsidRPr="00126E8E">
        <w:t>date information on a medicine application.</w:t>
      </w:r>
    </w:p>
    <w:p w14:paraId="763125A8" w14:textId="77777777" w:rsidR="00B041A5" w:rsidRPr="00126E8E" w:rsidRDefault="00B041A5" w:rsidP="00B041A5">
      <w:pPr>
        <w:pStyle w:val="Note"/>
      </w:pPr>
      <w:r w:rsidRPr="00126E8E">
        <w:t>‡</w:t>
      </w:r>
      <w:r w:rsidRPr="00126E8E">
        <w:tab/>
        <w:t>Medicines that are part of the Bruton</w:t>
      </w:r>
      <w:r>
        <w:t>’s</w:t>
      </w:r>
      <w:r w:rsidRPr="00126E8E">
        <w:t xml:space="preserve"> tyrosine kinase (BTK) inhibitors medicine class – only one medicine from the medicine classes would need to be funded to close the identified gap. </w:t>
      </w:r>
      <w:r>
        <w:t xml:space="preserve">The </w:t>
      </w:r>
      <w:r w:rsidRPr="00126E8E">
        <w:t>ESMO-MCBS:H score reflects the highest score of the medicines scored in the class. Differences in ESMO-MCBS:H score are likely due to differences in trial design, follow-up periods and available data.</w:t>
      </w:r>
    </w:p>
    <w:p w14:paraId="567E947E" w14:textId="77777777" w:rsidR="00B041A5" w:rsidRPr="00E44F3E" w:rsidRDefault="00B041A5" w:rsidP="00B041A5"/>
    <w:p w14:paraId="071A548F" w14:textId="77777777" w:rsidR="00A550D4" w:rsidRDefault="00A550D4">
      <w:pPr>
        <w:spacing w:line="240" w:lineRule="auto"/>
        <w:rPr>
          <w:rFonts w:ascii="Montserrat" w:hAnsi="Montserrat"/>
          <w:b/>
          <w:color w:val="2C463B"/>
          <w:spacing w:val="-5"/>
          <w:sz w:val="24"/>
          <w:szCs w:val="24"/>
        </w:rPr>
      </w:pPr>
      <w:r>
        <w:rPr>
          <w:sz w:val="24"/>
          <w:szCs w:val="24"/>
        </w:rPr>
        <w:br w:type="page"/>
      </w:r>
    </w:p>
    <w:p w14:paraId="529899FC" w14:textId="2CE5BB95" w:rsidR="009476A1" w:rsidRDefault="00D45B0B" w:rsidP="009476A1">
      <w:pPr>
        <w:pStyle w:val="Heading2"/>
        <w:rPr>
          <w:sz w:val="24"/>
          <w:szCs w:val="24"/>
        </w:rPr>
      </w:pPr>
      <w:bookmarkStart w:id="45" w:name="_Toc180138601"/>
      <w:r w:rsidRPr="00150F8B">
        <w:rPr>
          <w:sz w:val="24"/>
          <w:szCs w:val="24"/>
        </w:rPr>
        <w:lastRenderedPageBreak/>
        <w:t xml:space="preserve">Appendix 3: Medicine-indication pairs funded in Australia but not in </w:t>
      </w:r>
      <w:r w:rsidR="00152DDE">
        <w:rPr>
          <w:sz w:val="24"/>
          <w:szCs w:val="24"/>
        </w:rPr>
        <w:t>Aotearoa New Zealand</w:t>
      </w:r>
      <w:r w:rsidRPr="00150F8B">
        <w:rPr>
          <w:sz w:val="24"/>
          <w:szCs w:val="24"/>
        </w:rPr>
        <w:t xml:space="preserve"> </w:t>
      </w:r>
      <w:r w:rsidR="0005628A">
        <w:rPr>
          <w:sz w:val="24"/>
          <w:szCs w:val="24"/>
        </w:rPr>
        <w:t xml:space="preserve">that were determined to not have a substantial </w:t>
      </w:r>
      <w:r w:rsidRPr="00150F8B">
        <w:rPr>
          <w:sz w:val="24"/>
          <w:szCs w:val="24"/>
        </w:rPr>
        <w:t>magnitude of clinical benefit</w:t>
      </w:r>
      <w:bookmarkEnd w:id="45"/>
    </w:p>
    <w:p w14:paraId="2A699B44" w14:textId="77777777" w:rsidR="00A12A44" w:rsidRPr="00C45E6C" w:rsidRDefault="00A12A44" w:rsidP="00A12A44"/>
    <w:tbl>
      <w:tblPr>
        <w:tblStyle w:val="CCA"/>
        <w:tblW w:w="13998" w:type="dxa"/>
        <w:tblLayout w:type="fixed"/>
        <w:tblLook w:val="04A0" w:firstRow="1" w:lastRow="0" w:firstColumn="1" w:lastColumn="0" w:noHBand="0" w:noVBand="1"/>
      </w:tblPr>
      <w:tblGrid>
        <w:gridCol w:w="923"/>
        <w:gridCol w:w="1569"/>
        <w:gridCol w:w="2007"/>
        <w:gridCol w:w="1929"/>
        <w:gridCol w:w="2574"/>
        <w:gridCol w:w="1380"/>
        <w:gridCol w:w="1148"/>
        <w:gridCol w:w="1741"/>
        <w:gridCol w:w="727"/>
      </w:tblGrid>
      <w:tr w:rsidR="00B87C38" w:rsidRPr="00E44F3E" w14:paraId="277CF17A" w14:textId="77777777">
        <w:trPr>
          <w:cnfStyle w:val="100000000000" w:firstRow="1" w:lastRow="0" w:firstColumn="0" w:lastColumn="0" w:oddVBand="0" w:evenVBand="0" w:oddHBand="0" w:evenHBand="0" w:firstRowFirstColumn="0" w:firstRowLastColumn="0" w:lastRowFirstColumn="0" w:lastRowLastColumn="0"/>
          <w:cantSplit/>
          <w:trHeight w:val="20"/>
        </w:trPr>
        <w:tc>
          <w:tcPr>
            <w:tcW w:w="923" w:type="dxa"/>
          </w:tcPr>
          <w:p w14:paraId="429D060A" w14:textId="77777777" w:rsidR="00B87C38" w:rsidRPr="00E44F3E" w:rsidRDefault="00B87C38">
            <w:pPr>
              <w:pStyle w:val="TableText"/>
              <w:keepLines/>
              <w:jc w:val="center"/>
              <w:rPr>
                <w:b/>
                <w:bCs/>
              </w:rPr>
            </w:pPr>
            <w:r w:rsidRPr="00E44F3E">
              <w:rPr>
                <w:b/>
                <w:bCs/>
              </w:rPr>
              <w:t>ESMO-MCBS:H score</w:t>
            </w:r>
          </w:p>
        </w:tc>
        <w:tc>
          <w:tcPr>
            <w:tcW w:w="1569" w:type="dxa"/>
          </w:tcPr>
          <w:p w14:paraId="1CFD7DE2" w14:textId="77777777" w:rsidR="00B87C38" w:rsidRPr="00E44F3E" w:rsidRDefault="00B87C38">
            <w:pPr>
              <w:pStyle w:val="TableText"/>
              <w:keepLines/>
              <w:rPr>
                <w:b/>
                <w:bCs/>
              </w:rPr>
            </w:pPr>
            <w:r w:rsidRPr="00E44F3E">
              <w:rPr>
                <w:b/>
                <w:bCs/>
              </w:rPr>
              <w:t>Medicine name</w:t>
            </w:r>
          </w:p>
        </w:tc>
        <w:tc>
          <w:tcPr>
            <w:tcW w:w="2007" w:type="dxa"/>
          </w:tcPr>
          <w:p w14:paraId="43D30F2F" w14:textId="77777777" w:rsidR="00B87C38" w:rsidRPr="00E44F3E" w:rsidRDefault="00B87C38">
            <w:pPr>
              <w:pStyle w:val="TableText"/>
              <w:keepLines/>
              <w:rPr>
                <w:b/>
                <w:bCs/>
              </w:rPr>
            </w:pPr>
            <w:r w:rsidRPr="00E44F3E">
              <w:rPr>
                <w:b/>
                <w:bCs/>
              </w:rPr>
              <w:t xml:space="preserve">Used in </w:t>
            </w:r>
            <w:r>
              <w:rPr>
                <w:b/>
                <w:bCs/>
              </w:rPr>
              <w:br/>
            </w:r>
            <w:r w:rsidRPr="00E44F3E">
              <w:rPr>
                <w:b/>
                <w:bCs/>
              </w:rPr>
              <w:t>combination with</w:t>
            </w:r>
          </w:p>
        </w:tc>
        <w:tc>
          <w:tcPr>
            <w:tcW w:w="1929" w:type="dxa"/>
          </w:tcPr>
          <w:p w14:paraId="12FA4DE0" w14:textId="77777777" w:rsidR="00B87C38" w:rsidRPr="00E44F3E" w:rsidRDefault="00B87C38">
            <w:pPr>
              <w:pStyle w:val="TableText"/>
              <w:keepLines/>
              <w:rPr>
                <w:b/>
                <w:bCs/>
              </w:rPr>
            </w:pPr>
            <w:r w:rsidRPr="00E44F3E">
              <w:rPr>
                <w:b/>
                <w:bCs/>
              </w:rPr>
              <w:t>Cancer type</w:t>
            </w:r>
          </w:p>
        </w:tc>
        <w:tc>
          <w:tcPr>
            <w:tcW w:w="2574" w:type="dxa"/>
          </w:tcPr>
          <w:p w14:paraId="278A4F03" w14:textId="77777777" w:rsidR="00B87C38" w:rsidRPr="00E44F3E" w:rsidRDefault="00B87C38">
            <w:pPr>
              <w:pStyle w:val="TableText"/>
              <w:keepLines/>
              <w:rPr>
                <w:b/>
                <w:bCs/>
              </w:rPr>
            </w:pPr>
            <w:r w:rsidRPr="00E44F3E">
              <w:rPr>
                <w:b/>
                <w:bCs/>
              </w:rPr>
              <w:t>Indication per PBS</w:t>
            </w:r>
          </w:p>
        </w:tc>
        <w:tc>
          <w:tcPr>
            <w:tcW w:w="1380" w:type="dxa"/>
          </w:tcPr>
          <w:p w14:paraId="0005E841" w14:textId="77777777" w:rsidR="00B87C38" w:rsidRPr="00E44F3E" w:rsidRDefault="00B87C38">
            <w:pPr>
              <w:pStyle w:val="TableText"/>
              <w:keepLines/>
              <w:jc w:val="center"/>
              <w:rPr>
                <w:b/>
                <w:bCs/>
              </w:rPr>
            </w:pPr>
            <w:r w:rsidRPr="00E44F3E">
              <w:rPr>
                <w:b/>
                <w:bCs/>
              </w:rPr>
              <w:t>Formulation</w:t>
            </w:r>
          </w:p>
        </w:tc>
        <w:tc>
          <w:tcPr>
            <w:tcW w:w="1148" w:type="dxa"/>
          </w:tcPr>
          <w:p w14:paraId="7DABC7FF" w14:textId="77777777" w:rsidR="00B87C38" w:rsidRPr="00E44F3E" w:rsidRDefault="00B87C38">
            <w:pPr>
              <w:pStyle w:val="TableText"/>
              <w:keepLines/>
              <w:jc w:val="center"/>
              <w:rPr>
                <w:b/>
                <w:bCs/>
              </w:rPr>
            </w:pPr>
            <w:r w:rsidRPr="00E44F3E">
              <w:rPr>
                <w:b/>
                <w:bCs/>
              </w:rPr>
              <w:t>Medicine funded in NZ for other indications</w:t>
            </w:r>
          </w:p>
        </w:tc>
        <w:tc>
          <w:tcPr>
            <w:tcW w:w="1741" w:type="dxa"/>
          </w:tcPr>
          <w:p w14:paraId="42247F4B" w14:textId="37473408" w:rsidR="00B87C38" w:rsidRPr="00E44F3E" w:rsidRDefault="00B87C38">
            <w:pPr>
              <w:pStyle w:val="TableText"/>
              <w:keepLines/>
              <w:jc w:val="center"/>
              <w:rPr>
                <w:b/>
                <w:bCs/>
              </w:rPr>
            </w:pPr>
            <w:r w:rsidRPr="00E44F3E">
              <w:rPr>
                <w:b/>
                <w:bCs/>
              </w:rPr>
              <w:t xml:space="preserve">Current Pharmac status </w:t>
            </w:r>
            <w:r w:rsidRPr="00E44F3E">
              <w:rPr>
                <w:b/>
                <w:bCs/>
              </w:rPr>
              <w:br/>
              <w:t>(</w:t>
            </w:r>
            <w:r>
              <w:rPr>
                <w:b/>
                <w:bCs/>
              </w:rPr>
              <w:t>October</w:t>
            </w:r>
            <w:r w:rsidRPr="00E44F3E">
              <w:rPr>
                <w:b/>
                <w:bCs/>
              </w:rPr>
              <w:t> 2024)</w:t>
            </w:r>
            <w:r w:rsidRPr="00DC239E">
              <w:rPr>
                <w:b/>
                <w:bCs/>
              </w:rPr>
              <w:t>*</w:t>
            </w:r>
          </w:p>
        </w:tc>
        <w:tc>
          <w:tcPr>
            <w:tcW w:w="727" w:type="dxa"/>
          </w:tcPr>
          <w:p w14:paraId="0D34390A" w14:textId="77777777" w:rsidR="00B87C38" w:rsidRPr="00E44F3E" w:rsidRDefault="00B87C38">
            <w:pPr>
              <w:pStyle w:val="TableText"/>
              <w:keepLines/>
              <w:jc w:val="center"/>
              <w:rPr>
                <w:b/>
                <w:bCs/>
              </w:rPr>
            </w:pPr>
            <w:r w:rsidRPr="00E44F3E">
              <w:rPr>
                <w:b/>
                <w:bCs/>
              </w:rPr>
              <w:t>Noted as a gap in 2022</w:t>
            </w:r>
          </w:p>
        </w:tc>
      </w:tr>
      <w:tr w:rsidR="00567E1E" w:rsidRPr="00E44F3E" w14:paraId="6C60BB53" w14:textId="77777777">
        <w:trPr>
          <w:cantSplit/>
          <w:trHeight w:val="20"/>
        </w:trPr>
        <w:tc>
          <w:tcPr>
            <w:tcW w:w="923" w:type="dxa"/>
          </w:tcPr>
          <w:p w14:paraId="7F489BAD" w14:textId="77777777" w:rsidR="00567E1E" w:rsidRPr="00E44F3E" w:rsidRDefault="00567E1E" w:rsidP="00567E1E">
            <w:pPr>
              <w:pStyle w:val="TableText"/>
              <w:keepLines/>
              <w:jc w:val="center"/>
            </w:pPr>
            <w:r w:rsidRPr="00E44F3E">
              <w:t>3</w:t>
            </w:r>
          </w:p>
        </w:tc>
        <w:tc>
          <w:tcPr>
            <w:tcW w:w="1569" w:type="dxa"/>
          </w:tcPr>
          <w:p w14:paraId="1F892B32" w14:textId="288C9D5E" w:rsidR="00567E1E" w:rsidRPr="00E44F3E" w:rsidRDefault="00567E1E" w:rsidP="00567E1E">
            <w:pPr>
              <w:pStyle w:val="TableText"/>
              <w:keepLines/>
            </w:pPr>
            <w:r w:rsidRPr="00E44F3E">
              <w:t xml:space="preserve">Acalabrutinib, ibrutinib or </w:t>
            </w:r>
            <w:proofErr w:type="spellStart"/>
            <w:r w:rsidRPr="00E44F3E">
              <w:t>zanubrutinib</w:t>
            </w:r>
            <w:proofErr w:type="spellEnd"/>
            <w:r>
              <w:rPr>
                <w:vertAlign w:val="superscript"/>
              </w:rPr>
              <w:t>†</w:t>
            </w:r>
          </w:p>
        </w:tc>
        <w:tc>
          <w:tcPr>
            <w:tcW w:w="2007" w:type="dxa"/>
          </w:tcPr>
          <w:p w14:paraId="6C4ACDA4" w14:textId="77777777" w:rsidR="00567E1E" w:rsidRPr="00E44F3E" w:rsidRDefault="00567E1E" w:rsidP="00567E1E">
            <w:pPr>
              <w:pStyle w:val="TableText"/>
              <w:keepLines/>
            </w:pPr>
            <w:r w:rsidRPr="00E44F3E">
              <w:t>Monotherapy</w:t>
            </w:r>
          </w:p>
        </w:tc>
        <w:tc>
          <w:tcPr>
            <w:tcW w:w="1929" w:type="dxa"/>
          </w:tcPr>
          <w:p w14:paraId="0CBFFA6D" w14:textId="77777777" w:rsidR="00567E1E" w:rsidRPr="00E44F3E" w:rsidRDefault="00567E1E" w:rsidP="00567E1E">
            <w:pPr>
              <w:pStyle w:val="TableText"/>
              <w:keepLines/>
            </w:pPr>
            <w:r w:rsidRPr="00E44F3E">
              <w:t>Chronic lymphocytic leukaemia (CLL) or small lymphocytic lymphoma (SLL)</w:t>
            </w:r>
          </w:p>
        </w:tc>
        <w:tc>
          <w:tcPr>
            <w:tcW w:w="2574" w:type="dxa"/>
          </w:tcPr>
          <w:p w14:paraId="3BF6E62A" w14:textId="3D22D082" w:rsidR="00567E1E" w:rsidRPr="00E44F3E" w:rsidRDefault="00567E1E" w:rsidP="00567E1E">
            <w:pPr>
              <w:pStyle w:val="TableText"/>
              <w:keepLines/>
            </w:pPr>
            <w:r w:rsidRPr="00E44F3E">
              <w:t>Relapsed or</w:t>
            </w:r>
            <w:r>
              <w:t xml:space="preserve"> </w:t>
            </w:r>
            <w:r w:rsidRPr="00E44F3E">
              <w:t>refractory</w:t>
            </w:r>
            <w:r>
              <w:t>, second line, p</w:t>
            </w:r>
            <w:r w:rsidRPr="00E44F3E">
              <w:t>rior therapy</w:t>
            </w:r>
            <w:r>
              <w:t xml:space="preserve">, TP53 wildtype. </w:t>
            </w:r>
          </w:p>
        </w:tc>
        <w:tc>
          <w:tcPr>
            <w:tcW w:w="1380" w:type="dxa"/>
          </w:tcPr>
          <w:p w14:paraId="09E8A670" w14:textId="28376FFF" w:rsidR="00567E1E" w:rsidRPr="00E44F3E" w:rsidRDefault="00567E1E" w:rsidP="00567E1E">
            <w:pPr>
              <w:pStyle w:val="TableText"/>
              <w:keepLines/>
              <w:jc w:val="center"/>
            </w:pPr>
            <w:r w:rsidRPr="00E44F3E">
              <w:t>Oral capsule/ tablet</w:t>
            </w:r>
          </w:p>
        </w:tc>
        <w:tc>
          <w:tcPr>
            <w:tcW w:w="1148" w:type="dxa"/>
          </w:tcPr>
          <w:p w14:paraId="3D45CD9C" w14:textId="603AAB5F" w:rsidR="00567E1E" w:rsidRPr="00E44F3E" w:rsidRDefault="00567E1E" w:rsidP="00567E1E">
            <w:pPr>
              <w:pStyle w:val="TableText"/>
              <w:keepLines/>
              <w:jc w:val="center"/>
            </w:pPr>
            <w:r w:rsidRPr="00E44F3E">
              <w:t>No</w:t>
            </w:r>
          </w:p>
        </w:tc>
        <w:tc>
          <w:tcPr>
            <w:tcW w:w="1741" w:type="dxa"/>
          </w:tcPr>
          <w:p w14:paraId="71BA535B" w14:textId="77777777" w:rsidR="00567E1E" w:rsidRPr="004E2BBC" w:rsidRDefault="00567E1E" w:rsidP="00567E1E">
            <w:pPr>
              <w:pStyle w:val="TableText"/>
              <w:keepLines/>
              <w:jc w:val="center"/>
            </w:pPr>
            <w:r w:rsidRPr="00DC239E">
              <w:t>Acalabrutinib</w:t>
            </w:r>
            <w:r w:rsidRPr="004E2BBC">
              <w:t xml:space="preserve"> – </w:t>
            </w:r>
            <w:r>
              <w:t>Under-assessment</w:t>
            </w:r>
          </w:p>
          <w:p w14:paraId="141CCFCF" w14:textId="77777777" w:rsidR="00567E1E" w:rsidRPr="004E2BBC" w:rsidRDefault="00567E1E" w:rsidP="00567E1E">
            <w:pPr>
              <w:pStyle w:val="TableText"/>
              <w:keepLines/>
              <w:jc w:val="center"/>
            </w:pPr>
            <w:r w:rsidRPr="00DC239E">
              <w:t xml:space="preserve">Ibrutinib – </w:t>
            </w:r>
            <w:r>
              <w:t>Under assessment</w:t>
            </w:r>
          </w:p>
          <w:p w14:paraId="3ECF67C0" w14:textId="305CF485" w:rsidR="00567E1E" w:rsidRPr="00E44F3E" w:rsidRDefault="00567E1E" w:rsidP="00567E1E">
            <w:pPr>
              <w:pStyle w:val="TableText"/>
              <w:keepLines/>
              <w:jc w:val="center"/>
            </w:pPr>
            <w:r w:rsidRPr="00DC239E">
              <w:t xml:space="preserve">Zanubrutinib – </w:t>
            </w:r>
            <w:r>
              <w:t xml:space="preserve">Under assessment </w:t>
            </w:r>
          </w:p>
        </w:tc>
        <w:tc>
          <w:tcPr>
            <w:tcW w:w="727" w:type="dxa"/>
          </w:tcPr>
          <w:p w14:paraId="35CBF41D" w14:textId="77777777" w:rsidR="00567E1E" w:rsidRPr="00E44F3E" w:rsidRDefault="00567E1E" w:rsidP="00567E1E">
            <w:pPr>
              <w:pStyle w:val="TableText"/>
              <w:keepLines/>
              <w:jc w:val="center"/>
            </w:pPr>
            <w:r w:rsidRPr="00E44F3E">
              <w:t>Yes</w:t>
            </w:r>
          </w:p>
        </w:tc>
      </w:tr>
      <w:tr w:rsidR="00B87C38" w:rsidRPr="00E44F3E" w14:paraId="75CCBACA" w14:textId="77777777">
        <w:trPr>
          <w:cantSplit/>
          <w:trHeight w:val="20"/>
        </w:trPr>
        <w:tc>
          <w:tcPr>
            <w:tcW w:w="923" w:type="dxa"/>
          </w:tcPr>
          <w:p w14:paraId="55FF413C" w14:textId="77777777" w:rsidR="00B87C38" w:rsidRPr="00E44F3E" w:rsidRDefault="00B87C38">
            <w:pPr>
              <w:pStyle w:val="TableText"/>
              <w:keepLines/>
              <w:jc w:val="center"/>
            </w:pPr>
            <w:r w:rsidRPr="00E44F3E">
              <w:t>3</w:t>
            </w:r>
          </w:p>
        </w:tc>
        <w:tc>
          <w:tcPr>
            <w:tcW w:w="1569" w:type="dxa"/>
          </w:tcPr>
          <w:p w14:paraId="3C766BCB" w14:textId="77777777" w:rsidR="00B87C38" w:rsidRPr="00E44F3E" w:rsidRDefault="00B87C38">
            <w:pPr>
              <w:pStyle w:val="TableText"/>
              <w:keepLines/>
            </w:pPr>
            <w:r w:rsidRPr="00E44F3E">
              <w:t>Acalabrutinib</w:t>
            </w:r>
            <w:r>
              <w:rPr>
                <w:vertAlign w:val="superscript"/>
              </w:rPr>
              <w:t>‡</w:t>
            </w:r>
          </w:p>
        </w:tc>
        <w:tc>
          <w:tcPr>
            <w:tcW w:w="2007" w:type="dxa"/>
          </w:tcPr>
          <w:p w14:paraId="26123226" w14:textId="77777777" w:rsidR="00B87C38" w:rsidRPr="00E44F3E" w:rsidRDefault="00B87C38">
            <w:pPr>
              <w:pStyle w:val="TableText"/>
              <w:keepLines/>
            </w:pPr>
            <w:r w:rsidRPr="00E44F3E">
              <w:t>Obinutuzumab</w:t>
            </w:r>
            <w:r>
              <w:rPr>
                <w:vertAlign w:val="superscript"/>
              </w:rPr>
              <w:t>‡</w:t>
            </w:r>
          </w:p>
        </w:tc>
        <w:tc>
          <w:tcPr>
            <w:tcW w:w="1929" w:type="dxa"/>
          </w:tcPr>
          <w:p w14:paraId="231AA8C2" w14:textId="77777777" w:rsidR="00B87C38" w:rsidRPr="00E44F3E" w:rsidRDefault="00B87C38">
            <w:pPr>
              <w:pStyle w:val="TableText"/>
              <w:keepLines/>
            </w:pPr>
            <w:r w:rsidRPr="00E44F3E">
              <w:t>Chronic lymphocytic leukaemia (CLL) or small lymphocytic lymphoma (SLL)</w:t>
            </w:r>
          </w:p>
        </w:tc>
        <w:tc>
          <w:tcPr>
            <w:tcW w:w="2574" w:type="dxa"/>
          </w:tcPr>
          <w:p w14:paraId="50C8E2DB" w14:textId="77777777" w:rsidR="00B87C38" w:rsidRPr="00E44F3E" w:rsidRDefault="00B87C38">
            <w:pPr>
              <w:pStyle w:val="TableText"/>
              <w:keepLines/>
            </w:pPr>
            <w:r w:rsidRPr="00E44F3E">
              <w:t>Untreated patients or those who have developed an intolerance resulting in withdrawal from another first</w:t>
            </w:r>
            <w:r>
              <w:t>-</w:t>
            </w:r>
            <w:r w:rsidRPr="00E44F3E">
              <w:t xml:space="preserve">line agent </w:t>
            </w:r>
          </w:p>
        </w:tc>
        <w:tc>
          <w:tcPr>
            <w:tcW w:w="1380" w:type="dxa"/>
          </w:tcPr>
          <w:p w14:paraId="45B3D73B" w14:textId="77777777" w:rsidR="00B87C38" w:rsidRPr="00E44F3E" w:rsidRDefault="00B87C38">
            <w:pPr>
              <w:pStyle w:val="TableText"/>
              <w:keepLines/>
              <w:jc w:val="center"/>
            </w:pPr>
            <w:r w:rsidRPr="00E44F3E">
              <w:t>Oral capsule/ tablet</w:t>
            </w:r>
          </w:p>
        </w:tc>
        <w:tc>
          <w:tcPr>
            <w:tcW w:w="1148" w:type="dxa"/>
          </w:tcPr>
          <w:p w14:paraId="1F54CCF3" w14:textId="77777777" w:rsidR="00B87C38" w:rsidRPr="00E44F3E" w:rsidRDefault="00B87C38">
            <w:pPr>
              <w:pStyle w:val="TableText"/>
              <w:keepLines/>
              <w:jc w:val="center"/>
            </w:pPr>
            <w:r w:rsidRPr="00E44F3E">
              <w:t>No</w:t>
            </w:r>
          </w:p>
        </w:tc>
        <w:tc>
          <w:tcPr>
            <w:tcW w:w="1741" w:type="dxa"/>
          </w:tcPr>
          <w:p w14:paraId="134749F1" w14:textId="77777777" w:rsidR="00B87C38" w:rsidRPr="00E44F3E" w:rsidRDefault="00B87C38">
            <w:pPr>
              <w:pStyle w:val="TableText"/>
              <w:keepLines/>
              <w:jc w:val="center"/>
            </w:pPr>
            <w:r w:rsidRPr="00E44F3E">
              <w:t>No application</w:t>
            </w:r>
          </w:p>
        </w:tc>
        <w:tc>
          <w:tcPr>
            <w:tcW w:w="727" w:type="dxa"/>
          </w:tcPr>
          <w:p w14:paraId="30EC56DA" w14:textId="77777777" w:rsidR="00B87C38" w:rsidRPr="00E44F3E" w:rsidRDefault="00B87C38">
            <w:pPr>
              <w:pStyle w:val="TableText"/>
              <w:keepLines/>
              <w:jc w:val="center"/>
            </w:pPr>
            <w:r w:rsidRPr="00E44F3E">
              <w:t>No</w:t>
            </w:r>
          </w:p>
        </w:tc>
      </w:tr>
      <w:tr w:rsidR="00B87C38" w:rsidRPr="00E44F3E" w14:paraId="6F0895DA" w14:textId="77777777">
        <w:trPr>
          <w:cantSplit/>
          <w:trHeight w:val="20"/>
        </w:trPr>
        <w:tc>
          <w:tcPr>
            <w:tcW w:w="923" w:type="dxa"/>
          </w:tcPr>
          <w:p w14:paraId="4A26D02B" w14:textId="77777777" w:rsidR="00B87C38" w:rsidRPr="00E44F3E" w:rsidRDefault="00B87C38">
            <w:pPr>
              <w:pStyle w:val="TableText"/>
              <w:keepLines/>
              <w:jc w:val="center"/>
            </w:pPr>
            <w:r w:rsidRPr="00E44F3E">
              <w:t>3</w:t>
            </w:r>
          </w:p>
        </w:tc>
        <w:tc>
          <w:tcPr>
            <w:tcW w:w="1569" w:type="dxa"/>
          </w:tcPr>
          <w:p w14:paraId="4E0CD3F7" w14:textId="77777777" w:rsidR="00B87C38" w:rsidRPr="00E44F3E" w:rsidRDefault="00B87C38">
            <w:pPr>
              <w:pStyle w:val="TableText"/>
              <w:keepLines/>
            </w:pPr>
            <w:r w:rsidRPr="00E44F3E">
              <w:t>Carfilzomib</w:t>
            </w:r>
          </w:p>
        </w:tc>
        <w:tc>
          <w:tcPr>
            <w:tcW w:w="2007" w:type="dxa"/>
          </w:tcPr>
          <w:p w14:paraId="5D2C9C78" w14:textId="77777777" w:rsidR="00B87C38" w:rsidRPr="00E44F3E" w:rsidRDefault="00B87C38">
            <w:pPr>
              <w:pStyle w:val="TableText"/>
              <w:keepLines/>
            </w:pPr>
            <w:r w:rsidRPr="00E44F3E">
              <w:t>Dexamethasone</w:t>
            </w:r>
            <w:r>
              <w:t xml:space="preserve"> with or without </w:t>
            </w:r>
            <w:r w:rsidRPr="006B70A7">
              <w:t>lenalidomide</w:t>
            </w:r>
          </w:p>
        </w:tc>
        <w:tc>
          <w:tcPr>
            <w:tcW w:w="1929" w:type="dxa"/>
          </w:tcPr>
          <w:p w14:paraId="137B9D76" w14:textId="77777777" w:rsidR="00B87C38" w:rsidRPr="00E44F3E" w:rsidRDefault="00B87C38">
            <w:pPr>
              <w:pStyle w:val="TableText"/>
              <w:keepLines/>
            </w:pPr>
            <w:r w:rsidRPr="00E44F3E">
              <w:t xml:space="preserve">Multiple myeloma (MM) </w:t>
            </w:r>
          </w:p>
        </w:tc>
        <w:tc>
          <w:tcPr>
            <w:tcW w:w="2574" w:type="dxa"/>
          </w:tcPr>
          <w:p w14:paraId="085460A2" w14:textId="77777777" w:rsidR="00B87C38" w:rsidRPr="00E44F3E" w:rsidRDefault="00B87C38">
            <w:pPr>
              <w:pStyle w:val="TableText"/>
              <w:keepLines/>
            </w:pPr>
            <w:r w:rsidRPr="00E44F3E">
              <w:t xml:space="preserve">Progressive disease after at least one prior therapy (once or twice weekly) </w:t>
            </w:r>
          </w:p>
        </w:tc>
        <w:tc>
          <w:tcPr>
            <w:tcW w:w="1380" w:type="dxa"/>
          </w:tcPr>
          <w:p w14:paraId="280BD323" w14:textId="77777777" w:rsidR="00B87C38" w:rsidRPr="00E44F3E" w:rsidRDefault="00B87C38">
            <w:pPr>
              <w:pStyle w:val="TableText"/>
              <w:keepLines/>
              <w:jc w:val="center"/>
            </w:pPr>
            <w:r w:rsidRPr="00E44F3E">
              <w:t>Intravenous infusion</w:t>
            </w:r>
          </w:p>
        </w:tc>
        <w:tc>
          <w:tcPr>
            <w:tcW w:w="1148" w:type="dxa"/>
          </w:tcPr>
          <w:p w14:paraId="68AFA69A" w14:textId="77777777" w:rsidR="00B87C38" w:rsidRPr="00E44F3E" w:rsidRDefault="00B87C38">
            <w:pPr>
              <w:pStyle w:val="TableText"/>
              <w:keepLines/>
              <w:jc w:val="center"/>
            </w:pPr>
            <w:r w:rsidRPr="00E44F3E">
              <w:t>No</w:t>
            </w:r>
          </w:p>
        </w:tc>
        <w:tc>
          <w:tcPr>
            <w:tcW w:w="1741" w:type="dxa"/>
          </w:tcPr>
          <w:p w14:paraId="35974753" w14:textId="77777777" w:rsidR="00B87C38" w:rsidRPr="00E44F3E" w:rsidRDefault="00B87C38">
            <w:pPr>
              <w:pStyle w:val="TableText"/>
              <w:keepLines/>
              <w:jc w:val="center"/>
            </w:pPr>
            <w:r w:rsidRPr="002F35DD">
              <w:t>OFI</w:t>
            </w:r>
            <w:r w:rsidRPr="00E44F3E">
              <w:t xml:space="preserve"> </w:t>
            </w:r>
            <w:r>
              <w:t>l</w:t>
            </w:r>
            <w:r w:rsidRPr="00E44F3E">
              <w:t>ist</w:t>
            </w:r>
          </w:p>
        </w:tc>
        <w:tc>
          <w:tcPr>
            <w:tcW w:w="727" w:type="dxa"/>
          </w:tcPr>
          <w:p w14:paraId="07980BC7" w14:textId="77777777" w:rsidR="00B87C38" w:rsidRPr="00E44F3E" w:rsidRDefault="00B87C38">
            <w:pPr>
              <w:pStyle w:val="TableText"/>
              <w:keepLines/>
              <w:jc w:val="center"/>
            </w:pPr>
            <w:r w:rsidRPr="00E44F3E">
              <w:t>Yes</w:t>
            </w:r>
          </w:p>
        </w:tc>
      </w:tr>
      <w:tr w:rsidR="00B87C38" w:rsidRPr="00E44F3E" w14:paraId="35C22FD0" w14:textId="77777777">
        <w:trPr>
          <w:cantSplit/>
          <w:trHeight w:val="20"/>
        </w:trPr>
        <w:tc>
          <w:tcPr>
            <w:tcW w:w="923" w:type="dxa"/>
          </w:tcPr>
          <w:p w14:paraId="3769ADC1" w14:textId="77777777" w:rsidR="00B87C38" w:rsidRPr="00E44F3E" w:rsidRDefault="00B87C38">
            <w:pPr>
              <w:pStyle w:val="TableText"/>
              <w:keepLines/>
              <w:jc w:val="center"/>
            </w:pPr>
            <w:r w:rsidRPr="00E44F3E">
              <w:t>3</w:t>
            </w:r>
          </w:p>
        </w:tc>
        <w:tc>
          <w:tcPr>
            <w:tcW w:w="1569" w:type="dxa"/>
          </w:tcPr>
          <w:p w14:paraId="6C3B8BC5" w14:textId="77777777" w:rsidR="00B87C38" w:rsidRPr="00E44F3E" w:rsidRDefault="00B87C38">
            <w:pPr>
              <w:pStyle w:val="TableText"/>
              <w:keepLines/>
            </w:pPr>
            <w:r w:rsidRPr="00E44F3E">
              <w:t>Daratumumab</w:t>
            </w:r>
            <w:r w:rsidRPr="00E44F3E">
              <w:rPr>
                <w:vertAlign w:val="superscript"/>
              </w:rPr>
              <w:t>§</w:t>
            </w:r>
          </w:p>
        </w:tc>
        <w:tc>
          <w:tcPr>
            <w:tcW w:w="2007" w:type="dxa"/>
          </w:tcPr>
          <w:p w14:paraId="436DE96C" w14:textId="77777777" w:rsidR="00B87C38" w:rsidRPr="00E44F3E" w:rsidRDefault="00B87C38">
            <w:pPr>
              <w:pStyle w:val="TableText"/>
              <w:keepLines/>
            </w:pPr>
            <w:r w:rsidRPr="00E44F3E">
              <w:t>Bortezomib and dexamethasone</w:t>
            </w:r>
          </w:p>
        </w:tc>
        <w:tc>
          <w:tcPr>
            <w:tcW w:w="1929" w:type="dxa"/>
          </w:tcPr>
          <w:p w14:paraId="6AA09A97" w14:textId="77777777" w:rsidR="00B87C38" w:rsidRPr="00E44F3E" w:rsidRDefault="00B87C38">
            <w:pPr>
              <w:pStyle w:val="TableText"/>
              <w:keepLines/>
            </w:pPr>
            <w:r w:rsidRPr="00E44F3E">
              <w:t xml:space="preserve">Multiple myeloma (MM) </w:t>
            </w:r>
          </w:p>
        </w:tc>
        <w:tc>
          <w:tcPr>
            <w:tcW w:w="2574" w:type="dxa"/>
          </w:tcPr>
          <w:p w14:paraId="2E578233" w14:textId="77777777" w:rsidR="00B87C38" w:rsidRPr="00E44F3E" w:rsidRDefault="00B87C38">
            <w:pPr>
              <w:pStyle w:val="TableText"/>
              <w:keepLines/>
            </w:pPr>
            <w:r w:rsidRPr="00E44F3E">
              <w:t xml:space="preserve">Progressive disease after only one prior therapy </w:t>
            </w:r>
          </w:p>
        </w:tc>
        <w:tc>
          <w:tcPr>
            <w:tcW w:w="1380" w:type="dxa"/>
          </w:tcPr>
          <w:p w14:paraId="6E2AB538" w14:textId="77777777" w:rsidR="00B87C38" w:rsidRPr="00E44F3E" w:rsidRDefault="00B87C38">
            <w:pPr>
              <w:pStyle w:val="TableText"/>
              <w:keepLines/>
              <w:jc w:val="center"/>
            </w:pPr>
            <w:r w:rsidRPr="00E44F3E">
              <w:t>Intravenous infusion/ subcutaneous injection</w:t>
            </w:r>
          </w:p>
        </w:tc>
        <w:tc>
          <w:tcPr>
            <w:tcW w:w="1148" w:type="dxa"/>
          </w:tcPr>
          <w:p w14:paraId="77770540" w14:textId="77777777" w:rsidR="00B87C38" w:rsidRPr="00E44F3E" w:rsidRDefault="00B87C38">
            <w:pPr>
              <w:pStyle w:val="TableText"/>
              <w:keepLines/>
              <w:jc w:val="center"/>
            </w:pPr>
            <w:r w:rsidRPr="00E44F3E">
              <w:t>No</w:t>
            </w:r>
          </w:p>
        </w:tc>
        <w:tc>
          <w:tcPr>
            <w:tcW w:w="1741" w:type="dxa"/>
          </w:tcPr>
          <w:p w14:paraId="2C115546" w14:textId="77777777" w:rsidR="00B87C38" w:rsidRPr="00E44F3E" w:rsidRDefault="00B87C38">
            <w:pPr>
              <w:pStyle w:val="TableText"/>
              <w:keepLines/>
              <w:jc w:val="center"/>
            </w:pPr>
            <w:r>
              <w:t>OFI</w:t>
            </w:r>
            <w:r w:rsidRPr="00E44F3E">
              <w:t xml:space="preserve"> </w:t>
            </w:r>
            <w:r>
              <w:t>l</w:t>
            </w:r>
            <w:r w:rsidRPr="00E44F3E">
              <w:t xml:space="preserve">ist </w:t>
            </w:r>
            <w:r w:rsidRPr="00E44F3E">
              <w:br/>
            </w:r>
          </w:p>
        </w:tc>
        <w:tc>
          <w:tcPr>
            <w:tcW w:w="727" w:type="dxa"/>
          </w:tcPr>
          <w:p w14:paraId="30011CFF" w14:textId="77777777" w:rsidR="00B87C38" w:rsidRPr="00E44F3E" w:rsidRDefault="00B87C38">
            <w:pPr>
              <w:pStyle w:val="TableText"/>
              <w:keepLines/>
              <w:jc w:val="center"/>
            </w:pPr>
            <w:r w:rsidRPr="00E44F3E">
              <w:t>Yes</w:t>
            </w:r>
          </w:p>
        </w:tc>
      </w:tr>
      <w:tr w:rsidR="00B87C38" w:rsidRPr="00E44F3E" w14:paraId="0645E495" w14:textId="77777777">
        <w:trPr>
          <w:cantSplit/>
          <w:trHeight w:val="20"/>
        </w:trPr>
        <w:tc>
          <w:tcPr>
            <w:tcW w:w="923" w:type="dxa"/>
          </w:tcPr>
          <w:p w14:paraId="75B11BD8" w14:textId="77777777" w:rsidR="00B87C38" w:rsidRPr="00E44F3E" w:rsidRDefault="00B87C38">
            <w:pPr>
              <w:pStyle w:val="TableText"/>
              <w:keepLines/>
              <w:jc w:val="center"/>
            </w:pPr>
            <w:r w:rsidRPr="00E44F3E">
              <w:t>3</w:t>
            </w:r>
          </w:p>
        </w:tc>
        <w:tc>
          <w:tcPr>
            <w:tcW w:w="1569" w:type="dxa"/>
          </w:tcPr>
          <w:p w14:paraId="26863325" w14:textId="77777777" w:rsidR="00B87C38" w:rsidRPr="00E44F3E" w:rsidRDefault="00B87C38">
            <w:pPr>
              <w:pStyle w:val="TableText"/>
              <w:keepLines/>
            </w:pPr>
            <w:proofErr w:type="spellStart"/>
            <w:r w:rsidRPr="00E44F3E">
              <w:t>Elotuzumab</w:t>
            </w:r>
            <w:proofErr w:type="spellEnd"/>
            <w:r>
              <w:rPr>
                <w:vertAlign w:val="superscript"/>
              </w:rPr>
              <w:t>‡</w:t>
            </w:r>
          </w:p>
        </w:tc>
        <w:tc>
          <w:tcPr>
            <w:tcW w:w="2007" w:type="dxa"/>
          </w:tcPr>
          <w:p w14:paraId="0564C7B8" w14:textId="77777777" w:rsidR="00B87C38" w:rsidRPr="00E44F3E" w:rsidRDefault="00B87C38">
            <w:pPr>
              <w:pStyle w:val="TableText"/>
              <w:keepLines/>
            </w:pPr>
            <w:r w:rsidRPr="00E44F3E">
              <w:t>Dexamethasone and lenalidomide</w:t>
            </w:r>
            <w:r w:rsidRPr="00E44F3E">
              <w:rPr>
                <w:vertAlign w:val="superscript"/>
              </w:rPr>
              <w:t>¶</w:t>
            </w:r>
          </w:p>
        </w:tc>
        <w:tc>
          <w:tcPr>
            <w:tcW w:w="1929" w:type="dxa"/>
          </w:tcPr>
          <w:p w14:paraId="064E96F1" w14:textId="77777777" w:rsidR="00B87C38" w:rsidRPr="00E44F3E" w:rsidRDefault="00B87C38">
            <w:pPr>
              <w:pStyle w:val="TableText"/>
              <w:keepLines/>
            </w:pPr>
            <w:r w:rsidRPr="00E44F3E">
              <w:t xml:space="preserve">Multiple myeloma (MM) </w:t>
            </w:r>
          </w:p>
        </w:tc>
        <w:tc>
          <w:tcPr>
            <w:tcW w:w="2574" w:type="dxa"/>
          </w:tcPr>
          <w:p w14:paraId="10015EC4" w14:textId="77777777" w:rsidR="00B87C38" w:rsidRPr="00E44F3E" w:rsidRDefault="00B87C38">
            <w:pPr>
              <w:pStyle w:val="TableText"/>
              <w:keepLines/>
            </w:pPr>
            <w:r w:rsidRPr="00E44F3E">
              <w:t>Progressive disease after at least one prior therapy</w:t>
            </w:r>
            <w:r w:rsidRPr="00E44F3E" w:rsidDel="008B54C0">
              <w:t xml:space="preserve"> </w:t>
            </w:r>
          </w:p>
        </w:tc>
        <w:tc>
          <w:tcPr>
            <w:tcW w:w="1380" w:type="dxa"/>
          </w:tcPr>
          <w:p w14:paraId="1F9D360F" w14:textId="77777777" w:rsidR="00B87C38" w:rsidRPr="00E44F3E" w:rsidRDefault="00B87C38">
            <w:pPr>
              <w:pStyle w:val="TableText"/>
              <w:keepLines/>
              <w:jc w:val="center"/>
            </w:pPr>
            <w:r w:rsidRPr="00E44F3E">
              <w:rPr>
                <w:rFonts w:cs="Calibri"/>
                <w:color w:val="000000"/>
              </w:rPr>
              <w:t>Intravenous infusion</w:t>
            </w:r>
          </w:p>
        </w:tc>
        <w:tc>
          <w:tcPr>
            <w:tcW w:w="1148" w:type="dxa"/>
          </w:tcPr>
          <w:p w14:paraId="6D2FA168" w14:textId="77777777" w:rsidR="00B87C38" w:rsidRPr="00E44F3E" w:rsidRDefault="00B87C38">
            <w:pPr>
              <w:pStyle w:val="TableText"/>
              <w:keepLines/>
              <w:jc w:val="center"/>
            </w:pPr>
            <w:r w:rsidRPr="00E44F3E">
              <w:rPr>
                <w:rFonts w:ascii="Calibri" w:hAnsi="Calibri" w:cs="Calibri"/>
                <w:sz w:val="22"/>
                <w:szCs w:val="22"/>
              </w:rPr>
              <w:t>No</w:t>
            </w:r>
          </w:p>
        </w:tc>
        <w:tc>
          <w:tcPr>
            <w:tcW w:w="1741" w:type="dxa"/>
          </w:tcPr>
          <w:p w14:paraId="57500951" w14:textId="77777777" w:rsidR="00B87C38" w:rsidRPr="00E44F3E" w:rsidRDefault="00B87C38">
            <w:pPr>
              <w:pStyle w:val="TableText"/>
              <w:keepLines/>
              <w:jc w:val="center"/>
            </w:pPr>
            <w:r w:rsidRPr="00E44F3E">
              <w:rPr>
                <w:rFonts w:ascii="Calibri" w:hAnsi="Calibri" w:cs="Calibri"/>
                <w:color w:val="000000"/>
                <w:sz w:val="22"/>
                <w:szCs w:val="22"/>
              </w:rPr>
              <w:t>No application</w:t>
            </w:r>
          </w:p>
        </w:tc>
        <w:tc>
          <w:tcPr>
            <w:tcW w:w="727" w:type="dxa"/>
          </w:tcPr>
          <w:p w14:paraId="3482500D" w14:textId="77777777" w:rsidR="00B87C38" w:rsidRPr="00E44F3E" w:rsidRDefault="00B87C38">
            <w:pPr>
              <w:pStyle w:val="TableText"/>
              <w:keepLines/>
              <w:jc w:val="center"/>
            </w:pPr>
            <w:r w:rsidRPr="00E44F3E">
              <w:rPr>
                <w:rFonts w:ascii="Calibri" w:hAnsi="Calibri" w:cs="Calibri"/>
                <w:sz w:val="22"/>
                <w:szCs w:val="22"/>
              </w:rPr>
              <w:t>No</w:t>
            </w:r>
          </w:p>
        </w:tc>
      </w:tr>
      <w:tr w:rsidR="00B87C38" w:rsidRPr="00E44F3E" w14:paraId="1F0B0E3E" w14:textId="77777777">
        <w:trPr>
          <w:cantSplit/>
          <w:trHeight w:val="20"/>
        </w:trPr>
        <w:tc>
          <w:tcPr>
            <w:tcW w:w="923" w:type="dxa"/>
          </w:tcPr>
          <w:p w14:paraId="425EE426" w14:textId="77777777" w:rsidR="00B87C38" w:rsidRPr="00E44F3E" w:rsidRDefault="00B87C38">
            <w:pPr>
              <w:pStyle w:val="TableText"/>
              <w:keepLines/>
              <w:jc w:val="center"/>
            </w:pPr>
            <w:r w:rsidRPr="00E44F3E">
              <w:lastRenderedPageBreak/>
              <w:t>3</w:t>
            </w:r>
          </w:p>
        </w:tc>
        <w:tc>
          <w:tcPr>
            <w:tcW w:w="1569" w:type="dxa"/>
          </w:tcPr>
          <w:p w14:paraId="4D634C3D" w14:textId="77777777" w:rsidR="00B87C38" w:rsidRPr="00E44F3E" w:rsidRDefault="00B87C38">
            <w:pPr>
              <w:pStyle w:val="TableText"/>
              <w:keepLines/>
            </w:pPr>
            <w:proofErr w:type="spellStart"/>
            <w:r w:rsidRPr="00E44F3E">
              <w:t>Idelalisib</w:t>
            </w:r>
            <w:proofErr w:type="spellEnd"/>
          </w:p>
        </w:tc>
        <w:tc>
          <w:tcPr>
            <w:tcW w:w="2007" w:type="dxa"/>
          </w:tcPr>
          <w:p w14:paraId="7570901B" w14:textId="77777777" w:rsidR="00B87C38" w:rsidRPr="00E44F3E" w:rsidRDefault="00B87C38">
            <w:pPr>
              <w:pStyle w:val="TableText"/>
              <w:keepLines/>
            </w:pPr>
            <w:r w:rsidRPr="00E44F3E">
              <w:t>Monotherapy</w:t>
            </w:r>
          </w:p>
        </w:tc>
        <w:tc>
          <w:tcPr>
            <w:tcW w:w="1929" w:type="dxa"/>
          </w:tcPr>
          <w:p w14:paraId="7A5554BD" w14:textId="77777777" w:rsidR="00B87C38" w:rsidRPr="00E44F3E" w:rsidRDefault="00B87C38">
            <w:pPr>
              <w:pStyle w:val="TableText"/>
              <w:keepLines/>
            </w:pPr>
            <w:r w:rsidRPr="00E44F3E">
              <w:t>Follicular B-cell non-Hodgkin’s lymphoma</w:t>
            </w:r>
          </w:p>
        </w:tc>
        <w:tc>
          <w:tcPr>
            <w:tcW w:w="2574" w:type="dxa"/>
          </w:tcPr>
          <w:p w14:paraId="36A0DD75" w14:textId="77777777" w:rsidR="00B87C38" w:rsidRPr="00E44F3E" w:rsidRDefault="00B87C38">
            <w:pPr>
              <w:pStyle w:val="TableText"/>
              <w:keepLines/>
            </w:pPr>
            <w:r w:rsidRPr="00E44F3E">
              <w:t>Refractory to rituximab and an alkylating agent within 6</w:t>
            </w:r>
            <w:r>
              <w:t> </w:t>
            </w:r>
            <w:r w:rsidRPr="00E44F3E">
              <w:t xml:space="preserve">months after completion of the treatment </w:t>
            </w:r>
          </w:p>
        </w:tc>
        <w:tc>
          <w:tcPr>
            <w:tcW w:w="1380" w:type="dxa"/>
          </w:tcPr>
          <w:p w14:paraId="545CA2A6" w14:textId="77777777" w:rsidR="00B87C38" w:rsidRPr="00E44F3E" w:rsidRDefault="00B87C38">
            <w:pPr>
              <w:pStyle w:val="TableText"/>
              <w:keepLines/>
              <w:jc w:val="center"/>
            </w:pPr>
            <w:r w:rsidRPr="00E44F3E">
              <w:rPr>
                <w:rFonts w:cs="Calibri"/>
                <w:color w:val="000000"/>
              </w:rPr>
              <w:t>Oral tablet</w:t>
            </w:r>
          </w:p>
        </w:tc>
        <w:tc>
          <w:tcPr>
            <w:tcW w:w="1148" w:type="dxa"/>
          </w:tcPr>
          <w:p w14:paraId="00D8AFA6" w14:textId="77777777" w:rsidR="00B87C38" w:rsidRPr="00E44F3E" w:rsidRDefault="00B87C38">
            <w:pPr>
              <w:pStyle w:val="TableText"/>
              <w:keepLines/>
              <w:jc w:val="center"/>
            </w:pPr>
            <w:r w:rsidRPr="00E44F3E">
              <w:t>No</w:t>
            </w:r>
          </w:p>
        </w:tc>
        <w:tc>
          <w:tcPr>
            <w:tcW w:w="1741" w:type="dxa"/>
          </w:tcPr>
          <w:p w14:paraId="13D711A7" w14:textId="77777777" w:rsidR="00B87C38" w:rsidRPr="00E44F3E" w:rsidRDefault="00B87C38">
            <w:pPr>
              <w:pStyle w:val="TableText"/>
              <w:keepLines/>
              <w:jc w:val="center"/>
            </w:pPr>
            <w:r w:rsidRPr="00E44F3E">
              <w:t>No application</w:t>
            </w:r>
          </w:p>
        </w:tc>
        <w:tc>
          <w:tcPr>
            <w:tcW w:w="727" w:type="dxa"/>
          </w:tcPr>
          <w:p w14:paraId="3CCCFCCD" w14:textId="77777777" w:rsidR="00B87C38" w:rsidRPr="00E44F3E" w:rsidRDefault="00B87C38">
            <w:pPr>
              <w:pStyle w:val="TableText"/>
              <w:keepLines/>
              <w:jc w:val="center"/>
            </w:pPr>
            <w:r w:rsidRPr="00E44F3E">
              <w:rPr>
                <w:rFonts w:ascii="Calibri" w:hAnsi="Calibri" w:cs="Calibri"/>
                <w:color w:val="000000"/>
                <w:sz w:val="22"/>
                <w:szCs w:val="22"/>
              </w:rPr>
              <w:t>Yes</w:t>
            </w:r>
          </w:p>
        </w:tc>
      </w:tr>
      <w:tr w:rsidR="00B87C38" w:rsidRPr="00E44F3E" w14:paraId="4EE07C12" w14:textId="77777777">
        <w:trPr>
          <w:cantSplit/>
          <w:trHeight w:val="20"/>
        </w:trPr>
        <w:tc>
          <w:tcPr>
            <w:tcW w:w="923" w:type="dxa"/>
          </w:tcPr>
          <w:p w14:paraId="062E2084" w14:textId="77777777" w:rsidR="00B87C38" w:rsidRPr="00E44F3E" w:rsidRDefault="00B87C38">
            <w:pPr>
              <w:pStyle w:val="TableText"/>
              <w:keepLines/>
              <w:jc w:val="center"/>
            </w:pPr>
            <w:r w:rsidRPr="00E44F3E">
              <w:t>3</w:t>
            </w:r>
          </w:p>
        </w:tc>
        <w:tc>
          <w:tcPr>
            <w:tcW w:w="1569" w:type="dxa"/>
          </w:tcPr>
          <w:p w14:paraId="32A22013" w14:textId="77777777" w:rsidR="00B87C38" w:rsidRPr="00E44F3E" w:rsidRDefault="00B87C38">
            <w:pPr>
              <w:pStyle w:val="TableText"/>
              <w:keepLines/>
            </w:pPr>
            <w:r w:rsidRPr="00E44F3E">
              <w:t>Lenalidomide</w:t>
            </w:r>
          </w:p>
        </w:tc>
        <w:tc>
          <w:tcPr>
            <w:tcW w:w="2007" w:type="dxa"/>
          </w:tcPr>
          <w:p w14:paraId="10B5549E" w14:textId="77777777" w:rsidR="00B87C38" w:rsidRPr="00E44F3E" w:rsidRDefault="00B87C38">
            <w:pPr>
              <w:pStyle w:val="TableText"/>
              <w:keepLines/>
            </w:pPr>
            <w:r w:rsidRPr="00E44F3E">
              <w:t>Monotherapy</w:t>
            </w:r>
          </w:p>
        </w:tc>
        <w:tc>
          <w:tcPr>
            <w:tcW w:w="1929" w:type="dxa"/>
          </w:tcPr>
          <w:p w14:paraId="177BF177" w14:textId="77777777" w:rsidR="00B87C38" w:rsidRPr="00E44F3E" w:rsidRDefault="00B87C38">
            <w:pPr>
              <w:pStyle w:val="TableText"/>
              <w:keepLines/>
            </w:pPr>
            <w:r w:rsidRPr="00E44F3E">
              <w:t>Myelodysplastic syndrome</w:t>
            </w:r>
          </w:p>
        </w:tc>
        <w:tc>
          <w:tcPr>
            <w:tcW w:w="2574" w:type="dxa"/>
          </w:tcPr>
          <w:p w14:paraId="08EB2153" w14:textId="1EB6C19A" w:rsidR="00B87C38" w:rsidRPr="00E44F3E" w:rsidRDefault="00B87C38">
            <w:pPr>
              <w:pStyle w:val="TableText"/>
              <w:keepLines/>
            </w:pPr>
            <w:r>
              <w:t>L</w:t>
            </w:r>
            <w:r w:rsidRPr="00E44F3E">
              <w:t>ow risk or intermediate-1 with del</w:t>
            </w:r>
            <w:r>
              <w:t>(</w:t>
            </w:r>
            <w:r w:rsidRPr="00E44F3E">
              <w:t>5q</w:t>
            </w:r>
            <w:r>
              <w:t>)</w:t>
            </w:r>
            <w:r w:rsidRPr="00E44F3E">
              <w:t>, and red blood cell transfusion depend</w:t>
            </w:r>
            <w:r>
              <w:t>e</w:t>
            </w:r>
            <w:r w:rsidRPr="00E44F3E">
              <w:t>nt</w:t>
            </w:r>
          </w:p>
        </w:tc>
        <w:tc>
          <w:tcPr>
            <w:tcW w:w="1380" w:type="dxa"/>
          </w:tcPr>
          <w:p w14:paraId="3F6A1E61" w14:textId="77777777" w:rsidR="00B87C38" w:rsidRPr="00E44F3E" w:rsidRDefault="00B87C38">
            <w:pPr>
              <w:pStyle w:val="TableText"/>
              <w:keepLines/>
              <w:jc w:val="center"/>
            </w:pPr>
            <w:r w:rsidRPr="00E44F3E">
              <w:t>Oral capsule/ tablet</w:t>
            </w:r>
          </w:p>
        </w:tc>
        <w:tc>
          <w:tcPr>
            <w:tcW w:w="1148" w:type="dxa"/>
          </w:tcPr>
          <w:p w14:paraId="651C560A" w14:textId="77777777" w:rsidR="00B87C38" w:rsidRPr="00E44F3E" w:rsidRDefault="00B87C38">
            <w:pPr>
              <w:pStyle w:val="TableText"/>
              <w:keepLines/>
              <w:jc w:val="center"/>
            </w:pPr>
            <w:r w:rsidRPr="00E44F3E">
              <w:t>Yes</w:t>
            </w:r>
          </w:p>
        </w:tc>
        <w:tc>
          <w:tcPr>
            <w:tcW w:w="1741" w:type="dxa"/>
          </w:tcPr>
          <w:p w14:paraId="0B1D9F91" w14:textId="0AB15B2B" w:rsidR="00B87C38" w:rsidRPr="00E44F3E" w:rsidRDefault="00062225">
            <w:pPr>
              <w:pStyle w:val="TableText"/>
              <w:keepLines/>
              <w:jc w:val="center"/>
            </w:pPr>
            <w:r>
              <w:t>Funded</w:t>
            </w:r>
            <w:r w:rsidR="00B87C38" w:rsidRPr="00E44F3E">
              <w:t xml:space="preserve"> from 1</w:t>
            </w:r>
            <w:r w:rsidR="00B87C38">
              <w:t> </w:t>
            </w:r>
            <w:r w:rsidR="00B87C38" w:rsidRPr="00E44F3E">
              <w:t>August 2024</w:t>
            </w:r>
          </w:p>
        </w:tc>
        <w:tc>
          <w:tcPr>
            <w:tcW w:w="727" w:type="dxa"/>
          </w:tcPr>
          <w:p w14:paraId="0A7F40AA" w14:textId="77777777" w:rsidR="00B87C38" w:rsidRPr="00E44F3E" w:rsidRDefault="00B87C38">
            <w:pPr>
              <w:pStyle w:val="TableText"/>
              <w:keepLines/>
              <w:jc w:val="center"/>
            </w:pPr>
            <w:r w:rsidRPr="00E44F3E">
              <w:rPr>
                <w:rFonts w:ascii="Calibri" w:hAnsi="Calibri" w:cs="Calibri"/>
                <w:color w:val="000000"/>
                <w:sz w:val="22"/>
                <w:szCs w:val="22"/>
              </w:rPr>
              <w:t>Yes</w:t>
            </w:r>
          </w:p>
        </w:tc>
      </w:tr>
      <w:tr w:rsidR="00B87C38" w:rsidRPr="00E44F3E" w14:paraId="45E063F9" w14:textId="77777777">
        <w:trPr>
          <w:cantSplit/>
          <w:trHeight w:val="20"/>
        </w:trPr>
        <w:tc>
          <w:tcPr>
            <w:tcW w:w="923" w:type="dxa"/>
          </w:tcPr>
          <w:p w14:paraId="15048EDD" w14:textId="77777777" w:rsidR="00B87C38" w:rsidRPr="00E44F3E" w:rsidRDefault="00B87C38">
            <w:pPr>
              <w:pStyle w:val="TableText"/>
              <w:keepLines/>
              <w:jc w:val="center"/>
            </w:pPr>
            <w:r w:rsidRPr="00E44F3E">
              <w:t>3</w:t>
            </w:r>
          </w:p>
        </w:tc>
        <w:tc>
          <w:tcPr>
            <w:tcW w:w="1569" w:type="dxa"/>
          </w:tcPr>
          <w:p w14:paraId="6AE98355" w14:textId="77777777" w:rsidR="00B87C38" w:rsidRPr="00E44F3E" w:rsidRDefault="00B87C38">
            <w:pPr>
              <w:pStyle w:val="TableText"/>
              <w:keepLines/>
            </w:pPr>
            <w:r w:rsidRPr="00E44F3E">
              <w:t>Obinutuzumab</w:t>
            </w:r>
            <w:r>
              <w:rPr>
                <w:vertAlign w:val="superscript"/>
              </w:rPr>
              <w:t>‡</w:t>
            </w:r>
          </w:p>
        </w:tc>
        <w:tc>
          <w:tcPr>
            <w:tcW w:w="2007" w:type="dxa"/>
          </w:tcPr>
          <w:p w14:paraId="1B6045EC" w14:textId="77777777" w:rsidR="00B87C38" w:rsidRPr="00E44F3E" w:rsidRDefault="00B87C38">
            <w:pPr>
              <w:pStyle w:val="TableText"/>
              <w:keepLines/>
            </w:pPr>
            <w:r w:rsidRPr="00E44F3E">
              <w:t>Acalabrutinib</w:t>
            </w:r>
            <w:r>
              <w:rPr>
                <w:vertAlign w:val="superscript"/>
              </w:rPr>
              <w:t>‡</w:t>
            </w:r>
          </w:p>
        </w:tc>
        <w:tc>
          <w:tcPr>
            <w:tcW w:w="1929" w:type="dxa"/>
          </w:tcPr>
          <w:p w14:paraId="576733E4" w14:textId="77777777" w:rsidR="00B87C38" w:rsidRPr="00E44F3E" w:rsidRDefault="00B87C38">
            <w:pPr>
              <w:pStyle w:val="TableText"/>
              <w:keepLines/>
            </w:pPr>
            <w:r w:rsidRPr="00E44F3E">
              <w:t>Chronic lymphocytic leukaemia (CLL) or small lymphocytic lymphoma (SLL)</w:t>
            </w:r>
          </w:p>
        </w:tc>
        <w:tc>
          <w:tcPr>
            <w:tcW w:w="2574" w:type="dxa"/>
          </w:tcPr>
          <w:p w14:paraId="2D3EA4C5" w14:textId="77777777" w:rsidR="00B87C38" w:rsidRPr="00E44F3E" w:rsidRDefault="00B87C38">
            <w:pPr>
              <w:pStyle w:val="TableText"/>
              <w:keepLines/>
            </w:pPr>
            <w:r w:rsidRPr="00E44F3E">
              <w:t>Untreated patients or those who have developed an intolerance resulting in withdrawal from another first</w:t>
            </w:r>
            <w:r>
              <w:t>-</w:t>
            </w:r>
            <w:r w:rsidRPr="00E44F3E">
              <w:t xml:space="preserve">line agent </w:t>
            </w:r>
          </w:p>
        </w:tc>
        <w:tc>
          <w:tcPr>
            <w:tcW w:w="1380" w:type="dxa"/>
          </w:tcPr>
          <w:p w14:paraId="5743E578" w14:textId="77777777" w:rsidR="00B87C38" w:rsidRPr="00E44F3E" w:rsidRDefault="00B87C38">
            <w:pPr>
              <w:pStyle w:val="TableText"/>
              <w:keepLines/>
              <w:jc w:val="center"/>
            </w:pPr>
            <w:r w:rsidRPr="00E44F3E">
              <w:t>Intravenous infusion</w:t>
            </w:r>
          </w:p>
        </w:tc>
        <w:tc>
          <w:tcPr>
            <w:tcW w:w="1148" w:type="dxa"/>
          </w:tcPr>
          <w:p w14:paraId="62C70682" w14:textId="77777777" w:rsidR="00B87C38" w:rsidRPr="00E44F3E" w:rsidRDefault="00B87C38">
            <w:pPr>
              <w:pStyle w:val="TableText"/>
              <w:keepLines/>
              <w:jc w:val="center"/>
            </w:pPr>
            <w:r w:rsidRPr="00E44F3E">
              <w:t>Yes</w:t>
            </w:r>
          </w:p>
        </w:tc>
        <w:tc>
          <w:tcPr>
            <w:tcW w:w="1741" w:type="dxa"/>
          </w:tcPr>
          <w:p w14:paraId="085181DF" w14:textId="77777777" w:rsidR="00B87C38" w:rsidRPr="00E44F3E" w:rsidRDefault="00B87C38">
            <w:pPr>
              <w:pStyle w:val="TableText"/>
              <w:keepLines/>
              <w:jc w:val="center"/>
            </w:pPr>
            <w:r w:rsidRPr="00E44F3E">
              <w:t>No application</w:t>
            </w:r>
          </w:p>
        </w:tc>
        <w:tc>
          <w:tcPr>
            <w:tcW w:w="727" w:type="dxa"/>
          </w:tcPr>
          <w:p w14:paraId="39EFF6EB" w14:textId="77777777" w:rsidR="00B87C38" w:rsidRPr="00E44F3E" w:rsidRDefault="00B87C38">
            <w:pPr>
              <w:pStyle w:val="TableText"/>
              <w:keepLines/>
              <w:jc w:val="center"/>
            </w:pPr>
            <w:r w:rsidRPr="00E44F3E">
              <w:t>No</w:t>
            </w:r>
          </w:p>
        </w:tc>
      </w:tr>
      <w:tr w:rsidR="00B87C38" w:rsidRPr="00E44F3E" w14:paraId="393B0311" w14:textId="77777777">
        <w:trPr>
          <w:cantSplit/>
          <w:trHeight w:val="20"/>
        </w:trPr>
        <w:tc>
          <w:tcPr>
            <w:tcW w:w="923" w:type="dxa"/>
          </w:tcPr>
          <w:p w14:paraId="4C680FB0" w14:textId="77777777" w:rsidR="00B87C38" w:rsidRPr="00E44F3E" w:rsidRDefault="00B87C38">
            <w:pPr>
              <w:pStyle w:val="TableText"/>
              <w:keepLines/>
              <w:jc w:val="center"/>
            </w:pPr>
            <w:r w:rsidRPr="00E44F3E">
              <w:t>3</w:t>
            </w:r>
          </w:p>
        </w:tc>
        <w:tc>
          <w:tcPr>
            <w:tcW w:w="1569" w:type="dxa"/>
          </w:tcPr>
          <w:p w14:paraId="4F2EB0AC" w14:textId="77777777" w:rsidR="00B87C38" w:rsidRPr="00E44F3E" w:rsidRDefault="00B87C38">
            <w:pPr>
              <w:pStyle w:val="TableText"/>
              <w:keepLines/>
            </w:pPr>
            <w:r w:rsidRPr="00E44F3E">
              <w:t>Obinutuzumab</w:t>
            </w:r>
            <w:r>
              <w:rPr>
                <w:vertAlign w:val="superscript"/>
              </w:rPr>
              <w:t>‡</w:t>
            </w:r>
          </w:p>
        </w:tc>
        <w:tc>
          <w:tcPr>
            <w:tcW w:w="2007" w:type="dxa"/>
          </w:tcPr>
          <w:p w14:paraId="4D3C993D" w14:textId="77777777" w:rsidR="00B87C38" w:rsidRPr="00E44F3E" w:rsidRDefault="00B87C38">
            <w:pPr>
              <w:pStyle w:val="TableText"/>
              <w:keepLines/>
            </w:pPr>
            <w:r w:rsidRPr="00E44F3E">
              <w:t>Venetoclax</w:t>
            </w:r>
            <w:r>
              <w:rPr>
                <w:vertAlign w:val="superscript"/>
              </w:rPr>
              <w:t>‡</w:t>
            </w:r>
          </w:p>
        </w:tc>
        <w:tc>
          <w:tcPr>
            <w:tcW w:w="1929" w:type="dxa"/>
          </w:tcPr>
          <w:p w14:paraId="28CFA270" w14:textId="77777777" w:rsidR="00B87C38" w:rsidRPr="00E44F3E" w:rsidRDefault="00B87C38">
            <w:pPr>
              <w:pStyle w:val="TableText"/>
              <w:keepLines/>
            </w:pPr>
            <w:r w:rsidRPr="00E44F3E">
              <w:t>Chronic lymphocytic leukaemia (CLL) or small lymphocytic lymphoma (SLL)</w:t>
            </w:r>
          </w:p>
        </w:tc>
        <w:tc>
          <w:tcPr>
            <w:tcW w:w="2574" w:type="dxa"/>
          </w:tcPr>
          <w:p w14:paraId="40975E08" w14:textId="77777777" w:rsidR="00B87C38" w:rsidRPr="00E44F3E" w:rsidRDefault="00B87C38">
            <w:pPr>
              <w:pStyle w:val="TableText"/>
              <w:keepLines/>
            </w:pPr>
            <w:r w:rsidRPr="00E44F3E">
              <w:t xml:space="preserve">Previously untreated disease </w:t>
            </w:r>
          </w:p>
        </w:tc>
        <w:tc>
          <w:tcPr>
            <w:tcW w:w="1380" w:type="dxa"/>
          </w:tcPr>
          <w:p w14:paraId="09FF2D5B" w14:textId="77777777" w:rsidR="00B87C38" w:rsidRPr="00E44F3E" w:rsidRDefault="00B87C38">
            <w:pPr>
              <w:pStyle w:val="TableText"/>
              <w:keepLines/>
              <w:jc w:val="center"/>
            </w:pPr>
            <w:r w:rsidRPr="00E44F3E">
              <w:t>Intravenous infusion</w:t>
            </w:r>
          </w:p>
        </w:tc>
        <w:tc>
          <w:tcPr>
            <w:tcW w:w="1148" w:type="dxa"/>
          </w:tcPr>
          <w:p w14:paraId="1D7BA45F" w14:textId="77777777" w:rsidR="00B87C38" w:rsidRPr="00E44F3E" w:rsidRDefault="00B87C38">
            <w:pPr>
              <w:pStyle w:val="TableText"/>
              <w:keepLines/>
              <w:jc w:val="center"/>
            </w:pPr>
            <w:r w:rsidRPr="00E44F3E">
              <w:t>Yes</w:t>
            </w:r>
          </w:p>
        </w:tc>
        <w:tc>
          <w:tcPr>
            <w:tcW w:w="1741" w:type="dxa"/>
          </w:tcPr>
          <w:p w14:paraId="2B5D9FB6" w14:textId="77777777" w:rsidR="00B87C38" w:rsidRPr="00E44F3E" w:rsidRDefault="00B87C38">
            <w:pPr>
              <w:pStyle w:val="TableText"/>
              <w:keepLines/>
              <w:jc w:val="center"/>
            </w:pPr>
            <w:r w:rsidRPr="00E44F3E">
              <w:t xml:space="preserve">Under </w:t>
            </w:r>
            <w:r>
              <w:t>a</w:t>
            </w:r>
            <w:r w:rsidRPr="00E44F3E">
              <w:t>ssessment</w:t>
            </w:r>
          </w:p>
        </w:tc>
        <w:tc>
          <w:tcPr>
            <w:tcW w:w="727" w:type="dxa"/>
          </w:tcPr>
          <w:p w14:paraId="41C4E2BB" w14:textId="77777777" w:rsidR="00B87C38" w:rsidRPr="00E44F3E" w:rsidRDefault="00B87C38">
            <w:pPr>
              <w:pStyle w:val="TableText"/>
              <w:keepLines/>
              <w:jc w:val="center"/>
            </w:pPr>
            <w:r w:rsidRPr="00E44F3E">
              <w:t>Yes</w:t>
            </w:r>
          </w:p>
        </w:tc>
      </w:tr>
      <w:tr w:rsidR="00B87C38" w:rsidRPr="00E44F3E" w14:paraId="329B7A8C" w14:textId="77777777">
        <w:trPr>
          <w:cantSplit/>
          <w:trHeight w:val="20"/>
        </w:trPr>
        <w:tc>
          <w:tcPr>
            <w:tcW w:w="923" w:type="dxa"/>
          </w:tcPr>
          <w:p w14:paraId="27F16291" w14:textId="77777777" w:rsidR="00B87C38" w:rsidRPr="00E44F3E" w:rsidRDefault="00B87C38">
            <w:pPr>
              <w:pStyle w:val="TableText"/>
              <w:keepLines/>
              <w:jc w:val="center"/>
            </w:pPr>
            <w:r w:rsidRPr="00E44F3E">
              <w:t>3</w:t>
            </w:r>
          </w:p>
        </w:tc>
        <w:tc>
          <w:tcPr>
            <w:tcW w:w="1569" w:type="dxa"/>
          </w:tcPr>
          <w:p w14:paraId="725F21C6" w14:textId="77777777" w:rsidR="00B87C38" w:rsidRPr="00E44F3E" w:rsidRDefault="00B87C38">
            <w:pPr>
              <w:pStyle w:val="TableText"/>
              <w:keepLines/>
            </w:pPr>
            <w:r w:rsidRPr="00E44F3E">
              <w:t>Pembrolizumab</w:t>
            </w:r>
          </w:p>
        </w:tc>
        <w:tc>
          <w:tcPr>
            <w:tcW w:w="2007" w:type="dxa"/>
          </w:tcPr>
          <w:p w14:paraId="469FA59C" w14:textId="77777777" w:rsidR="00B87C38" w:rsidRPr="00E44F3E" w:rsidRDefault="00B87C38">
            <w:pPr>
              <w:pStyle w:val="TableText"/>
              <w:keepLines/>
            </w:pPr>
            <w:r w:rsidRPr="00E44F3E">
              <w:t>Monotherapy</w:t>
            </w:r>
          </w:p>
        </w:tc>
        <w:tc>
          <w:tcPr>
            <w:tcW w:w="1929" w:type="dxa"/>
          </w:tcPr>
          <w:p w14:paraId="75A13519" w14:textId="77777777" w:rsidR="00B87C38" w:rsidRPr="00E44F3E" w:rsidRDefault="00B87C38">
            <w:pPr>
              <w:pStyle w:val="TableText"/>
              <w:keepLines/>
            </w:pPr>
            <w:r w:rsidRPr="00E44F3E">
              <w:t xml:space="preserve">Hodgkin’s lymphoma </w:t>
            </w:r>
          </w:p>
        </w:tc>
        <w:tc>
          <w:tcPr>
            <w:tcW w:w="2574" w:type="dxa"/>
          </w:tcPr>
          <w:p w14:paraId="447F01B5" w14:textId="77777777" w:rsidR="00B87C38" w:rsidRPr="00E44F3E" w:rsidRDefault="00B87C38">
            <w:pPr>
              <w:pStyle w:val="TableText"/>
              <w:keepLines/>
            </w:pPr>
            <w:r w:rsidRPr="00E44F3E">
              <w:t xml:space="preserve">Relapsed or refractory Hodgkin’s lymphoma after autologous </w:t>
            </w:r>
            <w:r w:rsidRPr="0011385C">
              <w:t>haematopoietic</w:t>
            </w:r>
            <w:r w:rsidRPr="00E44F3E">
              <w:t xml:space="preserve"> stem cell transplant</w:t>
            </w:r>
            <w:r>
              <w:t>,</w:t>
            </w:r>
            <w:r w:rsidRPr="00E44F3E">
              <w:t xml:space="preserve"> and if transplant ineligible, has relapsed after 2 prior treatments</w:t>
            </w:r>
          </w:p>
        </w:tc>
        <w:tc>
          <w:tcPr>
            <w:tcW w:w="1380" w:type="dxa"/>
          </w:tcPr>
          <w:p w14:paraId="57715FE2" w14:textId="77777777" w:rsidR="00B87C38" w:rsidRPr="00E44F3E" w:rsidRDefault="00B87C38">
            <w:pPr>
              <w:pStyle w:val="TableText"/>
              <w:keepLines/>
              <w:jc w:val="center"/>
            </w:pPr>
            <w:r w:rsidRPr="00E44F3E">
              <w:t>Intravenous infusion</w:t>
            </w:r>
          </w:p>
        </w:tc>
        <w:tc>
          <w:tcPr>
            <w:tcW w:w="1148" w:type="dxa"/>
          </w:tcPr>
          <w:p w14:paraId="337846DB" w14:textId="77777777" w:rsidR="00B87C38" w:rsidRPr="00E44F3E" w:rsidRDefault="00B87C38">
            <w:pPr>
              <w:pStyle w:val="TableText"/>
              <w:keepLines/>
              <w:jc w:val="center"/>
            </w:pPr>
            <w:r w:rsidRPr="00E44F3E">
              <w:t>Yes</w:t>
            </w:r>
          </w:p>
        </w:tc>
        <w:tc>
          <w:tcPr>
            <w:tcW w:w="1741" w:type="dxa"/>
          </w:tcPr>
          <w:p w14:paraId="28430CA9" w14:textId="79CD015A" w:rsidR="00B87C38" w:rsidRPr="00E44F3E" w:rsidRDefault="003169A3">
            <w:pPr>
              <w:pStyle w:val="TableText"/>
              <w:keepLines/>
              <w:jc w:val="center"/>
            </w:pPr>
            <w:r>
              <w:t>F</w:t>
            </w:r>
            <w:r w:rsidRPr="00E44F3E">
              <w:t>und</w:t>
            </w:r>
            <w:r>
              <w:t>ed</w:t>
            </w:r>
            <w:r w:rsidRPr="00E44F3E">
              <w:t xml:space="preserve"> </w:t>
            </w:r>
            <w:r w:rsidR="00B87C38" w:rsidRPr="00E44F3E">
              <w:t>from 1</w:t>
            </w:r>
            <w:r w:rsidR="00B87C38">
              <w:t> October</w:t>
            </w:r>
            <w:r w:rsidR="00B87C38" w:rsidRPr="00E44F3E">
              <w:t xml:space="preserve"> 2024</w:t>
            </w:r>
          </w:p>
        </w:tc>
        <w:tc>
          <w:tcPr>
            <w:tcW w:w="727" w:type="dxa"/>
          </w:tcPr>
          <w:p w14:paraId="2F4985B7" w14:textId="77777777" w:rsidR="00B87C38" w:rsidRPr="00E44F3E" w:rsidRDefault="00B87C38">
            <w:pPr>
              <w:pStyle w:val="TableText"/>
              <w:keepLines/>
              <w:jc w:val="center"/>
            </w:pPr>
            <w:r w:rsidRPr="00E44F3E">
              <w:t>Yes</w:t>
            </w:r>
          </w:p>
        </w:tc>
      </w:tr>
      <w:tr w:rsidR="00B87C38" w:rsidRPr="00E44F3E" w14:paraId="4127F205" w14:textId="77777777">
        <w:trPr>
          <w:cantSplit/>
          <w:trHeight w:val="20"/>
        </w:trPr>
        <w:tc>
          <w:tcPr>
            <w:tcW w:w="923" w:type="dxa"/>
          </w:tcPr>
          <w:p w14:paraId="11B92820" w14:textId="77777777" w:rsidR="00B87C38" w:rsidRPr="00E44F3E" w:rsidRDefault="00B87C38">
            <w:pPr>
              <w:pStyle w:val="TableText"/>
              <w:keepLines/>
              <w:jc w:val="center"/>
            </w:pPr>
            <w:r w:rsidRPr="00E44F3E">
              <w:t>3</w:t>
            </w:r>
          </w:p>
        </w:tc>
        <w:tc>
          <w:tcPr>
            <w:tcW w:w="1569" w:type="dxa"/>
          </w:tcPr>
          <w:p w14:paraId="0745103F" w14:textId="77777777" w:rsidR="00B87C38" w:rsidRPr="00E44F3E" w:rsidRDefault="00B87C38">
            <w:pPr>
              <w:pStyle w:val="TableText"/>
              <w:keepLines/>
            </w:pPr>
            <w:r w:rsidRPr="00E44F3E">
              <w:t>Pembrolizumab</w:t>
            </w:r>
          </w:p>
        </w:tc>
        <w:tc>
          <w:tcPr>
            <w:tcW w:w="2007" w:type="dxa"/>
          </w:tcPr>
          <w:p w14:paraId="7F8CF256" w14:textId="77777777" w:rsidR="00B87C38" w:rsidRPr="00E44F3E" w:rsidRDefault="00B87C38">
            <w:pPr>
              <w:pStyle w:val="TableText"/>
              <w:keepLines/>
            </w:pPr>
            <w:r w:rsidRPr="00E44F3E">
              <w:t>Monotherapy</w:t>
            </w:r>
          </w:p>
        </w:tc>
        <w:tc>
          <w:tcPr>
            <w:tcW w:w="1929" w:type="dxa"/>
          </w:tcPr>
          <w:p w14:paraId="5D39C8F3" w14:textId="77777777" w:rsidR="00B87C38" w:rsidRPr="00E44F3E" w:rsidRDefault="00B87C38">
            <w:pPr>
              <w:pStyle w:val="TableText"/>
              <w:keepLines/>
            </w:pPr>
            <w:r w:rsidRPr="00E44F3E">
              <w:t xml:space="preserve">Primary mediastinal B-cell lymphoma </w:t>
            </w:r>
          </w:p>
        </w:tc>
        <w:tc>
          <w:tcPr>
            <w:tcW w:w="2574" w:type="dxa"/>
          </w:tcPr>
          <w:p w14:paraId="0CDEE7ED" w14:textId="77777777" w:rsidR="00B87C38" w:rsidRPr="00E44F3E" w:rsidRDefault="00B87C38">
            <w:pPr>
              <w:pStyle w:val="TableText"/>
              <w:keepLines/>
            </w:pPr>
            <w:r w:rsidRPr="00E44F3E">
              <w:t xml:space="preserve">Relapsed or refractory </w:t>
            </w:r>
            <w:r w:rsidRPr="00E44F3E">
              <w:br/>
              <w:t>after autologous stem cell transplant, or after 2 prior treatments and if transplant ineligible has relapsed after 1 prior treatment. Patient must have been treated with rituximab</w:t>
            </w:r>
          </w:p>
        </w:tc>
        <w:tc>
          <w:tcPr>
            <w:tcW w:w="1380" w:type="dxa"/>
          </w:tcPr>
          <w:p w14:paraId="5E7413D0" w14:textId="77777777" w:rsidR="00B87C38" w:rsidRPr="00E44F3E" w:rsidRDefault="00B87C38">
            <w:pPr>
              <w:pStyle w:val="TableText"/>
              <w:keepLines/>
              <w:jc w:val="center"/>
            </w:pPr>
            <w:r w:rsidRPr="00E44F3E">
              <w:t>Intravenous infusion</w:t>
            </w:r>
          </w:p>
        </w:tc>
        <w:tc>
          <w:tcPr>
            <w:tcW w:w="1148" w:type="dxa"/>
          </w:tcPr>
          <w:p w14:paraId="2628EC8E" w14:textId="77777777" w:rsidR="00B87C38" w:rsidRPr="00E44F3E" w:rsidRDefault="00B87C38">
            <w:pPr>
              <w:pStyle w:val="TableText"/>
              <w:keepLines/>
              <w:jc w:val="center"/>
            </w:pPr>
            <w:r w:rsidRPr="00E44F3E">
              <w:t>Yes</w:t>
            </w:r>
          </w:p>
        </w:tc>
        <w:tc>
          <w:tcPr>
            <w:tcW w:w="1741" w:type="dxa"/>
          </w:tcPr>
          <w:p w14:paraId="0B07BCD6" w14:textId="77777777" w:rsidR="00B87C38" w:rsidRPr="00E44F3E" w:rsidRDefault="00B87C38">
            <w:pPr>
              <w:pStyle w:val="TableText"/>
              <w:keepLines/>
              <w:jc w:val="center"/>
            </w:pPr>
            <w:r w:rsidRPr="00E44F3E">
              <w:t>No application</w:t>
            </w:r>
          </w:p>
        </w:tc>
        <w:tc>
          <w:tcPr>
            <w:tcW w:w="727" w:type="dxa"/>
          </w:tcPr>
          <w:p w14:paraId="42E40887" w14:textId="77777777" w:rsidR="00B87C38" w:rsidRPr="00E44F3E" w:rsidRDefault="00B87C38">
            <w:pPr>
              <w:pStyle w:val="TableText"/>
              <w:keepLines/>
              <w:jc w:val="center"/>
            </w:pPr>
            <w:r w:rsidRPr="00E44F3E">
              <w:t>Yes</w:t>
            </w:r>
          </w:p>
        </w:tc>
      </w:tr>
      <w:tr w:rsidR="00B87C38" w:rsidRPr="00E44F3E" w14:paraId="014FD71A" w14:textId="77777777">
        <w:trPr>
          <w:cantSplit/>
          <w:trHeight w:val="20"/>
        </w:trPr>
        <w:tc>
          <w:tcPr>
            <w:tcW w:w="923" w:type="dxa"/>
          </w:tcPr>
          <w:p w14:paraId="347C6E87" w14:textId="77777777" w:rsidR="00B87C38" w:rsidRPr="00E44F3E" w:rsidRDefault="00B87C38">
            <w:pPr>
              <w:pStyle w:val="TableText"/>
              <w:keepLines/>
              <w:jc w:val="center"/>
            </w:pPr>
            <w:r w:rsidRPr="00E44F3E">
              <w:lastRenderedPageBreak/>
              <w:t>3</w:t>
            </w:r>
          </w:p>
        </w:tc>
        <w:tc>
          <w:tcPr>
            <w:tcW w:w="1569" w:type="dxa"/>
          </w:tcPr>
          <w:p w14:paraId="24A8FA2D" w14:textId="77777777" w:rsidR="00B87C38" w:rsidRPr="00E44F3E" w:rsidRDefault="00B87C38">
            <w:pPr>
              <w:pStyle w:val="TableText"/>
              <w:keepLines/>
            </w:pPr>
            <w:r w:rsidRPr="00E44F3E">
              <w:t>Ponatinib</w:t>
            </w:r>
          </w:p>
        </w:tc>
        <w:tc>
          <w:tcPr>
            <w:tcW w:w="2007" w:type="dxa"/>
          </w:tcPr>
          <w:p w14:paraId="01924E9E" w14:textId="77777777" w:rsidR="00B87C38" w:rsidRPr="00E44F3E" w:rsidRDefault="00B87C38">
            <w:pPr>
              <w:pStyle w:val="TableText"/>
              <w:keepLines/>
            </w:pPr>
            <w:r w:rsidRPr="00E44F3E">
              <w:t>Monotherapy</w:t>
            </w:r>
          </w:p>
        </w:tc>
        <w:tc>
          <w:tcPr>
            <w:tcW w:w="1929" w:type="dxa"/>
          </w:tcPr>
          <w:p w14:paraId="64DEB4B3" w14:textId="77777777" w:rsidR="00B87C38" w:rsidRPr="00E44F3E" w:rsidRDefault="00B87C38">
            <w:pPr>
              <w:pStyle w:val="TableText"/>
              <w:keepLines/>
            </w:pPr>
            <w:r w:rsidRPr="00E44F3E">
              <w:t>Chronic myeloid leukaemia (CML)</w:t>
            </w:r>
          </w:p>
        </w:tc>
        <w:tc>
          <w:tcPr>
            <w:tcW w:w="2574" w:type="dxa"/>
          </w:tcPr>
          <w:p w14:paraId="4EC724CC" w14:textId="77777777" w:rsidR="00B87C38" w:rsidRPr="00E44F3E" w:rsidRDefault="00B87C38">
            <w:pPr>
              <w:pStyle w:val="TableText"/>
              <w:keepLines/>
            </w:pPr>
            <w:r w:rsidRPr="00E44F3E">
              <w:t>At least two prior tyrosine kinase inhibitors have failed or have not been tolerated with a severity necessitating permanent treatment withdrawal</w:t>
            </w:r>
          </w:p>
        </w:tc>
        <w:tc>
          <w:tcPr>
            <w:tcW w:w="1380" w:type="dxa"/>
          </w:tcPr>
          <w:p w14:paraId="48DB8F62" w14:textId="77777777" w:rsidR="00B87C38" w:rsidRPr="00E44F3E" w:rsidRDefault="00B87C38">
            <w:pPr>
              <w:pStyle w:val="TableText"/>
              <w:keepLines/>
              <w:jc w:val="center"/>
            </w:pPr>
            <w:r w:rsidRPr="00E44F3E">
              <w:t>Oral tablet</w:t>
            </w:r>
          </w:p>
        </w:tc>
        <w:tc>
          <w:tcPr>
            <w:tcW w:w="1148" w:type="dxa"/>
          </w:tcPr>
          <w:p w14:paraId="2A18844F" w14:textId="77777777" w:rsidR="00B87C38" w:rsidRPr="00E44F3E" w:rsidRDefault="00B87C38">
            <w:pPr>
              <w:pStyle w:val="TableText"/>
              <w:keepLines/>
              <w:jc w:val="center"/>
            </w:pPr>
            <w:r w:rsidRPr="00E44F3E">
              <w:t>No</w:t>
            </w:r>
          </w:p>
        </w:tc>
        <w:tc>
          <w:tcPr>
            <w:tcW w:w="1741" w:type="dxa"/>
          </w:tcPr>
          <w:p w14:paraId="09989F26" w14:textId="77777777" w:rsidR="00B87C38" w:rsidRPr="00E44F3E" w:rsidRDefault="00B87C38">
            <w:pPr>
              <w:pStyle w:val="TableText"/>
              <w:keepLines/>
              <w:jc w:val="center"/>
            </w:pPr>
            <w:r w:rsidRPr="00E44F3E">
              <w:t xml:space="preserve">No </w:t>
            </w:r>
            <w:r>
              <w:t>a</w:t>
            </w:r>
            <w:r w:rsidRPr="00E44F3E">
              <w:t>pplication</w:t>
            </w:r>
          </w:p>
        </w:tc>
        <w:tc>
          <w:tcPr>
            <w:tcW w:w="727" w:type="dxa"/>
          </w:tcPr>
          <w:p w14:paraId="3F1E1D1E" w14:textId="77777777" w:rsidR="00B87C38" w:rsidRPr="00E44F3E" w:rsidRDefault="00B87C38">
            <w:pPr>
              <w:pStyle w:val="TableText"/>
              <w:keepLines/>
              <w:jc w:val="center"/>
            </w:pPr>
            <w:r w:rsidRPr="00E44F3E">
              <w:t>Yes</w:t>
            </w:r>
          </w:p>
        </w:tc>
      </w:tr>
      <w:tr w:rsidR="00B87C38" w:rsidRPr="00E44F3E" w14:paraId="178873F0" w14:textId="77777777">
        <w:trPr>
          <w:cantSplit/>
          <w:trHeight w:val="20"/>
        </w:trPr>
        <w:tc>
          <w:tcPr>
            <w:tcW w:w="923" w:type="dxa"/>
          </w:tcPr>
          <w:p w14:paraId="6EFBB3B2" w14:textId="77777777" w:rsidR="00B87C38" w:rsidRPr="00E44F3E" w:rsidRDefault="00B87C38">
            <w:pPr>
              <w:pStyle w:val="TableText"/>
              <w:keepLines/>
              <w:jc w:val="center"/>
            </w:pPr>
            <w:r w:rsidRPr="00E44F3E">
              <w:t>3</w:t>
            </w:r>
          </w:p>
        </w:tc>
        <w:tc>
          <w:tcPr>
            <w:tcW w:w="1569" w:type="dxa"/>
          </w:tcPr>
          <w:p w14:paraId="492996CC" w14:textId="77777777" w:rsidR="00B87C38" w:rsidRPr="00E44F3E" w:rsidRDefault="00B87C38">
            <w:pPr>
              <w:pStyle w:val="TableText"/>
              <w:keepLines/>
            </w:pPr>
            <w:r w:rsidRPr="00E44F3E">
              <w:t>Pralatrexate</w:t>
            </w:r>
          </w:p>
        </w:tc>
        <w:tc>
          <w:tcPr>
            <w:tcW w:w="2007" w:type="dxa"/>
          </w:tcPr>
          <w:p w14:paraId="5B8ADB1C" w14:textId="77777777" w:rsidR="00B87C38" w:rsidRPr="00E44F3E" w:rsidRDefault="00B87C38">
            <w:pPr>
              <w:pStyle w:val="TableText"/>
              <w:keepLines/>
            </w:pPr>
            <w:r w:rsidRPr="00E44F3E">
              <w:t>Not specified</w:t>
            </w:r>
          </w:p>
        </w:tc>
        <w:tc>
          <w:tcPr>
            <w:tcW w:w="1929" w:type="dxa"/>
          </w:tcPr>
          <w:p w14:paraId="7904BA8D" w14:textId="77777777" w:rsidR="00B87C38" w:rsidRPr="00E44F3E" w:rsidRDefault="00B87C38">
            <w:pPr>
              <w:pStyle w:val="TableText"/>
              <w:keepLines/>
            </w:pPr>
            <w:r w:rsidRPr="00E44F3E">
              <w:t xml:space="preserve">Peripheral T-cell lymphoma </w:t>
            </w:r>
          </w:p>
        </w:tc>
        <w:tc>
          <w:tcPr>
            <w:tcW w:w="2574" w:type="dxa"/>
          </w:tcPr>
          <w:p w14:paraId="4575BD51" w14:textId="77777777" w:rsidR="00B87C38" w:rsidRPr="00E44F3E" w:rsidRDefault="00B87C38">
            <w:pPr>
              <w:pStyle w:val="TableText"/>
              <w:keepLines/>
            </w:pPr>
            <w:r w:rsidRPr="00E44F3E">
              <w:t>Relapsed or chemotherapy</w:t>
            </w:r>
            <w:r>
              <w:t>-</w:t>
            </w:r>
            <w:r w:rsidRPr="00E44F3E">
              <w:t>refractory after appropriate prior fi</w:t>
            </w:r>
            <w:r>
              <w:t>rst-</w:t>
            </w:r>
            <w:r w:rsidRPr="00E44F3E">
              <w:t xml:space="preserve">line curative intent chemotherapy </w:t>
            </w:r>
          </w:p>
        </w:tc>
        <w:tc>
          <w:tcPr>
            <w:tcW w:w="1380" w:type="dxa"/>
          </w:tcPr>
          <w:p w14:paraId="50EC9D46" w14:textId="77777777" w:rsidR="00B87C38" w:rsidRPr="00E44F3E" w:rsidRDefault="00B87C38">
            <w:pPr>
              <w:pStyle w:val="TableText"/>
              <w:keepLines/>
              <w:jc w:val="center"/>
            </w:pPr>
            <w:r w:rsidRPr="00E44F3E">
              <w:t>Intravenous bolus</w:t>
            </w:r>
          </w:p>
        </w:tc>
        <w:tc>
          <w:tcPr>
            <w:tcW w:w="1148" w:type="dxa"/>
          </w:tcPr>
          <w:p w14:paraId="205A5FE5" w14:textId="77777777" w:rsidR="00B87C38" w:rsidRPr="00E44F3E" w:rsidRDefault="00B87C38">
            <w:pPr>
              <w:pStyle w:val="TableText"/>
              <w:keepLines/>
              <w:jc w:val="center"/>
            </w:pPr>
            <w:r w:rsidRPr="00E44F3E">
              <w:t>No</w:t>
            </w:r>
          </w:p>
        </w:tc>
        <w:tc>
          <w:tcPr>
            <w:tcW w:w="1741" w:type="dxa"/>
          </w:tcPr>
          <w:p w14:paraId="461DA963" w14:textId="77777777" w:rsidR="00B87C38" w:rsidRPr="00E44F3E" w:rsidRDefault="00B87C38">
            <w:pPr>
              <w:pStyle w:val="TableText"/>
              <w:keepLines/>
              <w:jc w:val="center"/>
            </w:pPr>
            <w:r w:rsidRPr="00E44F3E">
              <w:t xml:space="preserve">No </w:t>
            </w:r>
            <w:r>
              <w:t>a</w:t>
            </w:r>
            <w:r w:rsidRPr="00E44F3E">
              <w:t>pplication</w:t>
            </w:r>
          </w:p>
        </w:tc>
        <w:tc>
          <w:tcPr>
            <w:tcW w:w="727" w:type="dxa"/>
          </w:tcPr>
          <w:p w14:paraId="7AF80298" w14:textId="77777777" w:rsidR="00B87C38" w:rsidRPr="00E44F3E" w:rsidRDefault="00B87C38">
            <w:pPr>
              <w:pStyle w:val="TableText"/>
              <w:keepLines/>
              <w:jc w:val="center"/>
            </w:pPr>
            <w:r w:rsidRPr="00E44F3E">
              <w:t>Yes</w:t>
            </w:r>
          </w:p>
        </w:tc>
      </w:tr>
      <w:tr w:rsidR="00B87C38" w:rsidRPr="00E44F3E" w14:paraId="24A18565" w14:textId="77777777">
        <w:trPr>
          <w:cantSplit/>
          <w:trHeight w:val="20"/>
        </w:trPr>
        <w:tc>
          <w:tcPr>
            <w:tcW w:w="923" w:type="dxa"/>
          </w:tcPr>
          <w:p w14:paraId="68D47542" w14:textId="77777777" w:rsidR="00B87C38" w:rsidRPr="00E44F3E" w:rsidRDefault="00B87C38">
            <w:pPr>
              <w:pStyle w:val="TableText"/>
              <w:keepLines/>
              <w:jc w:val="center"/>
            </w:pPr>
            <w:r w:rsidRPr="00E44F3E">
              <w:t>3</w:t>
            </w:r>
          </w:p>
        </w:tc>
        <w:tc>
          <w:tcPr>
            <w:tcW w:w="1569" w:type="dxa"/>
          </w:tcPr>
          <w:p w14:paraId="39A35239" w14:textId="77777777" w:rsidR="00B87C38" w:rsidRPr="00E44F3E" w:rsidRDefault="00B87C38">
            <w:pPr>
              <w:pStyle w:val="TableText"/>
              <w:keepLines/>
            </w:pPr>
            <w:r w:rsidRPr="00E44F3E">
              <w:t>Venetoclax</w:t>
            </w:r>
            <w:r>
              <w:rPr>
                <w:vertAlign w:val="superscript"/>
              </w:rPr>
              <w:t>‡</w:t>
            </w:r>
          </w:p>
        </w:tc>
        <w:tc>
          <w:tcPr>
            <w:tcW w:w="2007" w:type="dxa"/>
          </w:tcPr>
          <w:p w14:paraId="4996281A" w14:textId="77777777" w:rsidR="00B87C38" w:rsidRPr="00E44F3E" w:rsidRDefault="00B87C38">
            <w:pPr>
              <w:pStyle w:val="TableText"/>
              <w:keepLines/>
            </w:pPr>
            <w:r w:rsidRPr="00E44F3E">
              <w:t xml:space="preserve"> Obinutuzumab</w:t>
            </w:r>
            <w:r>
              <w:rPr>
                <w:vertAlign w:val="superscript"/>
              </w:rPr>
              <w:t>‡</w:t>
            </w:r>
          </w:p>
        </w:tc>
        <w:tc>
          <w:tcPr>
            <w:tcW w:w="1929" w:type="dxa"/>
          </w:tcPr>
          <w:p w14:paraId="208D4DA8" w14:textId="77777777" w:rsidR="00B87C38" w:rsidRPr="00E44F3E" w:rsidRDefault="00B87C38">
            <w:pPr>
              <w:pStyle w:val="TableText"/>
              <w:keepLines/>
            </w:pPr>
            <w:r w:rsidRPr="00E44F3E">
              <w:t>Chronic lymphocytic leukaemia (CLL) or small lymphocytic lymphoma (SLL)</w:t>
            </w:r>
          </w:p>
        </w:tc>
        <w:tc>
          <w:tcPr>
            <w:tcW w:w="2574" w:type="dxa"/>
          </w:tcPr>
          <w:p w14:paraId="67E8E232" w14:textId="77777777" w:rsidR="00B87C38" w:rsidRPr="00E44F3E" w:rsidRDefault="00B87C38">
            <w:pPr>
              <w:pStyle w:val="TableText"/>
              <w:keepLines/>
            </w:pPr>
            <w:r w:rsidRPr="00E44F3E">
              <w:t xml:space="preserve">Previously untreated disease </w:t>
            </w:r>
          </w:p>
        </w:tc>
        <w:tc>
          <w:tcPr>
            <w:tcW w:w="1380" w:type="dxa"/>
          </w:tcPr>
          <w:p w14:paraId="6C3A92E5" w14:textId="77777777" w:rsidR="00B87C38" w:rsidRPr="00E44F3E" w:rsidRDefault="00B87C38">
            <w:pPr>
              <w:pStyle w:val="TableText"/>
              <w:keepLines/>
              <w:jc w:val="center"/>
            </w:pPr>
            <w:r w:rsidRPr="00E44F3E">
              <w:t>Oral tablet</w:t>
            </w:r>
          </w:p>
        </w:tc>
        <w:tc>
          <w:tcPr>
            <w:tcW w:w="1148" w:type="dxa"/>
          </w:tcPr>
          <w:p w14:paraId="1E224943" w14:textId="77777777" w:rsidR="00B87C38" w:rsidRPr="00E44F3E" w:rsidRDefault="00B87C38">
            <w:pPr>
              <w:pStyle w:val="TableText"/>
              <w:keepLines/>
              <w:jc w:val="center"/>
            </w:pPr>
            <w:r w:rsidRPr="00E44F3E">
              <w:t>Yes</w:t>
            </w:r>
          </w:p>
        </w:tc>
        <w:tc>
          <w:tcPr>
            <w:tcW w:w="1741" w:type="dxa"/>
          </w:tcPr>
          <w:p w14:paraId="246162BD" w14:textId="77777777" w:rsidR="00B87C38" w:rsidRPr="00E44F3E" w:rsidRDefault="00B87C38">
            <w:pPr>
              <w:pStyle w:val="TableText"/>
              <w:keepLines/>
              <w:jc w:val="center"/>
            </w:pPr>
            <w:r w:rsidRPr="00E44F3E">
              <w:t xml:space="preserve">Under </w:t>
            </w:r>
            <w:r>
              <w:t>a</w:t>
            </w:r>
            <w:r w:rsidRPr="00E44F3E">
              <w:t>ssessment</w:t>
            </w:r>
          </w:p>
        </w:tc>
        <w:tc>
          <w:tcPr>
            <w:tcW w:w="727" w:type="dxa"/>
          </w:tcPr>
          <w:p w14:paraId="4715A681" w14:textId="77777777" w:rsidR="00B87C38" w:rsidRPr="00E44F3E" w:rsidRDefault="00B87C38">
            <w:pPr>
              <w:pStyle w:val="TableText"/>
              <w:keepLines/>
              <w:jc w:val="center"/>
            </w:pPr>
            <w:r w:rsidRPr="00E44F3E">
              <w:t>Yes</w:t>
            </w:r>
          </w:p>
        </w:tc>
      </w:tr>
      <w:tr w:rsidR="00B87C38" w:rsidRPr="00E44F3E" w14:paraId="5D0F4E2C" w14:textId="77777777">
        <w:trPr>
          <w:cantSplit/>
          <w:trHeight w:val="20"/>
        </w:trPr>
        <w:tc>
          <w:tcPr>
            <w:tcW w:w="923" w:type="dxa"/>
          </w:tcPr>
          <w:p w14:paraId="6387480F" w14:textId="77777777" w:rsidR="00B87C38" w:rsidRPr="00E44F3E" w:rsidRDefault="00B87C38">
            <w:pPr>
              <w:pStyle w:val="TableText"/>
              <w:keepLines/>
              <w:jc w:val="center"/>
            </w:pPr>
            <w:r w:rsidRPr="00E44F3E">
              <w:t>2</w:t>
            </w:r>
          </w:p>
        </w:tc>
        <w:tc>
          <w:tcPr>
            <w:tcW w:w="1569" w:type="dxa"/>
          </w:tcPr>
          <w:p w14:paraId="57E45585" w14:textId="77777777" w:rsidR="00B87C38" w:rsidRPr="00E44F3E" w:rsidRDefault="00B87C38">
            <w:pPr>
              <w:pStyle w:val="TableText"/>
              <w:keepLines/>
            </w:pPr>
            <w:r w:rsidRPr="00E44F3E">
              <w:t xml:space="preserve">Brentuximab </w:t>
            </w:r>
            <w:proofErr w:type="spellStart"/>
            <w:r w:rsidRPr="00E44F3E">
              <w:t>vedotin</w:t>
            </w:r>
            <w:proofErr w:type="spellEnd"/>
          </w:p>
        </w:tc>
        <w:tc>
          <w:tcPr>
            <w:tcW w:w="2007" w:type="dxa"/>
          </w:tcPr>
          <w:p w14:paraId="6DB1A2A2" w14:textId="77777777" w:rsidR="00B87C38" w:rsidRPr="00E44F3E" w:rsidRDefault="00B87C38">
            <w:pPr>
              <w:pStyle w:val="TableText"/>
              <w:keepLines/>
            </w:pPr>
            <w:r w:rsidRPr="00E44F3E">
              <w:t xml:space="preserve">Cyclophosphamide, </w:t>
            </w:r>
            <w:proofErr w:type="gramStart"/>
            <w:r w:rsidRPr="00E44F3E">
              <w:t>doxorubicin</w:t>
            </w:r>
            <w:proofErr w:type="gramEnd"/>
            <w:r w:rsidRPr="00E44F3E">
              <w:t xml:space="preserve"> and prednisone</w:t>
            </w:r>
          </w:p>
        </w:tc>
        <w:tc>
          <w:tcPr>
            <w:tcW w:w="1929" w:type="dxa"/>
          </w:tcPr>
          <w:p w14:paraId="52B92074" w14:textId="77777777" w:rsidR="00B87C38" w:rsidRPr="00E44F3E" w:rsidRDefault="00B87C38">
            <w:pPr>
              <w:pStyle w:val="TableText"/>
              <w:keepLines/>
            </w:pPr>
            <w:r w:rsidRPr="00E44F3E">
              <w:t>Peripheral T-cell lymphoma, non</w:t>
            </w:r>
            <w:r>
              <w:t>-</w:t>
            </w:r>
            <w:r w:rsidRPr="00E44F3E">
              <w:t>cutaneous</w:t>
            </w:r>
          </w:p>
        </w:tc>
        <w:tc>
          <w:tcPr>
            <w:tcW w:w="2574" w:type="dxa"/>
          </w:tcPr>
          <w:p w14:paraId="231EE8DF" w14:textId="77777777" w:rsidR="00B87C38" w:rsidRPr="00E44F3E" w:rsidRDefault="00B87C38">
            <w:pPr>
              <w:pStyle w:val="TableText"/>
              <w:keepLines/>
            </w:pPr>
            <w:r w:rsidRPr="00E44F3E">
              <w:t>First</w:t>
            </w:r>
            <w:r>
              <w:t>-</w:t>
            </w:r>
            <w:r w:rsidRPr="00E44F3E">
              <w:t xml:space="preserve">line treatment with curative intent, CD30-positive </w:t>
            </w:r>
          </w:p>
        </w:tc>
        <w:tc>
          <w:tcPr>
            <w:tcW w:w="1380" w:type="dxa"/>
          </w:tcPr>
          <w:p w14:paraId="73D8679C" w14:textId="77777777" w:rsidR="00B87C38" w:rsidRPr="00E44F3E" w:rsidRDefault="00B87C38">
            <w:pPr>
              <w:pStyle w:val="TableText"/>
              <w:keepLines/>
              <w:jc w:val="center"/>
            </w:pPr>
            <w:r w:rsidRPr="00E44F3E">
              <w:t>Intravenous infusion</w:t>
            </w:r>
          </w:p>
        </w:tc>
        <w:tc>
          <w:tcPr>
            <w:tcW w:w="1148" w:type="dxa"/>
          </w:tcPr>
          <w:p w14:paraId="500BB924" w14:textId="77777777" w:rsidR="00B87C38" w:rsidRPr="00E44F3E" w:rsidRDefault="00B87C38">
            <w:pPr>
              <w:pStyle w:val="TableText"/>
              <w:keepLines/>
              <w:jc w:val="center"/>
            </w:pPr>
            <w:r w:rsidRPr="00E44F3E">
              <w:t>Yes</w:t>
            </w:r>
          </w:p>
        </w:tc>
        <w:tc>
          <w:tcPr>
            <w:tcW w:w="1741" w:type="dxa"/>
          </w:tcPr>
          <w:p w14:paraId="6CCA8273" w14:textId="36C8FE81" w:rsidR="00B87C38" w:rsidRPr="00E44F3E" w:rsidRDefault="00B87C38">
            <w:pPr>
              <w:pStyle w:val="TableText"/>
              <w:keepLines/>
              <w:jc w:val="center"/>
            </w:pPr>
            <w:r>
              <w:t>Under assessment</w:t>
            </w:r>
            <w:r w:rsidR="00C56B56">
              <w:t xml:space="preserve"> for </w:t>
            </w:r>
            <w:r w:rsidR="00C56B56" w:rsidRPr="00C56B56">
              <w:t>anaplastic large cell lymphoma</w:t>
            </w:r>
            <w:r>
              <w:t xml:space="preserve"> </w:t>
            </w:r>
            <w:r w:rsidR="00C56B56">
              <w:t>only</w:t>
            </w:r>
          </w:p>
        </w:tc>
        <w:tc>
          <w:tcPr>
            <w:tcW w:w="727" w:type="dxa"/>
          </w:tcPr>
          <w:p w14:paraId="2FFB76F4" w14:textId="77777777" w:rsidR="00B87C38" w:rsidRPr="00E44F3E" w:rsidRDefault="00B87C38">
            <w:pPr>
              <w:pStyle w:val="TableText"/>
              <w:keepLines/>
              <w:jc w:val="center"/>
            </w:pPr>
            <w:r w:rsidRPr="00E44F3E">
              <w:t>Yes</w:t>
            </w:r>
          </w:p>
        </w:tc>
      </w:tr>
      <w:tr w:rsidR="00B87C38" w:rsidRPr="00E44F3E" w14:paraId="22FE12A0" w14:textId="77777777">
        <w:trPr>
          <w:cantSplit/>
          <w:trHeight w:val="20"/>
        </w:trPr>
        <w:tc>
          <w:tcPr>
            <w:tcW w:w="923" w:type="dxa"/>
          </w:tcPr>
          <w:p w14:paraId="2F36DE87" w14:textId="77777777" w:rsidR="00B87C38" w:rsidRPr="00E44F3E" w:rsidRDefault="00B87C38">
            <w:pPr>
              <w:pStyle w:val="TableText"/>
              <w:keepLines/>
              <w:jc w:val="center"/>
            </w:pPr>
            <w:r w:rsidRPr="00E44F3E">
              <w:t>2</w:t>
            </w:r>
          </w:p>
        </w:tc>
        <w:tc>
          <w:tcPr>
            <w:tcW w:w="1569" w:type="dxa"/>
          </w:tcPr>
          <w:p w14:paraId="6703B423" w14:textId="77777777" w:rsidR="00B87C38" w:rsidRPr="00E44F3E" w:rsidRDefault="00B87C38">
            <w:pPr>
              <w:pStyle w:val="TableText"/>
              <w:keepLines/>
            </w:pPr>
            <w:r w:rsidRPr="00E44F3E">
              <w:t>Daratumumab</w:t>
            </w:r>
          </w:p>
        </w:tc>
        <w:tc>
          <w:tcPr>
            <w:tcW w:w="2007" w:type="dxa"/>
          </w:tcPr>
          <w:p w14:paraId="14228D6A" w14:textId="77777777" w:rsidR="00B87C38" w:rsidRPr="00E44F3E" w:rsidRDefault="00B87C38">
            <w:pPr>
              <w:pStyle w:val="TableText"/>
              <w:keepLines/>
              <w:rPr>
                <w:rFonts w:cs="Calibri"/>
              </w:rPr>
            </w:pPr>
            <w:r w:rsidRPr="00E44F3E">
              <w:rPr>
                <w:rFonts w:cs="Calibri"/>
              </w:rPr>
              <w:t>Cyclophosphamide, bortezomib and dexamethasone</w:t>
            </w:r>
          </w:p>
        </w:tc>
        <w:tc>
          <w:tcPr>
            <w:tcW w:w="1929" w:type="dxa"/>
          </w:tcPr>
          <w:p w14:paraId="0C97E82A" w14:textId="77777777" w:rsidR="00B87C38" w:rsidRPr="00E44F3E" w:rsidRDefault="00B87C38">
            <w:pPr>
              <w:pStyle w:val="TableText"/>
              <w:keepLines/>
            </w:pPr>
            <w:r w:rsidRPr="00E44F3E">
              <w:t>Systemic light chain (AL) amyloidosis</w:t>
            </w:r>
          </w:p>
        </w:tc>
        <w:tc>
          <w:tcPr>
            <w:tcW w:w="2574" w:type="dxa"/>
          </w:tcPr>
          <w:p w14:paraId="3AB23FC4" w14:textId="77777777" w:rsidR="00B87C38" w:rsidRPr="00E44F3E" w:rsidRDefault="00B87C38">
            <w:pPr>
              <w:pStyle w:val="TableText"/>
              <w:keepLines/>
            </w:pPr>
            <w:r w:rsidRPr="00E44F3E">
              <w:t xml:space="preserve">Newly diagnosed </w:t>
            </w:r>
          </w:p>
        </w:tc>
        <w:tc>
          <w:tcPr>
            <w:tcW w:w="1380" w:type="dxa"/>
          </w:tcPr>
          <w:p w14:paraId="634517FF" w14:textId="77777777" w:rsidR="00B87C38" w:rsidRPr="00E44F3E" w:rsidRDefault="00B87C38">
            <w:pPr>
              <w:pStyle w:val="TableText"/>
              <w:keepLines/>
              <w:jc w:val="center"/>
            </w:pPr>
            <w:r w:rsidRPr="00E44F3E">
              <w:t>Intravenous infusion/ subcutaneous injection</w:t>
            </w:r>
          </w:p>
        </w:tc>
        <w:tc>
          <w:tcPr>
            <w:tcW w:w="1148" w:type="dxa"/>
          </w:tcPr>
          <w:p w14:paraId="6CB66AA6" w14:textId="77777777" w:rsidR="00B87C38" w:rsidRPr="00E44F3E" w:rsidRDefault="00B87C38">
            <w:pPr>
              <w:pStyle w:val="TableText"/>
              <w:keepLines/>
              <w:jc w:val="center"/>
            </w:pPr>
            <w:r w:rsidRPr="00E44F3E">
              <w:t>No</w:t>
            </w:r>
          </w:p>
        </w:tc>
        <w:tc>
          <w:tcPr>
            <w:tcW w:w="1741" w:type="dxa"/>
          </w:tcPr>
          <w:p w14:paraId="2D265A6B" w14:textId="77777777" w:rsidR="00B87C38" w:rsidRPr="00E44F3E" w:rsidRDefault="00B87C38">
            <w:pPr>
              <w:pStyle w:val="TableText"/>
              <w:keepLines/>
              <w:jc w:val="center"/>
            </w:pPr>
            <w:r w:rsidRPr="002F35DD">
              <w:t>OFI</w:t>
            </w:r>
            <w:r w:rsidRPr="00E44F3E">
              <w:t xml:space="preserve"> </w:t>
            </w:r>
            <w:r>
              <w:t>l</w:t>
            </w:r>
            <w:r w:rsidRPr="00E44F3E">
              <w:t>ist</w:t>
            </w:r>
          </w:p>
        </w:tc>
        <w:tc>
          <w:tcPr>
            <w:tcW w:w="727" w:type="dxa"/>
          </w:tcPr>
          <w:p w14:paraId="336774F1" w14:textId="77777777" w:rsidR="00B87C38" w:rsidRPr="00E44F3E" w:rsidRDefault="00B87C38">
            <w:pPr>
              <w:pStyle w:val="TableText"/>
              <w:keepLines/>
              <w:jc w:val="center"/>
            </w:pPr>
            <w:r w:rsidRPr="00E44F3E">
              <w:t>No</w:t>
            </w:r>
          </w:p>
        </w:tc>
      </w:tr>
      <w:tr w:rsidR="00B87C38" w:rsidRPr="00E44F3E" w14:paraId="3FC4C522" w14:textId="77777777">
        <w:trPr>
          <w:cantSplit/>
          <w:trHeight w:val="20"/>
        </w:trPr>
        <w:tc>
          <w:tcPr>
            <w:tcW w:w="923" w:type="dxa"/>
          </w:tcPr>
          <w:p w14:paraId="081D4C23" w14:textId="77777777" w:rsidR="00B87C38" w:rsidRPr="00E44F3E" w:rsidRDefault="00B87C38">
            <w:pPr>
              <w:pStyle w:val="TableText"/>
              <w:keepLines/>
              <w:jc w:val="center"/>
            </w:pPr>
            <w:r w:rsidRPr="00E44F3E">
              <w:t>2</w:t>
            </w:r>
          </w:p>
        </w:tc>
        <w:tc>
          <w:tcPr>
            <w:tcW w:w="1569" w:type="dxa"/>
          </w:tcPr>
          <w:p w14:paraId="66FE7D2E" w14:textId="77777777" w:rsidR="00B87C38" w:rsidRPr="00E44F3E" w:rsidRDefault="00B87C38">
            <w:pPr>
              <w:pStyle w:val="TableText"/>
              <w:keepLines/>
            </w:pPr>
            <w:r w:rsidRPr="00E44F3E">
              <w:t>Pomalidomide</w:t>
            </w:r>
          </w:p>
        </w:tc>
        <w:tc>
          <w:tcPr>
            <w:tcW w:w="2007" w:type="dxa"/>
          </w:tcPr>
          <w:p w14:paraId="4C153CD4" w14:textId="77777777" w:rsidR="00B87C38" w:rsidRPr="00E44F3E" w:rsidRDefault="00B87C38">
            <w:pPr>
              <w:pStyle w:val="TableText"/>
              <w:keepLines/>
            </w:pPr>
            <w:r w:rsidRPr="00E44F3E">
              <w:t>Dexamethasone and bortezomib</w:t>
            </w:r>
          </w:p>
        </w:tc>
        <w:tc>
          <w:tcPr>
            <w:tcW w:w="1929" w:type="dxa"/>
          </w:tcPr>
          <w:p w14:paraId="65CB792A" w14:textId="77777777" w:rsidR="00B87C38" w:rsidRPr="00E44F3E" w:rsidRDefault="00B87C38">
            <w:pPr>
              <w:pStyle w:val="TableText"/>
              <w:keepLines/>
            </w:pPr>
            <w:r w:rsidRPr="00E44F3E">
              <w:t xml:space="preserve">Multiple myeloma (MM) </w:t>
            </w:r>
          </w:p>
        </w:tc>
        <w:tc>
          <w:tcPr>
            <w:tcW w:w="2574" w:type="dxa"/>
          </w:tcPr>
          <w:p w14:paraId="49F42C87" w14:textId="77777777" w:rsidR="00B87C38" w:rsidRPr="00E44F3E" w:rsidRDefault="00B87C38">
            <w:pPr>
              <w:pStyle w:val="TableText"/>
              <w:keepLines/>
            </w:pPr>
            <w:r w:rsidRPr="00E44F3E">
              <w:t xml:space="preserve">Progressive disease after at least one prior therapy </w:t>
            </w:r>
            <w:r>
              <w:t>(</w:t>
            </w:r>
            <w:r w:rsidRPr="00E44F3E">
              <w:t>that is either lenalidomide monotherapy or contains lenalidomide</w:t>
            </w:r>
            <w:r>
              <w:t>) and patient has</w:t>
            </w:r>
            <w:r w:rsidRPr="00E44F3E">
              <w:t xml:space="preserve"> undergone or </w:t>
            </w:r>
            <w:r>
              <w:t>is</w:t>
            </w:r>
            <w:r w:rsidRPr="00E44F3E">
              <w:t xml:space="preserve"> ineligible for an autologous </w:t>
            </w:r>
            <w:r w:rsidRPr="0011385C">
              <w:t>haematopoietic</w:t>
            </w:r>
            <w:r w:rsidRPr="00E44F3E">
              <w:t xml:space="preserve"> stem cell transplant</w:t>
            </w:r>
          </w:p>
        </w:tc>
        <w:tc>
          <w:tcPr>
            <w:tcW w:w="1380" w:type="dxa"/>
          </w:tcPr>
          <w:p w14:paraId="375D22F1" w14:textId="77777777" w:rsidR="00B87C38" w:rsidRPr="00E44F3E" w:rsidRDefault="00B87C38">
            <w:pPr>
              <w:pStyle w:val="TableText"/>
              <w:keepLines/>
              <w:jc w:val="center"/>
            </w:pPr>
            <w:r w:rsidRPr="00E44F3E">
              <w:t>Oral capsule</w:t>
            </w:r>
          </w:p>
        </w:tc>
        <w:tc>
          <w:tcPr>
            <w:tcW w:w="1148" w:type="dxa"/>
          </w:tcPr>
          <w:p w14:paraId="0B12409C" w14:textId="77777777" w:rsidR="00B87C38" w:rsidRPr="00E44F3E" w:rsidRDefault="00B87C38">
            <w:pPr>
              <w:pStyle w:val="TableText"/>
              <w:keepLines/>
              <w:jc w:val="center"/>
            </w:pPr>
            <w:r w:rsidRPr="00E44F3E">
              <w:t>No</w:t>
            </w:r>
          </w:p>
        </w:tc>
        <w:tc>
          <w:tcPr>
            <w:tcW w:w="1741" w:type="dxa"/>
          </w:tcPr>
          <w:p w14:paraId="564557F8" w14:textId="5FE08E86" w:rsidR="00B87C38" w:rsidRPr="00E44F3E" w:rsidRDefault="00490EEF">
            <w:pPr>
              <w:pStyle w:val="TableText"/>
              <w:keepLines/>
              <w:jc w:val="center"/>
            </w:pPr>
            <w:r>
              <w:t>Funded</w:t>
            </w:r>
            <w:r w:rsidR="00B87C38" w:rsidRPr="00E44F3E">
              <w:t xml:space="preserve"> from 1 August 2024</w:t>
            </w:r>
          </w:p>
        </w:tc>
        <w:tc>
          <w:tcPr>
            <w:tcW w:w="727" w:type="dxa"/>
          </w:tcPr>
          <w:p w14:paraId="3D4CA0E2" w14:textId="77777777" w:rsidR="00B87C38" w:rsidRPr="00E44F3E" w:rsidRDefault="00B87C38">
            <w:pPr>
              <w:pStyle w:val="TableText"/>
              <w:keepLines/>
              <w:jc w:val="center"/>
            </w:pPr>
            <w:r w:rsidRPr="00E44F3E">
              <w:t>No</w:t>
            </w:r>
          </w:p>
        </w:tc>
      </w:tr>
      <w:tr w:rsidR="00B87C38" w:rsidRPr="00E44F3E" w14:paraId="0A8F23E3" w14:textId="77777777">
        <w:trPr>
          <w:cantSplit/>
          <w:trHeight w:val="20"/>
        </w:trPr>
        <w:tc>
          <w:tcPr>
            <w:tcW w:w="923" w:type="dxa"/>
          </w:tcPr>
          <w:p w14:paraId="7ACB8AAE" w14:textId="77777777" w:rsidR="00B87C38" w:rsidRPr="00E44F3E" w:rsidRDefault="00B87C38">
            <w:pPr>
              <w:pStyle w:val="TableText"/>
              <w:keepLines/>
              <w:jc w:val="center"/>
            </w:pPr>
            <w:r w:rsidRPr="00E44F3E">
              <w:lastRenderedPageBreak/>
              <w:t>2</w:t>
            </w:r>
          </w:p>
        </w:tc>
        <w:tc>
          <w:tcPr>
            <w:tcW w:w="1569" w:type="dxa"/>
          </w:tcPr>
          <w:p w14:paraId="6D94338A" w14:textId="77777777" w:rsidR="00B87C38" w:rsidRPr="00E44F3E" w:rsidRDefault="00B87C38">
            <w:pPr>
              <w:pStyle w:val="TableText"/>
              <w:keepLines/>
            </w:pPr>
            <w:r w:rsidRPr="00E44F3E">
              <w:t>Ponatinib</w:t>
            </w:r>
          </w:p>
        </w:tc>
        <w:tc>
          <w:tcPr>
            <w:tcW w:w="2007" w:type="dxa"/>
          </w:tcPr>
          <w:p w14:paraId="698A188F" w14:textId="77777777" w:rsidR="00B87C38" w:rsidRPr="00E44F3E" w:rsidRDefault="00B87C38">
            <w:pPr>
              <w:pStyle w:val="TableText"/>
              <w:keepLines/>
            </w:pPr>
            <w:r w:rsidRPr="00E44F3E">
              <w:t>Monotherapy</w:t>
            </w:r>
          </w:p>
        </w:tc>
        <w:tc>
          <w:tcPr>
            <w:tcW w:w="1929" w:type="dxa"/>
          </w:tcPr>
          <w:p w14:paraId="71DD27A6" w14:textId="77777777" w:rsidR="00B87C38" w:rsidRPr="00E44F3E" w:rsidRDefault="00B87C38">
            <w:pPr>
              <w:pStyle w:val="TableText"/>
              <w:keepLines/>
            </w:pPr>
            <w:r w:rsidRPr="00E44F3E">
              <w:t>Acute lymphoblastic leukaemia (ALL)</w:t>
            </w:r>
          </w:p>
        </w:tc>
        <w:tc>
          <w:tcPr>
            <w:tcW w:w="2574" w:type="dxa"/>
          </w:tcPr>
          <w:p w14:paraId="4C46F541" w14:textId="77777777" w:rsidR="00B87C38" w:rsidRPr="00E44F3E" w:rsidRDefault="00B87C38">
            <w:pPr>
              <w:pStyle w:val="TableText"/>
              <w:keepLines/>
            </w:pPr>
            <w:r w:rsidRPr="00E44F3E">
              <w:t>Second line</w:t>
            </w:r>
            <w:r>
              <w:t xml:space="preserve"> treatment</w:t>
            </w:r>
            <w:r w:rsidRPr="00E44F3E">
              <w:t xml:space="preserve"> for patients with T315I, </w:t>
            </w:r>
            <w:r w:rsidRPr="00655EEC">
              <w:t>Philadelphia chromosome positive</w:t>
            </w:r>
            <w:r w:rsidRPr="00E44F3E">
              <w:t xml:space="preserve"> or BCR-ABL mutation</w:t>
            </w:r>
          </w:p>
        </w:tc>
        <w:tc>
          <w:tcPr>
            <w:tcW w:w="1380" w:type="dxa"/>
          </w:tcPr>
          <w:p w14:paraId="593B9275" w14:textId="77777777" w:rsidR="00B87C38" w:rsidRPr="00E44F3E" w:rsidRDefault="00B87C38">
            <w:pPr>
              <w:pStyle w:val="TableText"/>
              <w:keepLines/>
              <w:jc w:val="center"/>
            </w:pPr>
            <w:r w:rsidRPr="00E44F3E">
              <w:t>Oral tablet</w:t>
            </w:r>
          </w:p>
        </w:tc>
        <w:tc>
          <w:tcPr>
            <w:tcW w:w="1148" w:type="dxa"/>
          </w:tcPr>
          <w:p w14:paraId="5D6E7628" w14:textId="77777777" w:rsidR="00B87C38" w:rsidRPr="00E44F3E" w:rsidRDefault="00B87C38">
            <w:pPr>
              <w:pStyle w:val="TableText"/>
              <w:keepLines/>
              <w:jc w:val="center"/>
            </w:pPr>
            <w:r w:rsidRPr="00E44F3E">
              <w:t>No</w:t>
            </w:r>
          </w:p>
        </w:tc>
        <w:tc>
          <w:tcPr>
            <w:tcW w:w="1741" w:type="dxa"/>
          </w:tcPr>
          <w:p w14:paraId="71B7CCB2" w14:textId="77777777" w:rsidR="00B87C38" w:rsidRPr="00E44F3E" w:rsidRDefault="00B87C38">
            <w:pPr>
              <w:pStyle w:val="TableText"/>
              <w:keepLines/>
              <w:jc w:val="center"/>
            </w:pPr>
            <w:r w:rsidRPr="00E44F3E">
              <w:t>No application</w:t>
            </w:r>
          </w:p>
        </w:tc>
        <w:tc>
          <w:tcPr>
            <w:tcW w:w="727" w:type="dxa"/>
          </w:tcPr>
          <w:p w14:paraId="3334C5A5" w14:textId="77777777" w:rsidR="00B87C38" w:rsidRPr="00E44F3E" w:rsidRDefault="00B87C38">
            <w:pPr>
              <w:pStyle w:val="TableText"/>
              <w:keepLines/>
              <w:jc w:val="center"/>
            </w:pPr>
            <w:r w:rsidRPr="00E44F3E">
              <w:t>Yes</w:t>
            </w:r>
          </w:p>
        </w:tc>
      </w:tr>
      <w:tr w:rsidR="00B87C38" w:rsidRPr="00E44F3E" w14:paraId="099B0CCC" w14:textId="77777777">
        <w:trPr>
          <w:cantSplit/>
          <w:trHeight w:val="20"/>
        </w:trPr>
        <w:tc>
          <w:tcPr>
            <w:tcW w:w="923" w:type="dxa"/>
          </w:tcPr>
          <w:p w14:paraId="30605FE2" w14:textId="77777777" w:rsidR="00B87C38" w:rsidRPr="00E44F3E" w:rsidRDefault="00B87C38">
            <w:pPr>
              <w:pStyle w:val="TableText"/>
              <w:keepLines/>
              <w:jc w:val="center"/>
            </w:pPr>
            <w:r w:rsidRPr="00E44F3E">
              <w:t>2</w:t>
            </w:r>
          </w:p>
        </w:tc>
        <w:tc>
          <w:tcPr>
            <w:tcW w:w="1569" w:type="dxa"/>
          </w:tcPr>
          <w:p w14:paraId="7C4B1F37" w14:textId="77777777" w:rsidR="00B87C38" w:rsidRPr="00E44F3E" w:rsidRDefault="00B87C38">
            <w:pPr>
              <w:pStyle w:val="TableText"/>
              <w:keepLines/>
            </w:pPr>
            <w:r w:rsidRPr="00E44F3E">
              <w:t>Selinexor</w:t>
            </w:r>
          </w:p>
        </w:tc>
        <w:tc>
          <w:tcPr>
            <w:tcW w:w="2007" w:type="dxa"/>
          </w:tcPr>
          <w:p w14:paraId="68F97112" w14:textId="77777777" w:rsidR="00B87C38" w:rsidRPr="00E44F3E" w:rsidRDefault="00B87C38">
            <w:pPr>
              <w:pStyle w:val="TableText"/>
              <w:keepLines/>
            </w:pPr>
            <w:r w:rsidRPr="00E44F3E">
              <w:t>Triplet with dexamethasone and bortezomib. Doublet with dexamethasone</w:t>
            </w:r>
          </w:p>
        </w:tc>
        <w:tc>
          <w:tcPr>
            <w:tcW w:w="1929" w:type="dxa"/>
          </w:tcPr>
          <w:p w14:paraId="4473B58D" w14:textId="77777777" w:rsidR="00B87C38" w:rsidRPr="00E44F3E" w:rsidRDefault="00B87C38">
            <w:pPr>
              <w:pStyle w:val="TableText"/>
              <w:keepLines/>
            </w:pPr>
            <w:r w:rsidRPr="00E44F3E">
              <w:t xml:space="preserve">Multiple myeloma (MM) </w:t>
            </w:r>
          </w:p>
        </w:tc>
        <w:tc>
          <w:tcPr>
            <w:tcW w:w="2574" w:type="dxa"/>
          </w:tcPr>
          <w:p w14:paraId="2608BF49" w14:textId="77777777" w:rsidR="00B87C38" w:rsidRPr="00E44F3E" w:rsidRDefault="00B87C38">
            <w:pPr>
              <w:pStyle w:val="TableText"/>
              <w:keepLines/>
            </w:pPr>
            <w:r w:rsidRPr="00E44F3E">
              <w:t>Progressive disease after at least one prior therapy</w:t>
            </w:r>
          </w:p>
        </w:tc>
        <w:tc>
          <w:tcPr>
            <w:tcW w:w="1380" w:type="dxa"/>
          </w:tcPr>
          <w:p w14:paraId="389F1DED" w14:textId="77777777" w:rsidR="00B87C38" w:rsidRPr="00E44F3E" w:rsidRDefault="00B87C38">
            <w:pPr>
              <w:pStyle w:val="TableText"/>
              <w:keepLines/>
              <w:jc w:val="center"/>
            </w:pPr>
            <w:r w:rsidRPr="00E44F3E">
              <w:t>Oral</w:t>
            </w:r>
            <w:r>
              <w:t xml:space="preserve"> </w:t>
            </w:r>
            <w:r w:rsidRPr="00E44F3E">
              <w:t>tablet</w:t>
            </w:r>
          </w:p>
        </w:tc>
        <w:tc>
          <w:tcPr>
            <w:tcW w:w="1148" w:type="dxa"/>
          </w:tcPr>
          <w:p w14:paraId="4B4BCEBC" w14:textId="77777777" w:rsidR="00B87C38" w:rsidRPr="00E44F3E" w:rsidRDefault="00B87C38">
            <w:pPr>
              <w:pStyle w:val="TableText"/>
              <w:keepLines/>
              <w:jc w:val="center"/>
            </w:pPr>
            <w:r w:rsidRPr="00E44F3E">
              <w:t>No</w:t>
            </w:r>
          </w:p>
        </w:tc>
        <w:tc>
          <w:tcPr>
            <w:tcW w:w="1741" w:type="dxa"/>
          </w:tcPr>
          <w:p w14:paraId="3646E0A2" w14:textId="77777777" w:rsidR="00B87C38" w:rsidRPr="00E44F3E" w:rsidRDefault="00B87C38">
            <w:pPr>
              <w:pStyle w:val="TableText"/>
              <w:keepLines/>
              <w:jc w:val="center"/>
            </w:pPr>
            <w:r w:rsidRPr="00E44F3E">
              <w:t xml:space="preserve">No </w:t>
            </w:r>
            <w:r>
              <w:t>a</w:t>
            </w:r>
            <w:r w:rsidRPr="00E44F3E">
              <w:t>pplication</w:t>
            </w:r>
          </w:p>
        </w:tc>
        <w:tc>
          <w:tcPr>
            <w:tcW w:w="727" w:type="dxa"/>
          </w:tcPr>
          <w:p w14:paraId="582474A0" w14:textId="77777777" w:rsidR="00B87C38" w:rsidRPr="00E44F3E" w:rsidRDefault="00B87C38">
            <w:pPr>
              <w:pStyle w:val="TableText"/>
              <w:keepLines/>
              <w:jc w:val="center"/>
            </w:pPr>
            <w:r w:rsidRPr="00E44F3E">
              <w:t>No</w:t>
            </w:r>
          </w:p>
        </w:tc>
      </w:tr>
      <w:tr w:rsidR="00B87C38" w:rsidRPr="00E44F3E" w14:paraId="47496C0E" w14:textId="77777777">
        <w:trPr>
          <w:cantSplit/>
          <w:trHeight w:val="20"/>
        </w:trPr>
        <w:tc>
          <w:tcPr>
            <w:tcW w:w="923" w:type="dxa"/>
          </w:tcPr>
          <w:p w14:paraId="1C46AC74" w14:textId="77777777" w:rsidR="00B87C38" w:rsidRPr="00E44F3E" w:rsidRDefault="00B87C38">
            <w:pPr>
              <w:pStyle w:val="TableText"/>
              <w:keepLines/>
              <w:jc w:val="center"/>
            </w:pPr>
            <w:r w:rsidRPr="00E44F3E">
              <w:t>1</w:t>
            </w:r>
          </w:p>
        </w:tc>
        <w:tc>
          <w:tcPr>
            <w:tcW w:w="1569" w:type="dxa"/>
          </w:tcPr>
          <w:p w14:paraId="5E529669" w14:textId="77777777" w:rsidR="00B87C38" w:rsidRPr="00E44F3E" w:rsidRDefault="00B87C38">
            <w:pPr>
              <w:pStyle w:val="TableText"/>
              <w:keepLines/>
            </w:pPr>
            <w:r w:rsidRPr="00E44F3E">
              <w:t xml:space="preserve">Brentuximab </w:t>
            </w:r>
            <w:proofErr w:type="spellStart"/>
            <w:r w:rsidRPr="00E44F3E">
              <w:t>vedotin</w:t>
            </w:r>
            <w:proofErr w:type="spellEnd"/>
          </w:p>
        </w:tc>
        <w:tc>
          <w:tcPr>
            <w:tcW w:w="2007" w:type="dxa"/>
          </w:tcPr>
          <w:p w14:paraId="216123CC" w14:textId="77777777" w:rsidR="00B87C38" w:rsidRPr="00E44F3E" w:rsidRDefault="00B87C38">
            <w:pPr>
              <w:pStyle w:val="TableText"/>
              <w:keepLines/>
            </w:pPr>
            <w:r w:rsidRPr="00E44F3E">
              <w:t>Monotherapy</w:t>
            </w:r>
          </w:p>
        </w:tc>
        <w:tc>
          <w:tcPr>
            <w:tcW w:w="1929" w:type="dxa"/>
          </w:tcPr>
          <w:p w14:paraId="26A700EF" w14:textId="77777777" w:rsidR="00B87C38" w:rsidRPr="00E44F3E" w:rsidRDefault="00B87C38">
            <w:pPr>
              <w:pStyle w:val="TableText"/>
              <w:keepLines/>
            </w:pPr>
            <w:r w:rsidRPr="00E44F3E">
              <w:t>T-cell lymphoma, cutaneous</w:t>
            </w:r>
          </w:p>
        </w:tc>
        <w:tc>
          <w:tcPr>
            <w:tcW w:w="2574" w:type="dxa"/>
          </w:tcPr>
          <w:p w14:paraId="6FDB90A9" w14:textId="77777777" w:rsidR="00B87C38" w:rsidRPr="00E44F3E" w:rsidRDefault="00B87C38">
            <w:pPr>
              <w:pStyle w:val="TableText"/>
              <w:keepLines/>
            </w:pPr>
            <w:r w:rsidRPr="00E44F3E">
              <w:t xml:space="preserve">Relapsed or refractory to prior treatment, CD30-positive </w:t>
            </w:r>
          </w:p>
        </w:tc>
        <w:tc>
          <w:tcPr>
            <w:tcW w:w="1380" w:type="dxa"/>
          </w:tcPr>
          <w:p w14:paraId="55499A4E" w14:textId="77777777" w:rsidR="00B87C38" w:rsidRPr="00E44F3E" w:rsidRDefault="00B87C38">
            <w:pPr>
              <w:pStyle w:val="TableText"/>
              <w:keepLines/>
              <w:jc w:val="center"/>
            </w:pPr>
            <w:r w:rsidRPr="00E44F3E">
              <w:t>Intravenous infusion</w:t>
            </w:r>
          </w:p>
        </w:tc>
        <w:tc>
          <w:tcPr>
            <w:tcW w:w="1148" w:type="dxa"/>
          </w:tcPr>
          <w:p w14:paraId="03B1865F" w14:textId="77777777" w:rsidR="00B87C38" w:rsidRPr="00E44F3E" w:rsidRDefault="00B87C38">
            <w:pPr>
              <w:pStyle w:val="TableText"/>
              <w:keepLines/>
              <w:jc w:val="center"/>
            </w:pPr>
            <w:r w:rsidRPr="00E44F3E">
              <w:t>Yes</w:t>
            </w:r>
          </w:p>
        </w:tc>
        <w:tc>
          <w:tcPr>
            <w:tcW w:w="1741" w:type="dxa"/>
          </w:tcPr>
          <w:p w14:paraId="4C7C8A6E" w14:textId="77777777" w:rsidR="00B87C38" w:rsidRPr="00E44F3E" w:rsidRDefault="00B87C38">
            <w:pPr>
              <w:pStyle w:val="TableText"/>
              <w:keepLines/>
              <w:jc w:val="center"/>
            </w:pPr>
            <w:r w:rsidRPr="00E44F3E">
              <w:t>No application</w:t>
            </w:r>
          </w:p>
        </w:tc>
        <w:tc>
          <w:tcPr>
            <w:tcW w:w="727" w:type="dxa"/>
          </w:tcPr>
          <w:p w14:paraId="60D78656" w14:textId="77777777" w:rsidR="00B87C38" w:rsidRPr="00E44F3E" w:rsidRDefault="00B87C38">
            <w:pPr>
              <w:pStyle w:val="TableText"/>
              <w:keepLines/>
              <w:jc w:val="center"/>
            </w:pPr>
            <w:r w:rsidRPr="00E44F3E">
              <w:t>Yes</w:t>
            </w:r>
          </w:p>
        </w:tc>
      </w:tr>
      <w:tr w:rsidR="00B87C38" w:rsidRPr="00E44F3E" w14:paraId="5F78AA87" w14:textId="77777777">
        <w:trPr>
          <w:cantSplit/>
          <w:trHeight w:val="20"/>
        </w:trPr>
        <w:tc>
          <w:tcPr>
            <w:tcW w:w="923" w:type="dxa"/>
          </w:tcPr>
          <w:p w14:paraId="66C3349E" w14:textId="77777777" w:rsidR="00B87C38" w:rsidRPr="00E44F3E" w:rsidRDefault="00B87C38">
            <w:pPr>
              <w:pStyle w:val="TableText"/>
              <w:keepLines/>
              <w:jc w:val="center"/>
            </w:pPr>
            <w:r w:rsidRPr="00E44F3E">
              <w:t>1</w:t>
            </w:r>
          </w:p>
        </w:tc>
        <w:tc>
          <w:tcPr>
            <w:tcW w:w="1569" w:type="dxa"/>
          </w:tcPr>
          <w:p w14:paraId="69C681F0" w14:textId="77777777" w:rsidR="00B87C38" w:rsidRPr="00E44F3E" w:rsidRDefault="00B87C38">
            <w:pPr>
              <w:pStyle w:val="TableText"/>
              <w:keepLines/>
            </w:pPr>
            <w:proofErr w:type="spellStart"/>
            <w:r w:rsidRPr="00E44F3E">
              <w:t>Vorinostat</w:t>
            </w:r>
            <w:proofErr w:type="spellEnd"/>
          </w:p>
        </w:tc>
        <w:tc>
          <w:tcPr>
            <w:tcW w:w="2007" w:type="dxa"/>
          </w:tcPr>
          <w:p w14:paraId="7F73CDA5" w14:textId="77777777" w:rsidR="00B87C38" w:rsidRPr="00E44F3E" w:rsidRDefault="00B87C38">
            <w:pPr>
              <w:pStyle w:val="TableText"/>
              <w:keepLines/>
            </w:pPr>
            <w:r w:rsidRPr="00E44F3E">
              <w:t>Monotherapy</w:t>
            </w:r>
          </w:p>
        </w:tc>
        <w:tc>
          <w:tcPr>
            <w:tcW w:w="1929" w:type="dxa"/>
          </w:tcPr>
          <w:p w14:paraId="18A51DA4" w14:textId="77777777" w:rsidR="00B87C38" w:rsidRPr="00E44F3E" w:rsidRDefault="00B87C38">
            <w:pPr>
              <w:pStyle w:val="TableText"/>
              <w:keepLines/>
            </w:pPr>
            <w:r w:rsidRPr="00E44F3E">
              <w:t xml:space="preserve">T-cell lymphoma, cutaneous </w:t>
            </w:r>
          </w:p>
        </w:tc>
        <w:tc>
          <w:tcPr>
            <w:tcW w:w="2574" w:type="dxa"/>
          </w:tcPr>
          <w:p w14:paraId="116EE93C" w14:textId="77777777" w:rsidR="00B87C38" w:rsidRPr="00E44F3E" w:rsidRDefault="00B87C38">
            <w:pPr>
              <w:pStyle w:val="TableText"/>
              <w:keepLines/>
            </w:pPr>
            <w:r w:rsidRPr="00E44F3E">
              <w:t xml:space="preserve">Relapsed or chemotherapy-refractory and ineligible for autologous </w:t>
            </w:r>
            <w:r w:rsidRPr="0011385C">
              <w:t>haematopoietic</w:t>
            </w:r>
            <w:r w:rsidRPr="00E44F3E">
              <w:t xml:space="preserve"> stem cell transplant</w:t>
            </w:r>
          </w:p>
        </w:tc>
        <w:tc>
          <w:tcPr>
            <w:tcW w:w="1380" w:type="dxa"/>
          </w:tcPr>
          <w:p w14:paraId="66F64F4D" w14:textId="77777777" w:rsidR="00B87C38" w:rsidRPr="00E44F3E" w:rsidRDefault="00B87C38">
            <w:pPr>
              <w:pStyle w:val="TableText"/>
              <w:keepLines/>
              <w:jc w:val="center"/>
            </w:pPr>
            <w:r w:rsidRPr="00E44F3E">
              <w:t>Oral capsule</w:t>
            </w:r>
          </w:p>
        </w:tc>
        <w:tc>
          <w:tcPr>
            <w:tcW w:w="1148" w:type="dxa"/>
          </w:tcPr>
          <w:p w14:paraId="124D3922" w14:textId="77777777" w:rsidR="00B87C38" w:rsidRPr="00E44F3E" w:rsidRDefault="00B87C38">
            <w:pPr>
              <w:pStyle w:val="TableText"/>
              <w:keepLines/>
              <w:jc w:val="center"/>
            </w:pPr>
            <w:r w:rsidRPr="00E44F3E">
              <w:t>No</w:t>
            </w:r>
          </w:p>
        </w:tc>
        <w:tc>
          <w:tcPr>
            <w:tcW w:w="1741" w:type="dxa"/>
          </w:tcPr>
          <w:p w14:paraId="37958001" w14:textId="77777777" w:rsidR="00B87C38" w:rsidRPr="00E44F3E" w:rsidRDefault="00B87C38">
            <w:pPr>
              <w:pStyle w:val="TableText"/>
              <w:keepLines/>
              <w:jc w:val="center"/>
            </w:pPr>
            <w:r w:rsidRPr="00E44F3E">
              <w:t>No application</w:t>
            </w:r>
          </w:p>
        </w:tc>
        <w:tc>
          <w:tcPr>
            <w:tcW w:w="727" w:type="dxa"/>
          </w:tcPr>
          <w:p w14:paraId="7D5C781B" w14:textId="77777777" w:rsidR="00B87C38" w:rsidRPr="00E44F3E" w:rsidRDefault="00B87C38">
            <w:pPr>
              <w:pStyle w:val="TableText"/>
              <w:keepLines/>
              <w:jc w:val="center"/>
            </w:pPr>
            <w:r w:rsidRPr="00E44F3E">
              <w:t>Yes</w:t>
            </w:r>
          </w:p>
        </w:tc>
      </w:tr>
      <w:tr w:rsidR="00B87C38" w:rsidRPr="00E44F3E" w14:paraId="0E10B8D4" w14:textId="77777777">
        <w:trPr>
          <w:cantSplit/>
          <w:trHeight w:val="20"/>
        </w:trPr>
        <w:tc>
          <w:tcPr>
            <w:tcW w:w="923" w:type="dxa"/>
          </w:tcPr>
          <w:p w14:paraId="3332EDA9" w14:textId="77777777" w:rsidR="00B87C38" w:rsidRPr="00E44F3E" w:rsidRDefault="00B87C38">
            <w:pPr>
              <w:pStyle w:val="TableText"/>
              <w:keepLines/>
              <w:jc w:val="center"/>
            </w:pPr>
            <w:r w:rsidRPr="00E44F3E">
              <w:t>1</w:t>
            </w:r>
          </w:p>
        </w:tc>
        <w:tc>
          <w:tcPr>
            <w:tcW w:w="1569" w:type="dxa"/>
          </w:tcPr>
          <w:p w14:paraId="43D44675" w14:textId="77777777" w:rsidR="00B87C38" w:rsidRPr="00E44F3E" w:rsidRDefault="00B87C38">
            <w:pPr>
              <w:pStyle w:val="TableText"/>
              <w:keepLines/>
            </w:pPr>
            <w:r w:rsidRPr="00E44F3E">
              <w:t xml:space="preserve">Acalabrutinib or </w:t>
            </w:r>
            <w:proofErr w:type="spellStart"/>
            <w:r>
              <w:t>z</w:t>
            </w:r>
            <w:r w:rsidRPr="00E44F3E">
              <w:t>anubrutinib</w:t>
            </w:r>
            <w:proofErr w:type="spellEnd"/>
            <w:r>
              <w:rPr>
                <w:vertAlign w:val="superscript"/>
              </w:rPr>
              <w:t>†</w:t>
            </w:r>
          </w:p>
        </w:tc>
        <w:tc>
          <w:tcPr>
            <w:tcW w:w="2007" w:type="dxa"/>
          </w:tcPr>
          <w:p w14:paraId="419FDD15" w14:textId="77777777" w:rsidR="00B87C38" w:rsidRPr="00E44F3E" w:rsidRDefault="00B87C38">
            <w:pPr>
              <w:pStyle w:val="TableText"/>
              <w:keepLines/>
            </w:pPr>
            <w:r w:rsidRPr="00E44F3E">
              <w:t>Monotherapy</w:t>
            </w:r>
          </w:p>
        </w:tc>
        <w:tc>
          <w:tcPr>
            <w:tcW w:w="1929" w:type="dxa"/>
          </w:tcPr>
          <w:p w14:paraId="2CF13BA8" w14:textId="77777777" w:rsidR="00B87C38" w:rsidRPr="00E44F3E" w:rsidRDefault="00B87C38">
            <w:pPr>
              <w:pStyle w:val="TableText"/>
              <w:keepLines/>
            </w:pPr>
            <w:r w:rsidRPr="00E44F3E">
              <w:t>Chronic lymphocytic leukaemia (CLL) or small lymphocytic lymphoma (SLL)</w:t>
            </w:r>
          </w:p>
        </w:tc>
        <w:tc>
          <w:tcPr>
            <w:tcW w:w="2574" w:type="dxa"/>
          </w:tcPr>
          <w:p w14:paraId="3D8A6B61" w14:textId="77777777" w:rsidR="00B87C38" w:rsidRPr="00E44F3E" w:rsidRDefault="00B87C38">
            <w:pPr>
              <w:pStyle w:val="TableText"/>
              <w:keepLines/>
            </w:pPr>
            <w:r w:rsidRPr="00E44F3E">
              <w:t xml:space="preserve">Previously untreated or intolerant to another first-line drug treatment </w:t>
            </w:r>
          </w:p>
        </w:tc>
        <w:tc>
          <w:tcPr>
            <w:tcW w:w="1380" w:type="dxa"/>
          </w:tcPr>
          <w:p w14:paraId="02464FCB" w14:textId="77777777" w:rsidR="00B87C38" w:rsidRPr="00E44F3E" w:rsidRDefault="00B87C38">
            <w:pPr>
              <w:pStyle w:val="TableText"/>
              <w:keepLines/>
              <w:jc w:val="center"/>
            </w:pPr>
            <w:r w:rsidRPr="00E44F3E">
              <w:t>Oral capsule</w:t>
            </w:r>
          </w:p>
        </w:tc>
        <w:tc>
          <w:tcPr>
            <w:tcW w:w="1148" w:type="dxa"/>
          </w:tcPr>
          <w:p w14:paraId="5E6FD345" w14:textId="77777777" w:rsidR="00B87C38" w:rsidRPr="00E44F3E" w:rsidRDefault="00B87C38">
            <w:pPr>
              <w:pStyle w:val="TableText"/>
              <w:keepLines/>
              <w:jc w:val="center"/>
            </w:pPr>
            <w:r w:rsidRPr="00E44F3E">
              <w:t>No</w:t>
            </w:r>
          </w:p>
        </w:tc>
        <w:tc>
          <w:tcPr>
            <w:tcW w:w="1741" w:type="dxa"/>
          </w:tcPr>
          <w:p w14:paraId="0308E493" w14:textId="0B9686AA" w:rsidR="00B87C38" w:rsidRPr="00543516" w:rsidRDefault="00B87C38">
            <w:pPr>
              <w:pStyle w:val="TableText"/>
              <w:keepLines/>
              <w:jc w:val="center"/>
            </w:pPr>
            <w:r w:rsidRPr="00DC239E">
              <w:t>Acalabrutinib</w:t>
            </w:r>
            <w:r w:rsidRPr="00543516">
              <w:t xml:space="preserve"> – </w:t>
            </w:r>
            <w:r>
              <w:t xml:space="preserve">no application </w:t>
            </w:r>
          </w:p>
          <w:p w14:paraId="0735921B" w14:textId="28B8DBD6" w:rsidR="00B87C38" w:rsidRPr="00E44F3E" w:rsidRDefault="00B87C38">
            <w:pPr>
              <w:pStyle w:val="TableText"/>
              <w:keepLines/>
              <w:jc w:val="center"/>
            </w:pPr>
            <w:r w:rsidRPr="00DC239E">
              <w:t>Zanubrutinib</w:t>
            </w:r>
            <w:r w:rsidRPr="00543516">
              <w:t xml:space="preserve"> – </w:t>
            </w:r>
            <w:r>
              <w:t>n</w:t>
            </w:r>
            <w:r w:rsidRPr="00543516">
              <w:t xml:space="preserve">o application for whole group. </w:t>
            </w:r>
            <w:r w:rsidRPr="00543516">
              <w:br/>
              <w:t xml:space="preserve">Application for 17p deletion or TP53 mutation disease, first line specifically – </w:t>
            </w:r>
            <w:r>
              <w:t xml:space="preserve">OFI list </w:t>
            </w:r>
          </w:p>
        </w:tc>
        <w:tc>
          <w:tcPr>
            <w:tcW w:w="727" w:type="dxa"/>
          </w:tcPr>
          <w:p w14:paraId="2D32B9DA" w14:textId="77777777" w:rsidR="00B87C38" w:rsidRPr="00E44F3E" w:rsidRDefault="00B87C38">
            <w:pPr>
              <w:pStyle w:val="TableText"/>
              <w:keepLines/>
              <w:jc w:val="center"/>
            </w:pPr>
            <w:r w:rsidRPr="00E44F3E">
              <w:t>No</w:t>
            </w:r>
          </w:p>
        </w:tc>
      </w:tr>
      <w:tr w:rsidR="00B87C38" w:rsidRPr="00E44F3E" w14:paraId="17C55F20" w14:textId="77777777">
        <w:trPr>
          <w:cantSplit/>
          <w:trHeight w:val="20"/>
        </w:trPr>
        <w:tc>
          <w:tcPr>
            <w:tcW w:w="923" w:type="dxa"/>
          </w:tcPr>
          <w:p w14:paraId="328F630A" w14:textId="77777777" w:rsidR="00B87C38" w:rsidRPr="00E44F3E" w:rsidRDefault="00B87C38">
            <w:pPr>
              <w:pStyle w:val="TableText"/>
              <w:keepLines/>
              <w:jc w:val="center"/>
            </w:pPr>
            <w:r w:rsidRPr="00E44F3E">
              <w:t>NEB</w:t>
            </w:r>
          </w:p>
        </w:tc>
        <w:tc>
          <w:tcPr>
            <w:tcW w:w="1569" w:type="dxa"/>
          </w:tcPr>
          <w:p w14:paraId="41D73370" w14:textId="77777777" w:rsidR="00B87C38" w:rsidRPr="00E44F3E" w:rsidRDefault="00B87C38">
            <w:pPr>
              <w:pStyle w:val="TableText"/>
              <w:keepLines/>
            </w:pPr>
            <w:r w:rsidRPr="00E44F3E">
              <w:t>Bendamustine</w:t>
            </w:r>
            <w:r>
              <w:rPr>
                <w:vertAlign w:val="superscript"/>
              </w:rPr>
              <w:t>‡</w:t>
            </w:r>
          </w:p>
        </w:tc>
        <w:tc>
          <w:tcPr>
            <w:tcW w:w="2007" w:type="dxa"/>
          </w:tcPr>
          <w:p w14:paraId="77DD25BD" w14:textId="77777777" w:rsidR="00B87C38" w:rsidRPr="00E44F3E" w:rsidRDefault="00B87C38">
            <w:pPr>
              <w:pStyle w:val="TableText"/>
              <w:keepLines/>
            </w:pPr>
            <w:r w:rsidRPr="00E44F3E">
              <w:t>Obinutuzumab</w:t>
            </w:r>
            <w:r>
              <w:rPr>
                <w:vertAlign w:val="superscript"/>
              </w:rPr>
              <w:t>‡</w:t>
            </w:r>
            <w:r w:rsidRPr="00E44F3E">
              <w:t xml:space="preserve"> </w:t>
            </w:r>
            <w:r>
              <w:t>or</w:t>
            </w:r>
            <w:r w:rsidRPr="00E44F3E">
              <w:t xml:space="preserve"> rituximab </w:t>
            </w:r>
          </w:p>
        </w:tc>
        <w:tc>
          <w:tcPr>
            <w:tcW w:w="1929" w:type="dxa"/>
          </w:tcPr>
          <w:p w14:paraId="79FDC848" w14:textId="77777777" w:rsidR="00B87C38" w:rsidRPr="00E44F3E" w:rsidRDefault="00B87C38">
            <w:pPr>
              <w:pStyle w:val="TableText"/>
              <w:keepLines/>
            </w:pPr>
            <w:r w:rsidRPr="00E44F3E">
              <w:t>Follicular lymphoma stage II bulky or stage III/IV</w:t>
            </w:r>
          </w:p>
        </w:tc>
        <w:tc>
          <w:tcPr>
            <w:tcW w:w="2574" w:type="dxa"/>
          </w:tcPr>
          <w:p w14:paraId="17F95F7B" w14:textId="77777777" w:rsidR="00B87C38" w:rsidRPr="00E44F3E" w:rsidRDefault="00B87C38">
            <w:pPr>
              <w:pStyle w:val="TableText"/>
              <w:keepLines/>
            </w:pPr>
            <w:r w:rsidRPr="00E44F3E">
              <w:t>Induction, previously untreated, CD20-positive</w:t>
            </w:r>
          </w:p>
        </w:tc>
        <w:tc>
          <w:tcPr>
            <w:tcW w:w="1380" w:type="dxa"/>
          </w:tcPr>
          <w:p w14:paraId="54D0A5C2" w14:textId="77777777" w:rsidR="00B87C38" w:rsidRPr="00E44F3E" w:rsidRDefault="00B87C38">
            <w:pPr>
              <w:pStyle w:val="TableText"/>
              <w:keepLines/>
              <w:jc w:val="center"/>
            </w:pPr>
            <w:r w:rsidRPr="00E44F3E">
              <w:t>Intravenous infusion</w:t>
            </w:r>
          </w:p>
        </w:tc>
        <w:tc>
          <w:tcPr>
            <w:tcW w:w="1148" w:type="dxa"/>
          </w:tcPr>
          <w:p w14:paraId="6373E688" w14:textId="77777777" w:rsidR="00B87C38" w:rsidRPr="00E44F3E" w:rsidRDefault="00B87C38">
            <w:pPr>
              <w:pStyle w:val="TableText"/>
              <w:keepLines/>
              <w:jc w:val="center"/>
            </w:pPr>
            <w:r w:rsidRPr="00E44F3E">
              <w:t>Yes</w:t>
            </w:r>
          </w:p>
        </w:tc>
        <w:tc>
          <w:tcPr>
            <w:tcW w:w="1741" w:type="dxa"/>
          </w:tcPr>
          <w:p w14:paraId="705FCE30" w14:textId="77777777" w:rsidR="00B87C38" w:rsidRPr="00E44F3E" w:rsidRDefault="00B87C38">
            <w:pPr>
              <w:pStyle w:val="TableText"/>
              <w:keepLines/>
              <w:jc w:val="center"/>
            </w:pPr>
            <w:r w:rsidRPr="00E44F3E">
              <w:t>No application</w:t>
            </w:r>
          </w:p>
        </w:tc>
        <w:tc>
          <w:tcPr>
            <w:tcW w:w="727" w:type="dxa"/>
          </w:tcPr>
          <w:p w14:paraId="2675FF06" w14:textId="77777777" w:rsidR="00B87C38" w:rsidRPr="00E44F3E" w:rsidRDefault="00B87C38">
            <w:pPr>
              <w:pStyle w:val="TableText"/>
              <w:keepLines/>
              <w:jc w:val="center"/>
            </w:pPr>
            <w:r w:rsidRPr="00E44F3E">
              <w:t>Yes</w:t>
            </w:r>
          </w:p>
        </w:tc>
      </w:tr>
      <w:tr w:rsidR="00B87C38" w:rsidRPr="00E44F3E" w14:paraId="6E62414E" w14:textId="77777777">
        <w:trPr>
          <w:cantSplit/>
          <w:trHeight w:val="20"/>
        </w:trPr>
        <w:tc>
          <w:tcPr>
            <w:tcW w:w="923" w:type="dxa"/>
          </w:tcPr>
          <w:p w14:paraId="09DF0F38" w14:textId="77777777" w:rsidR="00B87C38" w:rsidRPr="00E44F3E" w:rsidRDefault="00B87C38">
            <w:pPr>
              <w:pStyle w:val="TableText"/>
              <w:keepLines/>
              <w:jc w:val="center"/>
            </w:pPr>
            <w:r w:rsidRPr="00E44F3E">
              <w:lastRenderedPageBreak/>
              <w:t>NEB</w:t>
            </w:r>
          </w:p>
        </w:tc>
        <w:tc>
          <w:tcPr>
            <w:tcW w:w="1569" w:type="dxa"/>
          </w:tcPr>
          <w:p w14:paraId="4D577A7C" w14:textId="77777777" w:rsidR="00B87C38" w:rsidRPr="00E44F3E" w:rsidRDefault="00B87C38">
            <w:pPr>
              <w:pStyle w:val="TableText"/>
              <w:keepLines/>
            </w:pPr>
            <w:r w:rsidRPr="00E44F3E">
              <w:t>Obinutuzumab</w:t>
            </w:r>
          </w:p>
        </w:tc>
        <w:tc>
          <w:tcPr>
            <w:tcW w:w="2007" w:type="dxa"/>
          </w:tcPr>
          <w:p w14:paraId="3002C828" w14:textId="77777777" w:rsidR="00B87C38" w:rsidRPr="00E44F3E" w:rsidRDefault="00B87C38">
            <w:pPr>
              <w:pStyle w:val="TableText"/>
              <w:keepLines/>
            </w:pPr>
            <w:r w:rsidRPr="00E44F3E">
              <w:t>Bendamustine</w:t>
            </w:r>
            <w:r>
              <w:rPr>
                <w:vertAlign w:val="superscript"/>
              </w:rPr>
              <w:t>‡</w:t>
            </w:r>
            <w:r w:rsidRPr="00E44F3E">
              <w:t xml:space="preserve"> </w:t>
            </w:r>
          </w:p>
        </w:tc>
        <w:tc>
          <w:tcPr>
            <w:tcW w:w="1929" w:type="dxa"/>
          </w:tcPr>
          <w:p w14:paraId="75C56997" w14:textId="77777777" w:rsidR="00B87C38" w:rsidRPr="00E44F3E" w:rsidRDefault="00B87C38">
            <w:pPr>
              <w:pStyle w:val="TableText"/>
              <w:keepLines/>
            </w:pPr>
            <w:r w:rsidRPr="00E44F3E">
              <w:t>Follicular lymphoma stage II bulky or stage III/IV</w:t>
            </w:r>
          </w:p>
        </w:tc>
        <w:tc>
          <w:tcPr>
            <w:tcW w:w="2574" w:type="dxa"/>
          </w:tcPr>
          <w:p w14:paraId="3170B580" w14:textId="77777777" w:rsidR="00B87C38" w:rsidRPr="00E44F3E" w:rsidRDefault="00B87C38">
            <w:pPr>
              <w:pStyle w:val="TableText"/>
              <w:keepLines/>
            </w:pPr>
            <w:r w:rsidRPr="00E44F3E">
              <w:t>Induction, previously untreated, CD20-positive</w:t>
            </w:r>
          </w:p>
        </w:tc>
        <w:tc>
          <w:tcPr>
            <w:tcW w:w="1380" w:type="dxa"/>
          </w:tcPr>
          <w:p w14:paraId="4BEFBBDA" w14:textId="77777777" w:rsidR="00B87C38" w:rsidRPr="00E44F3E" w:rsidRDefault="00B87C38">
            <w:pPr>
              <w:pStyle w:val="TableText"/>
              <w:keepLines/>
              <w:jc w:val="center"/>
            </w:pPr>
            <w:r w:rsidRPr="00E44F3E">
              <w:t>Intravenous infusion</w:t>
            </w:r>
          </w:p>
        </w:tc>
        <w:tc>
          <w:tcPr>
            <w:tcW w:w="1148" w:type="dxa"/>
          </w:tcPr>
          <w:p w14:paraId="4706778E" w14:textId="77777777" w:rsidR="00B87C38" w:rsidRPr="00E44F3E" w:rsidRDefault="00B87C38">
            <w:pPr>
              <w:pStyle w:val="TableText"/>
              <w:keepLines/>
              <w:jc w:val="center"/>
            </w:pPr>
            <w:r w:rsidRPr="00E44F3E">
              <w:t>Yes</w:t>
            </w:r>
          </w:p>
        </w:tc>
        <w:tc>
          <w:tcPr>
            <w:tcW w:w="1741" w:type="dxa"/>
          </w:tcPr>
          <w:p w14:paraId="5E2568DD" w14:textId="77777777" w:rsidR="00B87C38" w:rsidRPr="00E44F3E" w:rsidRDefault="00B87C38">
            <w:pPr>
              <w:pStyle w:val="TableText"/>
              <w:keepLines/>
              <w:jc w:val="center"/>
            </w:pPr>
            <w:r>
              <w:t>Application declined</w:t>
            </w:r>
          </w:p>
        </w:tc>
        <w:tc>
          <w:tcPr>
            <w:tcW w:w="727" w:type="dxa"/>
          </w:tcPr>
          <w:p w14:paraId="5C34BDCD" w14:textId="77777777" w:rsidR="00B87C38" w:rsidRPr="00E44F3E" w:rsidRDefault="00B87C38">
            <w:pPr>
              <w:pStyle w:val="TableText"/>
              <w:keepLines/>
              <w:jc w:val="center"/>
            </w:pPr>
            <w:r w:rsidRPr="00E44F3E">
              <w:t>Yes</w:t>
            </w:r>
          </w:p>
        </w:tc>
      </w:tr>
      <w:tr w:rsidR="00B87C38" w:rsidRPr="00E44F3E" w14:paraId="3CCC7AF0" w14:textId="77777777">
        <w:trPr>
          <w:cantSplit/>
          <w:trHeight w:val="20"/>
        </w:trPr>
        <w:tc>
          <w:tcPr>
            <w:tcW w:w="923" w:type="dxa"/>
          </w:tcPr>
          <w:p w14:paraId="4A703363" w14:textId="77777777" w:rsidR="00B87C38" w:rsidRPr="00E44F3E" w:rsidRDefault="00B87C38">
            <w:pPr>
              <w:pStyle w:val="TableText"/>
              <w:keepLines/>
              <w:jc w:val="center"/>
            </w:pPr>
            <w:r w:rsidRPr="00E44F3E">
              <w:t>Not scorable</w:t>
            </w:r>
          </w:p>
        </w:tc>
        <w:tc>
          <w:tcPr>
            <w:tcW w:w="1569" w:type="dxa"/>
          </w:tcPr>
          <w:p w14:paraId="4D704617" w14:textId="77777777" w:rsidR="00B87C38" w:rsidRPr="00E44F3E" w:rsidRDefault="00B87C38">
            <w:pPr>
              <w:pStyle w:val="TableText"/>
              <w:keepLines/>
            </w:pPr>
            <w:proofErr w:type="spellStart"/>
            <w:r w:rsidRPr="00E44F3E">
              <w:t>Asciminib</w:t>
            </w:r>
            <w:proofErr w:type="spellEnd"/>
          </w:p>
        </w:tc>
        <w:tc>
          <w:tcPr>
            <w:tcW w:w="2007" w:type="dxa"/>
          </w:tcPr>
          <w:p w14:paraId="673DB420" w14:textId="77777777" w:rsidR="00B87C38" w:rsidRPr="00E44F3E" w:rsidRDefault="00B87C38">
            <w:pPr>
              <w:pStyle w:val="TableText"/>
              <w:keepLines/>
            </w:pPr>
            <w:r w:rsidRPr="00E44F3E">
              <w:t>Monotherapy</w:t>
            </w:r>
          </w:p>
        </w:tc>
        <w:tc>
          <w:tcPr>
            <w:tcW w:w="1929" w:type="dxa"/>
          </w:tcPr>
          <w:p w14:paraId="45340C50" w14:textId="77777777" w:rsidR="00B87C38" w:rsidRPr="00E44F3E" w:rsidRDefault="00B87C38">
            <w:pPr>
              <w:pStyle w:val="TableText"/>
              <w:keepLines/>
            </w:pPr>
            <w:r w:rsidRPr="00E44F3E">
              <w:t>Chronic myeloid leukaemia (CML)</w:t>
            </w:r>
          </w:p>
        </w:tc>
        <w:tc>
          <w:tcPr>
            <w:tcW w:w="2574" w:type="dxa"/>
          </w:tcPr>
          <w:p w14:paraId="78C926FC" w14:textId="77777777" w:rsidR="00B87C38" w:rsidRPr="00E44F3E" w:rsidRDefault="00B87C38">
            <w:pPr>
              <w:pStyle w:val="TableText"/>
              <w:keepLines/>
            </w:pPr>
            <w:r w:rsidRPr="00E44F3E">
              <w:t xml:space="preserve">Philadelphia chromosome positive or with transcript BCR-ABL1 tyrosine kinase chronic myeloid leukaemia in chronic phase </w:t>
            </w:r>
            <w:r>
              <w:t>w</w:t>
            </w:r>
            <w:r w:rsidRPr="00E44F3E">
              <w:t>ith the T315I mutation</w:t>
            </w:r>
          </w:p>
        </w:tc>
        <w:tc>
          <w:tcPr>
            <w:tcW w:w="1380" w:type="dxa"/>
          </w:tcPr>
          <w:p w14:paraId="57E98E27" w14:textId="77777777" w:rsidR="00B87C38" w:rsidRPr="00E44F3E" w:rsidRDefault="00B87C38">
            <w:pPr>
              <w:pStyle w:val="TableText"/>
              <w:keepLines/>
              <w:jc w:val="center"/>
            </w:pPr>
            <w:r w:rsidRPr="00E44F3E">
              <w:t>Oral</w:t>
            </w:r>
            <w:r>
              <w:t xml:space="preserve"> </w:t>
            </w:r>
            <w:r w:rsidRPr="00E44F3E">
              <w:t>tablet</w:t>
            </w:r>
          </w:p>
        </w:tc>
        <w:tc>
          <w:tcPr>
            <w:tcW w:w="1148" w:type="dxa"/>
          </w:tcPr>
          <w:p w14:paraId="35FF4AB5" w14:textId="77777777" w:rsidR="00B87C38" w:rsidRPr="00E44F3E" w:rsidRDefault="00B87C38">
            <w:pPr>
              <w:pStyle w:val="TableText"/>
              <w:keepLines/>
              <w:jc w:val="center"/>
            </w:pPr>
            <w:r w:rsidRPr="00E44F3E">
              <w:t>No</w:t>
            </w:r>
          </w:p>
        </w:tc>
        <w:tc>
          <w:tcPr>
            <w:tcW w:w="1741" w:type="dxa"/>
          </w:tcPr>
          <w:p w14:paraId="1DE1C1BF" w14:textId="34094439" w:rsidR="00B87C38" w:rsidRPr="00E44F3E" w:rsidRDefault="006710FF">
            <w:pPr>
              <w:pStyle w:val="TableText"/>
              <w:keepLines/>
              <w:jc w:val="center"/>
            </w:pPr>
            <w:r>
              <w:t xml:space="preserve">No application </w:t>
            </w:r>
          </w:p>
        </w:tc>
        <w:tc>
          <w:tcPr>
            <w:tcW w:w="727" w:type="dxa"/>
          </w:tcPr>
          <w:p w14:paraId="78D27481" w14:textId="77777777" w:rsidR="00B87C38" w:rsidRPr="00E44F3E" w:rsidRDefault="00B87C38">
            <w:pPr>
              <w:pStyle w:val="TableText"/>
              <w:keepLines/>
              <w:jc w:val="center"/>
            </w:pPr>
            <w:r w:rsidRPr="00E44F3E">
              <w:t>No</w:t>
            </w:r>
          </w:p>
        </w:tc>
      </w:tr>
      <w:tr w:rsidR="00B87C38" w:rsidRPr="00E44F3E" w14:paraId="3EE8D752" w14:textId="77777777">
        <w:trPr>
          <w:cantSplit/>
          <w:trHeight w:val="20"/>
        </w:trPr>
        <w:tc>
          <w:tcPr>
            <w:tcW w:w="923" w:type="dxa"/>
          </w:tcPr>
          <w:p w14:paraId="0B952F9E" w14:textId="77777777" w:rsidR="00B87C38" w:rsidRPr="00E44F3E" w:rsidRDefault="00B87C38">
            <w:pPr>
              <w:pStyle w:val="TableText"/>
              <w:keepLines/>
              <w:jc w:val="center"/>
            </w:pPr>
            <w:r w:rsidRPr="00E44F3E">
              <w:t>Not scorable</w:t>
            </w:r>
          </w:p>
        </w:tc>
        <w:tc>
          <w:tcPr>
            <w:tcW w:w="1569" w:type="dxa"/>
          </w:tcPr>
          <w:p w14:paraId="75507F7C" w14:textId="77777777" w:rsidR="00B87C38" w:rsidRPr="00E44F3E" w:rsidRDefault="00B87C38">
            <w:pPr>
              <w:pStyle w:val="TableText"/>
              <w:keepLines/>
            </w:pPr>
            <w:r w:rsidRPr="00E44F3E">
              <w:t>Azacitidine</w:t>
            </w:r>
          </w:p>
        </w:tc>
        <w:tc>
          <w:tcPr>
            <w:tcW w:w="2007" w:type="dxa"/>
          </w:tcPr>
          <w:p w14:paraId="2C37B601" w14:textId="77777777" w:rsidR="00B87C38" w:rsidRPr="00E44F3E" w:rsidRDefault="00B87C38">
            <w:pPr>
              <w:pStyle w:val="TableText"/>
              <w:keepLines/>
            </w:pPr>
            <w:r w:rsidRPr="00E44F3E">
              <w:t>Monotherapy</w:t>
            </w:r>
          </w:p>
        </w:tc>
        <w:tc>
          <w:tcPr>
            <w:tcW w:w="1929" w:type="dxa"/>
          </w:tcPr>
          <w:p w14:paraId="704E04E0" w14:textId="77777777" w:rsidR="00B87C38" w:rsidRPr="00E44F3E" w:rsidRDefault="00B87C38">
            <w:pPr>
              <w:pStyle w:val="TableText"/>
              <w:keepLines/>
            </w:pPr>
            <w:r w:rsidRPr="00E44F3E">
              <w:t>Acute myeloid leukaemia (AML)</w:t>
            </w:r>
          </w:p>
        </w:tc>
        <w:tc>
          <w:tcPr>
            <w:tcW w:w="2574" w:type="dxa"/>
          </w:tcPr>
          <w:p w14:paraId="7C1DEE45" w14:textId="77777777" w:rsidR="00B87C38" w:rsidRPr="00E44F3E" w:rsidRDefault="00B87C38">
            <w:pPr>
              <w:pStyle w:val="TableText"/>
              <w:keepLines/>
            </w:pPr>
            <w:r w:rsidRPr="00E44F3E">
              <w:t xml:space="preserve">Intermediate or poor risk at diagnosis. Treatment follows intensive induction chemotherapy, with complete remission, in patients who have not undergone or are not proceeding to allogeneic </w:t>
            </w:r>
            <w:r w:rsidRPr="0011385C">
              <w:t>haematopoietic</w:t>
            </w:r>
            <w:r w:rsidRPr="00E44F3E">
              <w:t xml:space="preserve"> stem cell transplant</w:t>
            </w:r>
          </w:p>
        </w:tc>
        <w:tc>
          <w:tcPr>
            <w:tcW w:w="1380" w:type="dxa"/>
          </w:tcPr>
          <w:p w14:paraId="234AD8A9" w14:textId="77777777" w:rsidR="00B87C38" w:rsidRPr="00E44F3E" w:rsidRDefault="00B87C38">
            <w:pPr>
              <w:pStyle w:val="TableText"/>
              <w:keepLines/>
              <w:jc w:val="center"/>
            </w:pPr>
            <w:r w:rsidRPr="00E44F3E">
              <w:t>Oral tablet</w:t>
            </w:r>
          </w:p>
        </w:tc>
        <w:tc>
          <w:tcPr>
            <w:tcW w:w="1148" w:type="dxa"/>
          </w:tcPr>
          <w:p w14:paraId="09668E29" w14:textId="77777777" w:rsidR="00B87C38" w:rsidRPr="00E44F3E" w:rsidRDefault="00B87C38">
            <w:pPr>
              <w:pStyle w:val="TableText"/>
              <w:keepLines/>
              <w:jc w:val="center"/>
            </w:pPr>
            <w:r w:rsidRPr="00E44F3E">
              <w:t>Yes</w:t>
            </w:r>
          </w:p>
        </w:tc>
        <w:tc>
          <w:tcPr>
            <w:tcW w:w="1741" w:type="dxa"/>
          </w:tcPr>
          <w:p w14:paraId="3E68684D" w14:textId="77777777" w:rsidR="00B87C38" w:rsidRPr="00E44F3E" w:rsidRDefault="00B87C38">
            <w:pPr>
              <w:pStyle w:val="TableText"/>
              <w:keepLines/>
              <w:jc w:val="center"/>
            </w:pPr>
            <w:r w:rsidRPr="00E44F3E">
              <w:t>No application</w:t>
            </w:r>
          </w:p>
        </w:tc>
        <w:tc>
          <w:tcPr>
            <w:tcW w:w="727" w:type="dxa"/>
          </w:tcPr>
          <w:p w14:paraId="46762EA9" w14:textId="77777777" w:rsidR="00B87C38" w:rsidRPr="00E44F3E" w:rsidRDefault="00B87C38">
            <w:pPr>
              <w:pStyle w:val="TableText"/>
              <w:keepLines/>
              <w:jc w:val="center"/>
            </w:pPr>
            <w:r w:rsidRPr="00E44F3E">
              <w:t>No</w:t>
            </w:r>
          </w:p>
        </w:tc>
      </w:tr>
      <w:tr w:rsidR="00B87C38" w:rsidRPr="00E44F3E" w14:paraId="1EDF743C" w14:textId="77777777">
        <w:trPr>
          <w:cantSplit/>
          <w:trHeight w:val="20"/>
        </w:trPr>
        <w:tc>
          <w:tcPr>
            <w:tcW w:w="923" w:type="dxa"/>
          </w:tcPr>
          <w:p w14:paraId="05993B09" w14:textId="77777777" w:rsidR="00B87C38" w:rsidRPr="00E44F3E" w:rsidRDefault="00B87C38">
            <w:pPr>
              <w:pStyle w:val="TableText"/>
              <w:keepLines/>
              <w:jc w:val="center"/>
            </w:pPr>
            <w:r w:rsidRPr="00E44F3E">
              <w:t>Not scorable</w:t>
            </w:r>
          </w:p>
        </w:tc>
        <w:tc>
          <w:tcPr>
            <w:tcW w:w="1569" w:type="dxa"/>
          </w:tcPr>
          <w:p w14:paraId="627A7E5E" w14:textId="77777777" w:rsidR="00B87C38" w:rsidRPr="00E44F3E" w:rsidRDefault="00B87C38">
            <w:pPr>
              <w:pStyle w:val="TableText"/>
              <w:keepLines/>
            </w:pPr>
            <w:r w:rsidRPr="00E44F3E">
              <w:t xml:space="preserve">Decitabine with </w:t>
            </w:r>
            <w:proofErr w:type="spellStart"/>
            <w:r w:rsidRPr="00E44F3E">
              <w:t>cedazuridine</w:t>
            </w:r>
            <w:proofErr w:type="spellEnd"/>
          </w:p>
        </w:tc>
        <w:tc>
          <w:tcPr>
            <w:tcW w:w="2007" w:type="dxa"/>
          </w:tcPr>
          <w:p w14:paraId="104EBB89" w14:textId="77777777" w:rsidR="00B87C38" w:rsidRPr="00E44F3E" w:rsidRDefault="00B87C38">
            <w:pPr>
              <w:pStyle w:val="TableText"/>
              <w:keepLines/>
            </w:pPr>
            <w:r w:rsidRPr="00E44F3E">
              <w:t>Not specified</w:t>
            </w:r>
          </w:p>
        </w:tc>
        <w:tc>
          <w:tcPr>
            <w:tcW w:w="1929" w:type="dxa"/>
          </w:tcPr>
          <w:p w14:paraId="377D3303" w14:textId="77777777" w:rsidR="00B87C38" w:rsidRPr="00E44F3E" w:rsidRDefault="00B87C38">
            <w:pPr>
              <w:pStyle w:val="TableText"/>
              <w:keepLines/>
            </w:pPr>
            <w:r w:rsidRPr="00E44F3E">
              <w:t>Acute myeloid leukaemia (AML)</w:t>
            </w:r>
          </w:p>
        </w:tc>
        <w:tc>
          <w:tcPr>
            <w:tcW w:w="2574" w:type="dxa"/>
          </w:tcPr>
          <w:p w14:paraId="591AD56D" w14:textId="77777777" w:rsidR="00B87C38" w:rsidRPr="00E44F3E" w:rsidRDefault="00B87C38">
            <w:pPr>
              <w:pStyle w:val="TableText"/>
              <w:keepLines/>
            </w:pPr>
            <w:r w:rsidRPr="00E44F3E">
              <w:t>With 20%</w:t>
            </w:r>
            <w:r>
              <w:t>–</w:t>
            </w:r>
            <w:r w:rsidRPr="00E44F3E">
              <w:t>30% marrow blasts and multi-lineage dysplasia</w:t>
            </w:r>
          </w:p>
        </w:tc>
        <w:tc>
          <w:tcPr>
            <w:tcW w:w="1380" w:type="dxa"/>
          </w:tcPr>
          <w:p w14:paraId="757AA08B" w14:textId="77777777" w:rsidR="00B87C38" w:rsidRPr="00E44F3E" w:rsidRDefault="00B87C38">
            <w:pPr>
              <w:pStyle w:val="TableText"/>
              <w:keepLines/>
              <w:jc w:val="center"/>
            </w:pPr>
            <w:r w:rsidRPr="00E44F3E">
              <w:t>Oral tablet</w:t>
            </w:r>
          </w:p>
        </w:tc>
        <w:tc>
          <w:tcPr>
            <w:tcW w:w="1148" w:type="dxa"/>
          </w:tcPr>
          <w:p w14:paraId="7C6DEE8D" w14:textId="77777777" w:rsidR="00B87C38" w:rsidRPr="00E44F3E" w:rsidRDefault="00B87C38">
            <w:pPr>
              <w:pStyle w:val="TableText"/>
              <w:keepLines/>
              <w:jc w:val="center"/>
            </w:pPr>
            <w:r w:rsidRPr="00E44F3E">
              <w:t>No</w:t>
            </w:r>
          </w:p>
        </w:tc>
        <w:tc>
          <w:tcPr>
            <w:tcW w:w="1741" w:type="dxa"/>
          </w:tcPr>
          <w:p w14:paraId="20659362" w14:textId="77777777" w:rsidR="00B87C38" w:rsidRPr="00E44F3E" w:rsidRDefault="00B87C38">
            <w:pPr>
              <w:pStyle w:val="TableText"/>
              <w:keepLines/>
              <w:jc w:val="center"/>
            </w:pPr>
            <w:r w:rsidRPr="00E44F3E">
              <w:t>No application</w:t>
            </w:r>
          </w:p>
        </w:tc>
        <w:tc>
          <w:tcPr>
            <w:tcW w:w="727" w:type="dxa"/>
          </w:tcPr>
          <w:p w14:paraId="73D3C953" w14:textId="77777777" w:rsidR="00B87C38" w:rsidRPr="00E44F3E" w:rsidRDefault="00B87C38">
            <w:pPr>
              <w:pStyle w:val="TableText"/>
              <w:keepLines/>
              <w:jc w:val="center"/>
            </w:pPr>
            <w:r w:rsidRPr="00E44F3E">
              <w:t>No</w:t>
            </w:r>
          </w:p>
        </w:tc>
      </w:tr>
      <w:tr w:rsidR="00B87C38" w:rsidRPr="00E44F3E" w14:paraId="22E9B112" w14:textId="77777777">
        <w:trPr>
          <w:cantSplit/>
          <w:trHeight w:val="20"/>
        </w:trPr>
        <w:tc>
          <w:tcPr>
            <w:tcW w:w="923" w:type="dxa"/>
          </w:tcPr>
          <w:p w14:paraId="7D7AD7AB" w14:textId="77777777" w:rsidR="00B87C38" w:rsidRPr="00E44F3E" w:rsidRDefault="00B87C38">
            <w:pPr>
              <w:pStyle w:val="TableText"/>
              <w:keepLines/>
              <w:jc w:val="center"/>
            </w:pPr>
            <w:r w:rsidRPr="00E44F3E">
              <w:t>Not scorable</w:t>
            </w:r>
          </w:p>
        </w:tc>
        <w:tc>
          <w:tcPr>
            <w:tcW w:w="1569" w:type="dxa"/>
          </w:tcPr>
          <w:p w14:paraId="6CB0ABF6" w14:textId="77777777" w:rsidR="00B87C38" w:rsidRPr="00E44F3E" w:rsidRDefault="00B87C38">
            <w:pPr>
              <w:pStyle w:val="TableText"/>
              <w:keepLines/>
            </w:pPr>
            <w:r w:rsidRPr="00E44F3E">
              <w:t xml:space="preserve">Decitabine with </w:t>
            </w:r>
            <w:proofErr w:type="spellStart"/>
            <w:r w:rsidRPr="00E44F3E">
              <w:t>cedazuridine</w:t>
            </w:r>
            <w:proofErr w:type="spellEnd"/>
          </w:p>
        </w:tc>
        <w:tc>
          <w:tcPr>
            <w:tcW w:w="2007" w:type="dxa"/>
          </w:tcPr>
          <w:p w14:paraId="50C1EB7C" w14:textId="77777777" w:rsidR="00B87C38" w:rsidRPr="00E44F3E" w:rsidRDefault="00B87C38">
            <w:pPr>
              <w:pStyle w:val="TableText"/>
              <w:keepLines/>
            </w:pPr>
            <w:r w:rsidRPr="00E44F3E">
              <w:t>Not specified</w:t>
            </w:r>
          </w:p>
        </w:tc>
        <w:tc>
          <w:tcPr>
            <w:tcW w:w="1929" w:type="dxa"/>
          </w:tcPr>
          <w:p w14:paraId="3A73DC46" w14:textId="77777777" w:rsidR="00B87C38" w:rsidRPr="00E44F3E" w:rsidRDefault="00B87C38">
            <w:pPr>
              <w:pStyle w:val="TableText"/>
              <w:keepLines/>
            </w:pPr>
            <w:r w:rsidRPr="00E44F3E">
              <w:t>Chronic myelomonocytic leukaemia (CMML)</w:t>
            </w:r>
          </w:p>
        </w:tc>
        <w:tc>
          <w:tcPr>
            <w:tcW w:w="2574" w:type="dxa"/>
          </w:tcPr>
          <w:p w14:paraId="09D6364F" w14:textId="77777777" w:rsidR="00B87C38" w:rsidRPr="00E44F3E" w:rsidRDefault="00B87C38">
            <w:pPr>
              <w:pStyle w:val="TableText"/>
              <w:keepLines/>
            </w:pPr>
            <w:r w:rsidRPr="00E44F3E">
              <w:t>With 10%</w:t>
            </w:r>
            <w:r>
              <w:t>–</w:t>
            </w:r>
            <w:r w:rsidRPr="00E44F3E">
              <w:t>29% marrow blasts without myeloproliferative disorder</w:t>
            </w:r>
            <w:r w:rsidRPr="00E44F3E" w:rsidDel="00E238B3">
              <w:t xml:space="preserve"> </w:t>
            </w:r>
          </w:p>
        </w:tc>
        <w:tc>
          <w:tcPr>
            <w:tcW w:w="1380" w:type="dxa"/>
          </w:tcPr>
          <w:p w14:paraId="79EE361C" w14:textId="77777777" w:rsidR="00B87C38" w:rsidRPr="00E44F3E" w:rsidRDefault="00B87C38">
            <w:pPr>
              <w:pStyle w:val="TableText"/>
              <w:keepLines/>
              <w:jc w:val="center"/>
            </w:pPr>
            <w:r w:rsidRPr="00E44F3E">
              <w:t>Oral tablet</w:t>
            </w:r>
          </w:p>
        </w:tc>
        <w:tc>
          <w:tcPr>
            <w:tcW w:w="1148" w:type="dxa"/>
          </w:tcPr>
          <w:p w14:paraId="429EBFF7" w14:textId="77777777" w:rsidR="00B87C38" w:rsidRPr="00E44F3E" w:rsidRDefault="00B87C38">
            <w:pPr>
              <w:pStyle w:val="TableText"/>
              <w:keepLines/>
              <w:jc w:val="center"/>
            </w:pPr>
            <w:r w:rsidRPr="00E44F3E">
              <w:t>No</w:t>
            </w:r>
          </w:p>
        </w:tc>
        <w:tc>
          <w:tcPr>
            <w:tcW w:w="1741" w:type="dxa"/>
          </w:tcPr>
          <w:p w14:paraId="5F3740DE" w14:textId="77777777" w:rsidR="00B87C38" w:rsidRPr="00E44F3E" w:rsidRDefault="00B87C38">
            <w:pPr>
              <w:pStyle w:val="TableText"/>
              <w:keepLines/>
              <w:jc w:val="center"/>
            </w:pPr>
            <w:r w:rsidRPr="00E44F3E">
              <w:t>No application</w:t>
            </w:r>
          </w:p>
        </w:tc>
        <w:tc>
          <w:tcPr>
            <w:tcW w:w="727" w:type="dxa"/>
          </w:tcPr>
          <w:p w14:paraId="65C07231" w14:textId="77777777" w:rsidR="00B87C38" w:rsidRPr="00E44F3E" w:rsidRDefault="00B87C38">
            <w:pPr>
              <w:pStyle w:val="TableText"/>
              <w:keepLines/>
              <w:jc w:val="center"/>
            </w:pPr>
            <w:r w:rsidRPr="00E44F3E">
              <w:t>No</w:t>
            </w:r>
          </w:p>
        </w:tc>
      </w:tr>
      <w:tr w:rsidR="00B87C38" w:rsidRPr="00E44F3E" w14:paraId="174453D3" w14:textId="77777777">
        <w:trPr>
          <w:cantSplit/>
          <w:trHeight w:val="20"/>
        </w:trPr>
        <w:tc>
          <w:tcPr>
            <w:tcW w:w="923" w:type="dxa"/>
          </w:tcPr>
          <w:p w14:paraId="7A3ACF42" w14:textId="77777777" w:rsidR="00B87C38" w:rsidRPr="00E44F3E" w:rsidRDefault="00B87C38">
            <w:pPr>
              <w:pStyle w:val="TableText"/>
              <w:keepLines/>
              <w:jc w:val="center"/>
            </w:pPr>
            <w:r w:rsidRPr="00E44F3E">
              <w:t>Not scorable</w:t>
            </w:r>
          </w:p>
        </w:tc>
        <w:tc>
          <w:tcPr>
            <w:tcW w:w="1569" w:type="dxa"/>
          </w:tcPr>
          <w:p w14:paraId="3D2E215F" w14:textId="77777777" w:rsidR="00B87C38" w:rsidRPr="00E44F3E" w:rsidRDefault="00B87C38">
            <w:pPr>
              <w:pStyle w:val="TableText"/>
              <w:keepLines/>
            </w:pPr>
            <w:r w:rsidRPr="00E44F3E">
              <w:t xml:space="preserve">Decitabine with </w:t>
            </w:r>
            <w:proofErr w:type="spellStart"/>
            <w:r w:rsidRPr="00E44F3E">
              <w:t>cedazuridine</w:t>
            </w:r>
            <w:proofErr w:type="spellEnd"/>
          </w:p>
        </w:tc>
        <w:tc>
          <w:tcPr>
            <w:tcW w:w="2007" w:type="dxa"/>
          </w:tcPr>
          <w:p w14:paraId="2DC2FFDF" w14:textId="77777777" w:rsidR="00B87C38" w:rsidRPr="00E44F3E" w:rsidRDefault="00B87C38">
            <w:pPr>
              <w:pStyle w:val="TableText"/>
              <w:keepLines/>
            </w:pPr>
            <w:r w:rsidRPr="00E44F3E">
              <w:t>Not specified</w:t>
            </w:r>
          </w:p>
        </w:tc>
        <w:tc>
          <w:tcPr>
            <w:tcW w:w="1929" w:type="dxa"/>
          </w:tcPr>
          <w:p w14:paraId="2CDED6FE" w14:textId="77777777" w:rsidR="00B87C38" w:rsidRPr="00E44F3E" w:rsidRDefault="00B87C38">
            <w:pPr>
              <w:pStyle w:val="TableText"/>
              <w:keepLines/>
            </w:pPr>
            <w:r w:rsidRPr="00E44F3E">
              <w:t>Myelodysplastic syndrome</w:t>
            </w:r>
          </w:p>
        </w:tc>
        <w:tc>
          <w:tcPr>
            <w:tcW w:w="2574" w:type="dxa"/>
          </w:tcPr>
          <w:p w14:paraId="7BEAA4F6" w14:textId="77777777" w:rsidR="00B87C38" w:rsidRPr="00E44F3E" w:rsidRDefault="00B87C38">
            <w:pPr>
              <w:pStyle w:val="TableText"/>
              <w:keepLines/>
            </w:pPr>
            <w:r w:rsidRPr="00E44F3E">
              <w:t xml:space="preserve">Intermediate-2 or high risk 20% marrow blasts </w:t>
            </w:r>
          </w:p>
        </w:tc>
        <w:tc>
          <w:tcPr>
            <w:tcW w:w="1380" w:type="dxa"/>
          </w:tcPr>
          <w:p w14:paraId="73C777A3" w14:textId="77777777" w:rsidR="00B87C38" w:rsidRPr="00E44F3E" w:rsidRDefault="00B87C38">
            <w:pPr>
              <w:pStyle w:val="TableText"/>
              <w:keepLines/>
              <w:jc w:val="center"/>
            </w:pPr>
            <w:r w:rsidRPr="00E44F3E">
              <w:t>Oral tablet</w:t>
            </w:r>
          </w:p>
        </w:tc>
        <w:tc>
          <w:tcPr>
            <w:tcW w:w="1148" w:type="dxa"/>
          </w:tcPr>
          <w:p w14:paraId="4645953C" w14:textId="77777777" w:rsidR="00B87C38" w:rsidRPr="00E44F3E" w:rsidRDefault="00B87C38">
            <w:pPr>
              <w:pStyle w:val="TableText"/>
              <w:keepLines/>
              <w:jc w:val="center"/>
            </w:pPr>
            <w:r w:rsidRPr="00E44F3E">
              <w:t>No</w:t>
            </w:r>
          </w:p>
        </w:tc>
        <w:tc>
          <w:tcPr>
            <w:tcW w:w="1741" w:type="dxa"/>
          </w:tcPr>
          <w:p w14:paraId="767B03B9" w14:textId="77777777" w:rsidR="00B87C38" w:rsidRPr="00E44F3E" w:rsidRDefault="00B87C38">
            <w:pPr>
              <w:pStyle w:val="TableText"/>
              <w:keepLines/>
              <w:jc w:val="center"/>
            </w:pPr>
            <w:r w:rsidRPr="00E44F3E">
              <w:t xml:space="preserve">No </w:t>
            </w:r>
            <w:r>
              <w:t>a</w:t>
            </w:r>
            <w:r w:rsidRPr="00E44F3E">
              <w:t>pplication</w:t>
            </w:r>
          </w:p>
        </w:tc>
        <w:tc>
          <w:tcPr>
            <w:tcW w:w="727" w:type="dxa"/>
          </w:tcPr>
          <w:p w14:paraId="684AC3BF" w14:textId="77777777" w:rsidR="00B87C38" w:rsidRPr="00E44F3E" w:rsidRDefault="00B87C38">
            <w:pPr>
              <w:pStyle w:val="TableText"/>
              <w:keepLines/>
              <w:jc w:val="center"/>
            </w:pPr>
            <w:r w:rsidRPr="00E44F3E">
              <w:t>No</w:t>
            </w:r>
          </w:p>
        </w:tc>
      </w:tr>
      <w:tr w:rsidR="00B87C38" w:rsidRPr="00E44F3E" w14:paraId="1BAE7371" w14:textId="77777777">
        <w:trPr>
          <w:cantSplit/>
          <w:trHeight w:val="20"/>
        </w:trPr>
        <w:tc>
          <w:tcPr>
            <w:tcW w:w="923" w:type="dxa"/>
          </w:tcPr>
          <w:p w14:paraId="33508C89" w14:textId="77777777" w:rsidR="00B87C38" w:rsidRPr="00E44F3E" w:rsidRDefault="00B87C38">
            <w:pPr>
              <w:pStyle w:val="TableText"/>
              <w:keepLines/>
              <w:jc w:val="center"/>
            </w:pPr>
            <w:r w:rsidRPr="00E44F3E">
              <w:t>Not scorable</w:t>
            </w:r>
          </w:p>
        </w:tc>
        <w:tc>
          <w:tcPr>
            <w:tcW w:w="1569" w:type="dxa"/>
          </w:tcPr>
          <w:p w14:paraId="342C372A" w14:textId="77777777" w:rsidR="00B87C38" w:rsidRPr="00E44F3E" w:rsidRDefault="00B87C38">
            <w:pPr>
              <w:pStyle w:val="TableText"/>
              <w:keepLines/>
            </w:pPr>
            <w:r w:rsidRPr="00E44F3E">
              <w:t>Zanubrutinib</w:t>
            </w:r>
          </w:p>
        </w:tc>
        <w:tc>
          <w:tcPr>
            <w:tcW w:w="2007" w:type="dxa"/>
          </w:tcPr>
          <w:p w14:paraId="1F4D2678" w14:textId="77777777" w:rsidR="00B87C38" w:rsidRPr="00E44F3E" w:rsidRDefault="00B87C38">
            <w:pPr>
              <w:pStyle w:val="TableText"/>
              <w:keepLines/>
            </w:pPr>
            <w:r w:rsidRPr="00E44F3E">
              <w:t>Monotherapy</w:t>
            </w:r>
          </w:p>
        </w:tc>
        <w:tc>
          <w:tcPr>
            <w:tcW w:w="1929" w:type="dxa"/>
          </w:tcPr>
          <w:p w14:paraId="6DC985C2" w14:textId="77777777" w:rsidR="00B87C38" w:rsidRPr="00E44F3E" w:rsidRDefault="00B87C38">
            <w:pPr>
              <w:pStyle w:val="TableText"/>
              <w:keepLines/>
            </w:pPr>
            <w:r w:rsidRPr="00E44F3E">
              <w:t>Waldenstrom macroglobulinaemia</w:t>
            </w:r>
          </w:p>
        </w:tc>
        <w:tc>
          <w:tcPr>
            <w:tcW w:w="2574" w:type="dxa"/>
          </w:tcPr>
          <w:p w14:paraId="671D5E35" w14:textId="77777777" w:rsidR="00B87C38" w:rsidRPr="00E44F3E" w:rsidRDefault="00B87C38">
            <w:pPr>
              <w:pStyle w:val="TableText"/>
              <w:keepLines/>
            </w:pPr>
            <w:r w:rsidRPr="00E44F3E">
              <w:t>Relapsed or be refractory to at least one prior chemo-immunotherapy or be unsuitable for treatment with chemo-immunotherapy</w:t>
            </w:r>
          </w:p>
        </w:tc>
        <w:tc>
          <w:tcPr>
            <w:tcW w:w="1380" w:type="dxa"/>
          </w:tcPr>
          <w:p w14:paraId="6CB40579" w14:textId="77777777" w:rsidR="00B87C38" w:rsidRPr="00E44F3E" w:rsidRDefault="00B87C38">
            <w:pPr>
              <w:pStyle w:val="TableText"/>
              <w:keepLines/>
              <w:jc w:val="center"/>
            </w:pPr>
            <w:r w:rsidRPr="00E44F3E">
              <w:t>Oral capsule</w:t>
            </w:r>
          </w:p>
        </w:tc>
        <w:tc>
          <w:tcPr>
            <w:tcW w:w="1148" w:type="dxa"/>
          </w:tcPr>
          <w:p w14:paraId="5142D437" w14:textId="77777777" w:rsidR="00B87C38" w:rsidRPr="00E44F3E" w:rsidRDefault="00B87C38">
            <w:pPr>
              <w:pStyle w:val="TableText"/>
              <w:keepLines/>
              <w:jc w:val="center"/>
            </w:pPr>
            <w:r w:rsidRPr="00E44F3E">
              <w:t>No</w:t>
            </w:r>
          </w:p>
        </w:tc>
        <w:tc>
          <w:tcPr>
            <w:tcW w:w="1741" w:type="dxa"/>
          </w:tcPr>
          <w:p w14:paraId="0BD41322" w14:textId="77777777" w:rsidR="00B87C38" w:rsidRPr="00E44F3E" w:rsidRDefault="00B87C38">
            <w:pPr>
              <w:pStyle w:val="TableText"/>
              <w:keepLines/>
              <w:jc w:val="center"/>
            </w:pPr>
            <w:r w:rsidRPr="00E44F3E">
              <w:t xml:space="preserve">Under </w:t>
            </w:r>
            <w:r>
              <w:t>a</w:t>
            </w:r>
            <w:r w:rsidRPr="00E44F3E">
              <w:t>ssessment</w:t>
            </w:r>
          </w:p>
        </w:tc>
        <w:tc>
          <w:tcPr>
            <w:tcW w:w="727" w:type="dxa"/>
          </w:tcPr>
          <w:p w14:paraId="61EEA7F6" w14:textId="77777777" w:rsidR="00B87C38" w:rsidRPr="00E44F3E" w:rsidRDefault="00B87C38">
            <w:pPr>
              <w:pStyle w:val="TableText"/>
              <w:keepLines/>
              <w:jc w:val="center"/>
            </w:pPr>
            <w:r w:rsidRPr="00E44F3E">
              <w:t>No</w:t>
            </w:r>
          </w:p>
        </w:tc>
      </w:tr>
    </w:tbl>
    <w:p w14:paraId="33A47EC5" w14:textId="77777777" w:rsidR="00A12A44" w:rsidRDefault="00A12A44" w:rsidP="00A12A44"/>
    <w:p w14:paraId="7EB96C24" w14:textId="2167C3F4" w:rsidR="000E32CC" w:rsidRPr="00E44F3E" w:rsidRDefault="000E32CC" w:rsidP="000E32CC">
      <w:pPr>
        <w:pStyle w:val="Note"/>
        <w:ind w:left="0" w:firstLine="0"/>
      </w:pPr>
      <w:r w:rsidRPr="00E44F3E">
        <w:lastRenderedPageBreak/>
        <w:t xml:space="preserve">Definitions: </w:t>
      </w:r>
      <w:r>
        <w:t>‘</w:t>
      </w:r>
      <w:r w:rsidRPr="00E44F3E">
        <w:t>Monotherapy</w:t>
      </w:r>
      <w:r>
        <w:t>’</w:t>
      </w:r>
      <w:r w:rsidRPr="00E44F3E">
        <w:t xml:space="preserve"> means the medicines are taken by themselves</w:t>
      </w:r>
      <w:r>
        <w:t>;</w:t>
      </w:r>
      <w:r w:rsidRPr="00E44F3E">
        <w:t xml:space="preserve"> </w:t>
      </w:r>
      <w:r>
        <w:t>‘</w:t>
      </w:r>
      <w:r w:rsidRPr="00E44F3E">
        <w:t>NEB</w:t>
      </w:r>
      <w:r>
        <w:t>’</w:t>
      </w:r>
      <w:r w:rsidRPr="00E44F3E">
        <w:t xml:space="preserve"> means no evaluable benefit</w:t>
      </w:r>
      <w:r>
        <w:t>;</w:t>
      </w:r>
      <w:r w:rsidRPr="00E44F3E">
        <w:t xml:space="preserve"> </w:t>
      </w:r>
      <w:r>
        <w:t>‘</w:t>
      </w:r>
      <w:r w:rsidRPr="00E44F3E">
        <w:t>Not scoreable</w:t>
      </w:r>
      <w:r>
        <w:t>’</w:t>
      </w:r>
      <w:r w:rsidRPr="00E44F3E">
        <w:t xml:space="preserve"> primarily indicates clinical trials with outcomes that cannot be assessed using the ESMO-MCBS:H.</w:t>
      </w:r>
    </w:p>
    <w:p w14:paraId="2A76A94D" w14:textId="77777777" w:rsidR="000E32CC" w:rsidRPr="00E44F3E" w:rsidRDefault="000E32CC" w:rsidP="000E32CC">
      <w:pPr>
        <w:pStyle w:val="Note"/>
      </w:pPr>
      <w:r w:rsidRPr="0035534F">
        <w:t>*</w:t>
      </w:r>
      <w:r w:rsidRPr="00E44F3E">
        <w:rPr>
          <w:vertAlign w:val="superscript"/>
        </w:rPr>
        <w:tab/>
      </w:r>
      <w:r w:rsidRPr="00E44F3E">
        <w:t xml:space="preserve">Status as of May 2024. The status of medicine applications at Pharmac is constantly being progressed and updated. Please </w:t>
      </w:r>
      <w:r w:rsidRPr="0023062D">
        <w:t xml:space="preserve">refer to </w:t>
      </w:r>
      <w:proofErr w:type="spellStart"/>
      <w:r w:rsidRPr="0035534F">
        <w:t>Pharmac’s</w:t>
      </w:r>
      <w:proofErr w:type="spellEnd"/>
      <w:r w:rsidRPr="0035534F">
        <w:t xml:space="preserve"> Application Tracker</w:t>
      </w:r>
      <w:r w:rsidRPr="0023062D">
        <w:t xml:space="preserve"> for u</w:t>
      </w:r>
      <w:r w:rsidRPr="00E44F3E">
        <w:t>p-to-date information on a medicine application</w:t>
      </w:r>
      <w:r>
        <w:t xml:space="preserve"> (</w:t>
      </w:r>
      <w:hyperlink r:id="rId39" w:history="1">
        <w:r w:rsidRPr="0023062D">
          <w:rPr>
            <w:rStyle w:val="Hyperlink"/>
          </w:rPr>
          <w:t>connect.pharmac.govt.nz/</w:t>
        </w:r>
        <w:proofErr w:type="spellStart"/>
        <w:r w:rsidRPr="0023062D">
          <w:rPr>
            <w:rStyle w:val="Hyperlink"/>
          </w:rPr>
          <w:t>apptracker</w:t>
        </w:r>
        <w:proofErr w:type="spellEnd"/>
        <w:r w:rsidRPr="0023062D">
          <w:rPr>
            <w:rStyle w:val="Hyperlink"/>
          </w:rPr>
          <w:t>/s</w:t>
        </w:r>
      </w:hyperlink>
      <w:r>
        <w:t>)</w:t>
      </w:r>
      <w:r w:rsidRPr="00E44F3E">
        <w:t>.</w:t>
      </w:r>
    </w:p>
    <w:p w14:paraId="2549AB24" w14:textId="77777777" w:rsidR="000E32CC" w:rsidRPr="00251BB9" w:rsidRDefault="000E32CC" w:rsidP="000E32CC">
      <w:pPr>
        <w:pStyle w:val="Note"/>
      </w:pPr>
      <w:r>
        <w:t>†</w:t>
      </w:r>
      <w:r w:rsidRPr="00251BB9">
        <w:rPr>
          <w:rFonts w:ascii="Calibri" w:hAnsi="Calibri" w:cs="Calibri"/>
        </w:rPr>
        <w:tab/>
      </w:r>
      <w:r w:rsidRPr="00251BB9">
        <w:t>Medicines that are part of the Bruton</w:t>
      </w:r>
      <w:r>
        <w:t>’s</w:t>
      </w:r>
      <w:r w:rsidRPr="00251BB9">
        <w:t xml:space="preserve"> tyrosine kinase (BTK) inhibitors medicine class – only one medicine from the medicine classes would need to be funded to close the identified gap. </w:t>
      </w:r>
      <w:r>
        <w:t xml:space="preserve">The </w:t>
      </w:r>
      <w:r w:rsidRPr="00251BB9">
        <w:t>ESMO-MCBS:H score reflects the highest score of the medicines scored in the class. Differences in ESMO-MCBS:H score are likely due to differences in trial design, follow-up periods and available data.</w:t>
      </w:r>
    </w:p>
    <w:p w14:paraId="16375873" w14:textId="77777777" w:rsidR="000E32CC" w:rsidRPr="00251BB9" w:rsidRDefault="000E32CC" w:rsidP="000E32CC">
      <w:pPr>
        <w:pStyle w:val="Note"/>
      </w:pPr>
      <w:r w:rsidRPr="008B3EEA">
        <w:t>‡</w:t>
      </w:r>
      <w:r w:rsidRPr="00251BB9">
        <w:tab/>
        <w:t>Represents a regimen</w:t>
      </w:r>
      <w:r>
        <w:t>-indication</w:t>
      </w:r>
      <w:r w:rsidRPr="00251BB9">
        <w:t xml:space="preserve"> pair – where more than one medicine is taken as part of the same treatment, and both would need to be funded to close the gap.</w:t>
      </w:r>
    </w:p>
    <w:p w14:paraId="6448FB7B" w14:textId="77777777" w:rsidR="000E32CC" w:rsidRPr="00251BB9" w:rsidRDefault="000E32CC" w:rsidP="000E32CC">
      <w:pPr>
        <w:pStyle w:val="Note"/>
      </w:pPr>
      <w:r w:rsidRPr="00251BB9">
        <w:t>§</w:t>
      </w:r>
      <w:r w:rsidRPr="00251BB9">
        <w:tab/>
        <w:t xml:space="preserve">The ESMO-MCBS:H score for daratumumab reflects the intention to treat </w:t>
      </w:r>
      <w:r>
        <w:t xml:space="preserve">the </w:t>
      </w:r>
      <w:r w:rsidRPr="00251BB9">
        <w:t>population of the CASTOR trial</w:t>
      </w:r>
      <w:r>
        <w:t xml:space="preserve"> (</w:t>
      </w:r>
      <w:proofErr w:type="spellStart"/>
      <w:r w:rsidRPr="00E44F3E">
        <w:rPr>
          <w:szCs w:val="18"/>
          <w:lang w:eastAsia="en-NZ"/>
        </w:rPr>
        <w:t>Hungria</w:t>
      </w:r>
      <w:proofErr w:type="spellEnd"/>
      <w:r w:rsidRPr="00E44F3E">
        <w:rPr>
          <w:szCs w:val="18"/>
          <w:lang w:eastAsia="en-NZ"/>
        </w:rPr>
        <w:t xml:space="preserve"> et al 2021</w:t>
      </w:r>
      <w:r>
        <w:rPr>
          <w:szCs w:val="18"/>
          <w:lang w:eastAsia="en-NZ"/>
        </w:rPr>
        <w:t>)</w:t>
      </w:r>
      <w:r>
        <w:t>,</w:t>
      </w:r>
      <w:r w:rsidRPr="00251BB9">
        <w:t xml:space="preserve"> which included patients using daratumumab second line</w:t>
      </w:r>
      <w:r>
        <w:t xml:space="preserve"> treatment</w:t>
      </w:r>
      <w:r w:rsidRPr="00251BB9">
        <w:t xml:space="preserve"> or later. The analysis that examined the benefit of taking daratumumab as a second</w:t>
      </w:r>
      <w:r>
        <w:t>-</w:t>
      </w:r>
      <w:r w:rsidRPr="00251BB9">
        <w:t>line treatment (</w:t>
      </w:r>
      <w:proofErr w:type="spellStart"/>
      <w:r w:rsidRPr="00251BB9">
        <w:t>ie</w:t>
      </w:r>
      <w:proofErr w:type="spellEnd"/>
      <w:r>
        <w:t>,</w:t>
      </w:r>
      <w:r w:rsidRPr="00251BB9">
        <w:t xml:space="preserve"> the population funded in Australia) was unable to be scored by the ESMO-MCBS:H as it was a post-hoc analysis (</w:t>
      </w:r>
      <w:proofErr w:type="spellStart"/>
      <w:r w:rsidRPr="00251BB9">
        <w:t>ie</w:t>
      </w:r>
      <w:proofErr w:type="spellEnd"/>
      <w:r>
        <w:t>,</w:t>
      </w:r>
      <w:r w:rsidRPr="00251BB9">
        <w:t xml:space="preserve"> an analysis that was not planned to be conducted at the beginning of the trial).</w:t>
      </w:r>
    </w:p>
    <w:p w14:paraId="5EE4975E" w14:textId="77777777" w:rsidR="000E32CC" w:rsidRPr="00251BB9" w:rsidRDefault="000E32CC" w:rsidP="000E32CC">
      <w:pPr>
        <w:pStyle w:val="Note"/>
      </w:pPr>
      <w:r w:rsidRPr="00251BB9">
        <w:t>¶</w:t>
      </w:r>
      <w:r w:rsidRPr="00251BB9">
        <w:tab/>
        <w:t xml:space="preserve">Lenalidomide is funded in </w:t>
      </w:r>
      <w:r>
        <w:t>Aotearoa New Zealand</w:t>
      </w:r>
      <w:r w:rsidRPr="00251BB9">
        <w:t xml:space="preserve"> with a Special Authority restricting use to people with relapsed or refractory multiple myeloma with progressive disease as a third</w:t>
      </w:r>
      <w:r>
        <w:t>-</w:t>
      </w:r>
      <w:r w:rsidRPr="00251BB9">
        <w:t>line treatment, with second</w:t>
      </w:r>
      <w:r>
        <w:t>-</w:t>
      </w:r>
      <w:r w:rsidRPr="00251BB9">
        <w:t>line use permitted in the presence of dosing limiting neuropathy to first</w:t>
      </w:r>
      <w:r>
        <w:t>-</w:t>
      </w:r>
      <w:r w:rsidRPr="00251BB9">
        <w:t>line agents. Clinical advice received indicated that only a small number of patients will not be covered by the current access criteria.</w:t>
      </w:r>
    </w:p>
    <w:p w14:paraId="028FCA64" w14:textId="77777777" w:rsidR="000E32CC" w:rsidRPr="00E44F3E" w:rsidRDefault="000E32CC" w:rsidP="000E32CC"/>
    <w:p w14:paraId="057F9211" w14:textId="61541E9D" w:rsidR="000E32CC" w:rsidRDefault="000E32CC" w:rsidP="000E32CC">
      <w:pPr>
        <w:tabs>
          <w:tab w:val="left" w:pos="2635"/>
        </w:tabs>
      </w:pPr>
    </w:p>
    <w:p w14:paraId="30765B0B" w14:textId="74BBF9AF" w:rsidR="000E32CC" w:rsidRPr="000E32CC" w:rsidRDefault="000E32CC" w:rsidP="000E32CC">
      <w:pPr>
        <w:tabs>
          <w:tab w:val="left" w:pos="2635"/>
        </w:tabs>
        <w:sectPr w:rsidR="000E32CC" w:rsidRPr="000E32CC" w:rsidSect="00A12A44">
          <w:headerReference w:type="even" r:id="rId40"/>
          <w:headerReference w:type="default" r:id="rId41"/>
          <w:footerReference w:type="even" r:id="rId42"/>
          <w:footerReference w:type="default" r:id="rId43"/>
          <w:headerReference w:type="first" r:id="rId44"/>
          <w:pgSz w:w="16834" w:h="11907" w:orient="landscape" w:code="9"/>
          <w:pgMar w:top="1418" w:right="1418" w:bottom="1418" w:left="1418" w:header="284" w:footer="425" w:gutter="284"/>
          <w:cols w:space="720"/>
          <w:docGrid w:linePitch="286"/>
        </w:sectPr>
      </w:pPr>
      <w:r>
        <w:tab/>
      </w:r>
    </w:p>
    <w:p w14:paraId="1B271558" w14:textId="29598CEC" w:rsidR="00EE7DD1" w:rsidRPr="00150F8B" w:rsidRDefault="00D45B0B" w:rsidP="00D45B0B">
      <w:pPr>
        <w:pStyle w:val="Heading2"/>
        <w:rPr>
          <w:sz w:val="24"/>
          <w:szCs w:val="24"/>
        </w:rPr>
      </w:pPr>
      <w:bookmarkStart w:id="46" w:name="_Toc180138602"/>
      <w:r w:rsidRPr="00150F8B">
        <w:rPr>
          <w:sz w:val="24"/>
          <w:szCs w:val="24"/>
        </w:rPr>
        <w:lastRenderedPageBreak/>
        <w:t>Appendix 4: Key sources of information</w:t>
      </w:r>
      <w:bookmarkEnd w:id="46"/>
    </w:p>
    <w:tbl>
      <w:tblPr>
        <w:tblW w:w="0" w:type="auto"/>
        <w:tblBorders>
          <w:top w:val="single" w:sz="4" w:space="0" w:color="2C463B"/>
          <w:bottom w:val="single" w:sz="4" w:space="0" w:color="2C463B"/>
          <w:insideH w:val="single" w:sz="4" w:space="0" w:color="2C463B"/>
        </w:tblBorders>
        <w:tblCellMar>
          <w:left w:w="57" w:type="dxa"/>
          <w:right w:w="57" w:type="dxa"/>
        </w:tblCellMar>
        <w:tblLook w:val="04A0" w:firstRow="1" w:lastRow="0" w:firstColumn="1" w:lastColumn="0" w:noHBand="0" w:noVBand="1"/>
      </w:tblPr>
      <w:tblGrid>
        <w:gridCol w:w="1639"/>
        <w:gridCol w:w="1712"/>
        <w:gridCol w:w="4728"/>
      </w:tblGrid>
      <w:tr w:rsidR="00D45B0B" w:rsidRPr="00C45E6C" w14:paraId="056F7991" w14:textId="77777777">
        <w:trPr>
          <w:cantSplit/>
        </w:trPr>
        <w:tc>
          <w:tcPr>
            <w:tcW w:w="0" w:type="auto"/>
            <w:tcBorders>
              <w:top w:val="nil"/>
              <w:bottom w:val="nil"/>
            </w:tcBorders>
            <w:shd w:val="clear" w:color="auto" w:fill="C2D9BA"/>
          </w:tcPr>
          <w:p w14:paraId="34C9740B" w14:textId="77777777" w:rsidR="00D45B0B" w:rsidRPr="00C45E6C" w:rsidRDefault="00D45B0B">
            <w:pPr>
              <w:pStyle w:val="TableText"/>
              <w:rPr>
                <w:b/>
              </w:rPr>
            </w:pPr>
            <w:r w:rsidRPr="00C45E6C">
              <w:rPr>
                <w:b/>
              </w:rPr>
              <w:t>Information type</w:t>
            </w:r>
          </w:p>
        </w:tc>
        <w:tc>
          <w:tcPr>
            <w:tcW w:w="0" w:type="auto"/>
            <w:tcBorders>
              <w:top w:val="nil"/>
              <w:bottom w:val="nil"/>
            </w:tcBorders>
            <w:shd w:val="clear" w:color="auto" w:fill="C2D9BA"/>
          </w:tcPr>
          <w:p w14:paraId="2F759A78" w14:textId="77777777" w:rsidR="00D45B0B" w:rsidRPr="00C45E6C" w:rsidRDefault="00D45B0B">
            <w:pPr>
              <w:pStyle w:val="TableText"/>
              <w:rPr>
                <w:b/>
              </w:rPr>
            </w:pPr>
            <w:r w:rsidRPr="00C45E6C">
              <w:rPr>
                <w:b/>
              </w:rPr>
              <w:t>Source(s)</w:t>
            </w:r>
          </w:p>
        </w:tc>
        <w:tc>
          <w:tcPr>
            <w:tcW w:w="0" w:type="auto"/>
            <w:tcBorders>
              <w:top w:val="nil"/>
              <w:bottom w:val="nil"/>
            </w:tcBorders>
            <w:shd w:val="clear" w:color="auto" w:fill="C2D9BA"/>
          </w:tcPr>
          <w:p w14:paraId="4DB3CA94" w14:textId="77777777" w:rsidR="00D45B0B" w:rsidRPr="00C45E6C" w:rsidRDefault="00D45B0B">
            <w:pPr>
              <w:pStyle w:val="TableText"/>
              <w:rPr>
                <w:b/>
                <w:lang w:eastAsia="en-US"/>
              </w:rPr>
            </w:pPr>
            <w:r w:rsidRPr="00C45E6C">
              <w:rPr>
                <w:b/>
              </w:rPr>
              <w:t>Link(s) (if applicable)</w:t>
            </w:r>
          </w:p>
        </w:tc>
      </w:tr>
      <w:tr w:rsidR="00D45B0B" w:rsidRPr="00C45E6C" w14:paraId="16811872" w14:textId="77777777">
        <w:trPr>
          <w:cantSplit/>
        </w:trPr>
        <w:tc>
          <w:tcPr>
            <w:tcW w:w="0" w:type="auto"/>
            <w:tcBorders>
              <w:top w:val="nil"/>
              <w:bottom w:val="single" w:sz="4" w:space="0" w:color="C2D9BA"/>
            </w:tcBorders>
            <w:shd w:val="clear" w:color="auto" w:fill="auto"/>
          </w:tcPr>
          <w:p w14:paraId="20977570" w14:textId="5A0754E2" w:rsidR="00D45B0B" w:rsidRPr="00C45E6C" w:rsidRDefault="00D45B0B">
            <w:pPr>
              <w:pStyle w:val="TableText"/>
            </w:pPr>
            <w:r w:rsidRPr="00C45E6C">
              <w:t xml:space="preserve">Medicines funded in </w:t>
            </w:r>
            <w:r w:rsidR="00152DDE">
              <w:t>Aotearoa New Zealand</w:t>
            </w:r>
          </w:p>
        </w:tc>
        <w:tc>
          <w:tcPr>
            <w:tcW w:w="0" w:type="auto"/>
            <w:tcBorders>
              <w:top w:val="nil"/>
              <w:bottom w:val="single" w:sz="4" w:space="0" w:color="C2D9BA"/>
            </w:tcBorders>
            <w:shd w:val="clear" w:color="auto" w:fill="auto"/>
          </w:tcPr>
          <w:p w14:paraId="6D810148" w14:textId="77777777" w:rsidR="00D45B0B" w:rsidRPr="00C45E6C" w:rsidRDefault="00D45B0B">
            <w:pPr>
              <w:pStyle w:val="TableText"/>
            </w:pPr>
            <w:proofErr w:type="spellStart"/>
            <w:r w:rsidRPr="00C45E6C">
              <w:t>Pharmac’s</w:t>
            </w:r>
            <w:proofErr w:type="spellEnd"/>
            <w:r w:rsidRPr="00C45E6C">
              <w:t xml:space="preserve"> Pharmaceutical Schedule</w:t>
            </w:r>
          </w:p>
        </w:tc>
        <w:tc>
          <w:tcPr>
            <w:tcW w:w="0" w:type="auto"/>
            <w:tcBorders>
              <w:top w:val="nil"/>
              <w:bottom w:val="single" w:sz="4" w:space="0" w:color="C2D9BA"/>
            </w:tcBorders>
            <w:shd w:val="clear" w:color="auto" w:fill="auto"/>
          </w:tcPr>
          <w:p w14:paraId="091B1ED2" w14:textId="665050FE" w:rsidR="00D45B0B" w:rsidRPr="00C45E6C" w:rsidRDefault="00000000">
            <w:pPr>
              <w:pStyle w:val="TableText"/>
              <w:rPr>
                <w:rStyle w:val="Hyperlink"/>
              </w:rPr>
            </w:pPr>
            <w:hyperlink r:id="rId45" w:history="1">
              <w:r w:rsidR="00D45B0B" w:rsidRPr="00C45E6C">
                <w:rPr>
                  <w:rStyle w:val="Hyperlink"/>
                </w:rPr>
                <w:t>schedule.pharmac.govt.nz/</w:t>
              </w:r>
              <w:proofErr w:type="spellStart"/>
              <w:r w:rsidR="00D45B0B" w:rsidRPr="00C45E6C">
                <w:rPr>
                  <w:rStyle w:val="Hyperlink"/>
                </w:rPr>
                <w:t>ScheduleOnline.php</w:t>
              </w:r>
              <w:proofErr w:type="spellEnd"/>
            </w:hyperlink>
          </w:p>
          <w:p w14:paraId="707A14E9" w14:textId="56F9B849" w:rsidR="00D45B0B" w:rsidRPr="00C45E6C" w:rsidRDefault="00000000">
            <w:pPr>
              <w:pStyle w:val="TableText"/>
              <w:rPr>
                <w:rStyle w:val="Hyperlink"/>
              </w:rPr>
            </w:pPr>
            <w:hyperlink r:id="rId46" w:history="1">
              <w:r w:rsidR="00D45B0B" w:rsidRPr="00C45E6C">
                <w:rPr>
                  <w:rStyle w:val="Hyperlink"/>
                </w:rPr>
                <w:t>schedule.pharmac.govt.nz/</w:t>
              </w:r>
              <w:proofErr w:type="spellStart"/>
              <w:r w:rsidR="00D45B0B" w:rsidRPr="00C45E6C">
                <w:rPr>
                  <w:rStyle w:val="Hyperlink"/>
                </w:rPr>
                <w:t>HMLOnline.php</w:t>
              </w:r>
              <w:proofErr w:type="spellEnd"/>
            </w:hyperlink>
          </w:p>
        </w:tc>
      </w:tr>
      <w:tr w:rsidR="00D45B0B" w:rsidRPr="00C45E6C" w14:paraId="5B6F1145" w14:textId="77777777">
        <w:trPr>
          <w:cantSplit/>
        </w:trPr>
        <w:tc>
          <w:tcPr>
            <w:tcW w:w="0" w:type="auto"/>
            <w:tcBorders>
              <w:top w:val="single" w:sz="4" w:space="0" w:color="C2D9BA"/>
              <w:bottom w:val="single" w:sz="4" w:space="0" w:color="C2D9BA"/>
            </w:tcBorders>
            <w:shd w:val="clear" w:color="auto" w:fill="auto"/>
          </w:tcPr>
          <w:p w14:paraId="7193932B" w14:textId="77777777" w:rsidR="00D45B0B" w:rsidRPr="00C45E6C" w:rsidRDefault="00D45B0B">
            <w:pPr>
              <w:pStyle w:val="TableText"/>
            </w:pPr>
            <w:r w:rsidRPr="00C45E6C">
              <w:t>Medicines funded in Australia</w:t>
            </w:r>
          </w:p>
        </w:tc>
        <w:tc>
          <w:tcPr>
            <w:tcW w:w="0" w:type="auto"/>
            <w:tcBorders>
              <w:top w:val="single" w:sz="4" w:space="0" w:color="C2D9BA"/>
              <w:bottom w:val="single" w:sz="4" w:space="0" w:color="C2D9BA"/>
            </w:tcBorders>
            <w:shd w:val="clear" w:color="auto" w:fill="auto"/>
          </w:tcPr>
          <w:p w14:paraId="4581DCF2" w14:textId="24589E2F" w:rsidR="00D45B0B" w:rsidRPr="00C45E6C" w:rsidRDefault="007510BA">
            <w:pPr>
              <w:pStyle w:val="TableText"/>
            </w:pPr>
            <w:r w:rsidRPr="007510BA">
              <w:t>Pharmaceutical Benefits Scheme</w:t>
            </w:r>
            <w:r w:rsidR="00D45B0B" w:rsidRPr="00C45E6C">
              <w:t xml:space="preserve"> Schedule</w:t>
            </w:r>
          </w:p>
        </w:tc>
        <w:tc>
          <w:tcPr>
            <w:tcW w:w="0" w:type="auto"/>
            <w:tcBorders>
              <w:top w:val="single" w:sz="4" w:space="0" w:color="C2D9BA"/>
              <w:bottom w:val="single" w:sz="4" w:space="0" w:color="C2D9BA"/>
            </w:tcBorders>
            <w:shd w:val="clear" w:color="auto" w:fill="auto"/>
          </w:tcPr>
          <w:p w14:paraId="2206015D" w14:textId="544122F1" w:rsidR="00D45B0B" w:rsidRPr="00C45E6C" w:rsidRDefault="00000000">
            <w:pPr>
              <w:pStyle w:val="TableText"/>
            </w:pPr>
            <w:hyperlink r:id="rId47" w:history="1">
              <w:r w:rsidR="00D45B0B" w:rsidRPr="00C45E6C">
                <w:rPr>
                  <w:rStyle w:val="Hyperlink"/>
                  <w:rFonts w:eastAsia="MS Gothic"/>
                </w:rPr>
                <w:t>www.pbs.gov.au/browse/body-system</w:t>
              </w:r>
            </w:hyperlink>
          </w:p>
        </w:tc>
      </w:tr>
      <w:tr w:rsidR="00D45B0B" w:rsidRPr="00C45E6C" w14:paraId="418D7329" w14:textId="77777777">
        <w:trPr>
          <w:cantSplit/>
        </w:trPr>
        <w:tc>
          <w:tcPr>
            <w:tcW w:w="0" w:type="auto"/>
            <w:vMerge w:val="restart"/>
            <w:tcBorders>
              <w:top w:val="single" w:sz="4" w:space="0" w:color="C2D9BA"/>
            </w:tcBorders>
            <w:shd w:val="clear" w:color="auto" w:fill="auto"/>
          </w:tcPr>
          <w:p w14:paraId="4EF65EA7" w14:textId="77777777" w:rsidR="00D45B0B" w:rsidRPr="00C45E6C" w:rsidRDefault="00D45B0B">
            <w:pPr>
              <w:pStyle w:val="TableText"/>
            </w:pPr>
            <w:r w:rsidRPr="00C45E6C">
              <w:t>Indications for medicines funded without restriction</w:t>
            </w:r>
          </w:p>
        </w:tc>
        <w:tc>
          <w:tcPr>
            <w:tcW w:w="0" w:type="auto"/>
            <w:tcBorders>
              <w:top w:val="single" w:sz="4" w:space="0" w:color="C2D9BA"/>
              <w:bottom w:val="nil"/>
            </w:tcBorders>
            <w:shd w:val="clear" w:color="auto" w:fill="auto"/>
          </w:tcPr>
          <w:p w14:paraId="5C9A1DA9" w14:textId="10E62F3E" w:rsidR="00D45B0B" w:rsidRPr="00C45E6C" w:rsidRDefault="007510BA">
            <w:pPr>
              <w:pStyle w:val="TableText"/>
            </w:pPr>
            <w:r w:rsidRPr="007510BA">
              <w:t xml:space="preserve">Therapeutic Goods Administration </w:t>
            </w:r>
            <w:r w:rsidR="00D45B0B" w:rsidRPr="00C45E6C">
              <w:t>product information</w:t>
            </w:r>
          </w:p>
        </w:tc>
        <w:tc>
          <w:tcPr>
            <w:tcW w:w="0" w:type="auto"/>
            <w:tcBorders>
              <w:top w:val="single" w:sz="4" w:space="0" w:color="C2D9BA"/>
              <w:bottom w:val="nil"/>
            </w:tcBorders>
            <w:shd w:val="clear" w:color="auto" w:fill="auto"/>
          </w:tcPr>
          <w:p w14:paraId="1F70B2F0" w14:textId="4673DAF1" w:rsidR="00D45B0B" w:rsidRPr="00C45E6C" w:rsidRDefault="00000000">
            <w:pPr>
              <w:pStyle w:val="TableText"/>
            </w:pPr>
            <w:hyperlink r:id="rId48" w:history="1">
              <w:r w:rsidR="00D45B0B" w:rsidRPr="00C45E6C">
                <w:rPr>
                  <w:rStyle w:val="Hyperlink"/>
                  <w:rFonts w:eastAsia="MS Gothic"/>
                </w:rPr>
                <w:t>www.ebs.tga.gov.au</w:t>
              </w:r>
            </w:hyperlink>
          </w:p>
        </w:tc>
      </w:tr>
      <w:tr w:rsidR="00D45B0B" w:rsidRPr="00C45E6C" w14:paraId="65BD3ABE" w14:textId="77777777">
        <w:trPr>
          <w:cantSplit/>
        </w:trPr>
        <w:tc>
          <w:tcPr>
            <w:tcW w:w="0" w:type="auto"/>
            <w:vMerge/>
            <w:shd w:val="clear" w:color="auto" w:fill="auto"/>
          </w:tcPr>
          <w:p w14:paraId="6A87BACB" w14:textId="77777777" w:rsidR="00D45B0B" w:rsidRPr="00C45E6C" w:rsidRDefault="00D45B0B">
            <w:pPr>
              <w:pStyle w:val="TableText"/>
            </w:pPr>
          </w:p>
        </w:tc>
        <w:tc>
          <w:tcPr>
            <w:tcW w:w="0" w:type="auto"/>
            <w:tcBorders>
              <w:top w:val="nil"/>
              <w:bottom w:val="nil"/>
            </w:tcBorders>
            <w:shd w:val="clear" w:color="auto" w:fill="auto"/>
          </w:tcPr>
          <w:p w14:paraId="7415E1D9" w14:textId="77777777" w:rsidR="00D45B0B" w:rsidRPr="00C45E6C" w:rsidRDefault="00D45B0B">
            <w:pPr>
              <w:pStyle w:val="TableText"/>
            </w:pPr>
            <w:proofErr w:type="spellStart"/>
            <w:r w:rsidRPr="00C45E6C">
              <w:t>eviQ</w:t>
            </w:r>
            <w:proofErr w:type="spellEnd"/>
          </w:p>
        </w:tc>
        <w:tc>
          <w:tcPr>
            <w:tcW w:w="0" w:type="auto"/>
            <w:tcBorders>
              <w:top w:val="nil"/>
              <w:bottom w:val="nil"/>
            </w:tcBorders>
            <w:shd w:val="clear" w:color="auto" w:fill="auto"/>
          </w:tcPr>
          <w:p w14:paraId="06863573" w14:textId="258BDE1B" w:rsidR="00D45B0B" w:rsidRPr="00C45E6C" w:rsidRDefault="00000000">
            <w:pPr>
              <w:pStyle w:val="TableText"/>
            </w:pPr>
            <w:hyperlink r:id="rId49" w:history="1">
              <w:r w:rsidR="00D45B0B" w:rsidRPr="00C45E6C">
                <w:rPr>
                  <w:rStyle w:val="Hyperlink"/>
                  <w:rFonts w:eastAsia="MS Gothic"/>
                </w:rPr>
                <w:t>www.eviq.org.au</w:t>
              </w:r>
            </w:hyperlink>
          </w:p>
        </w:tc>
      </w:tr>
      <w:tr w:rsidR="00D45B0B" w:rsidRPr="00C45E6C" w14:paraId="2EC8A26D" w14:textId="77777777">
        <w:trPr>
          <w:cantSplit/>
        </w:trPr>
        <w:tc>
          <w:tcPr>
            <w:tcW w:w="0" w:type="auto"/>
            <w:vMerge/>
            <w:tcBorders>
              <w:bottom w:val="single" w:sz="4" w:space="0" w:color="C2D9BA"/>
            </w:tcBorders>
            <w:shd w:val="clear" w:color="auto" w:fill="auto"/>
          </w:tcPr>
          <w:p w14:paraId="27836D2E" w14:textId="77777777" w:rsidR="00D45B0B" w:rsidRPr="00C45E6C" w:rsidRDefault="00D45B0B">
            <w:pPr>
              <w:pStyle w:val="TableText"/>
            </w:pPr>
          </w:p>
        </w:tc>
        <w:tc>
          <w:tcPr>
            <w:tcW w:w="0" w:type="auto"/>
            <w:tcBorders>
              <w:top w:val="nil"/>
              <w:bottom w:val="single" w:sz="4" w:space="0" w:color="C2D9BA"/>
            </w:tcBorders>
            <w:shd w:val="clear" w:color="auto" w:fill="auto"/>
          </w:tcPr>
          <w:p w14:paraId="78005599" w14:textId="77777777" w:rsidR="00D45B0B" w:rsidRPr="00C45E6C" w:rsidRDefault="00D45B0B">
            <w:pPr>
              <w:pStyle w:val="TableText"/>
            </w:pPr>
            <w:proofErr w:type="spellStart"/>
            <w:r w:rsidRPr="00C45E6C">
              <w:t>Medsafe</w:t>
            </w:r>
            <w:proofErr w:type="spellEnd"/>
            <w:r w:rsidRPr="00C45E6C">
              <w:t xml:space="preserve"> Data Sheets</w:t>
            </w:r>
          </w:p>
        </w:tc>
        <w:tc>
          <w:tcPr>
            <w:tcW w:w="0" w:type="auto"/>
            <w:tcBorders>
              <w:top w:val="nil"/>
              <w:bottom w:val="single" w:sz="4" w:space="0" w:color="C2D9BA"/>
            </w:tcBorders>
            <w:shd w:val="clear" w:color="auto" w:fill="auto"/>
          </w:tcPr>
          <w:p w14:paraId="3FE0D142" w14:textId="77777777" w:rsidR="00D45B0B" w:rsidRPr="00C45E6C" w:rsidRDefault="00000000">
            <w:pPr>
              <w:pStyle w:val="TableText"/>
            </w:pPr>
            <w:hyperlink r:id="rId50" w:history="1">
              <w:r w:rsidR="00D45B0B" w:rsidRPr="00C45E6C">
                <w:rPr>
                  <w:rStyle w:val="Hyperlink"/>
                  <w:rFonts w:eastAsia="MS Gothic"/>
                </w:rPr>
                <w:t>www.medsafe.govt.nz/Medicines/infoSearch.asp</w:t>
              </w:r>
            </w:hyperlink>
          </w:p>
        </w:tc>
      </w:tr>
      <w:tr w:rsidR="00D45B0B" w:rsidRPr="00C45E6C" w14:paraId="0323A101" w14:textId="77777777">
        <w:trPr>
          <w:cantSplit/>
        </w:trPr>
        <w:tc>
          <w:tcPr>
            <w:tcW w:w="0" w:type="auto"/>
            <w:tcBorders>
              <w:top w:val="single" w:sz="4" w:space="0" w:color="C2D9BA"/>
              <w:bottom w:val="single" w:sz="4" w:space="0" w:color="C2D9BA"/>
            </w:tcBorders>
            <w:shd w:val="clear" w:color="auto" w:fill="auto"/>
          </w:tcPr>
          <w:p w14:paraId="620BF415" w14:textId="77777777" w:rsidR="00D45B0B" w:rsidRPr="00C45E6C" w:rsidRDefault="00D45B0B">
            <w:pPr>
              <w:pStyle w:val="TableText"/>
            </w:pPr>
            <w:r w:rsidRPr="00C45E6C">
              <w:t>ESMO-MCBS:H scores</w:t>
            </w:r>
          </w:p>
        </w:tc>
        <w:tc>
          <w:tcPr>
            <w:tcW w:w="0" w:type="auto"/>
            <w:tcBorders>
              <w:top w:val="single" w:sz="4" w:space="0" w:color="C2D9BA"/>
              <w:bottom w:val="single" w:sz="4" w:space="0" w:color="C2D9BA"/>
            </w:tcBorders>
            <w:shd w:val="clear" w:color="auto" w:fill="auto"/>
          </w:tcPr>
          <w:p w14:paraId="7F9FA437" w14:textId="77777777" w:rsidR="00D45B0B" w:rsidRPr="00C45E6C" w:rsidRDefault="00D45B0B">
            <w:pPr>
              <w:pStyle w:val="TableText"/>
            </w:pPr>
            <w:r w:rsidRPr="00C45E6C">
              <w:t>ESMO</w:t>
            </w:r>
          </w:p>
        </w:tc>
        <w:tc>
          <w:tcPr>
            <w:tcW w:w="0" w:type="auto"/>
            <w:tcBorders>
              <w:top w:val="single" w:sz="4" w:space="0" w:color="C2D9BA"/>
              <w:bottom w:val="single" w:sz="4" w:space="0" w:color="C2D9BA"/>
            </w:tcBorders>
            <w:shd w:val="clear" w:color="auto" w:fill="auto"/>
          </w:tcPr>
          <w:p w14:paraId="2A6BC2F9" w14:textId="4CE80B90" w:rsidR="00D45B0B" w:rsidRPr="00C45E6C" w:rsidRDefault="00000000">
            <w:pPr>
              <w:pStyle w:val="TableText"/>
            </w:pPr>
            <w:hyperlink r:id="rId51" w:history="1">
              <w:r w:rsidR="00BD7C59" w:rsidRPr="00C6753F">
                <w:rPr>
                  <w:rStyle w:val="Hyperlink"/>
                  <w:rFonts w:eastAsia="MS Gothic"/>
                </w:rPr>
                <w:t>www.esmo.org/guidelines/esmo-mcbs/esmo-mcbs-for-haematological-malignancies/esmo-mcbs-h-evaluation-forms</w:t>
              </w:r>
            </w:hyperlink>
            <w:r w:rsidR="00BD7C59">
              <w:rPr>
                <w:rStyle w:val="Hyperlink"/>
                <w:rFonts w:eastAsia="MS Gothic"/>
              </w:rPr>
              <w:t xml:space="preserve"> </w:t>
            </w:r>
          </w:p>
        </w:tc>
      </w:tr>
      <w:tr w:rsidR="00D45B0B" w:rsidRPr="00C45E6C" w14:paraId="36D51CCB" w14:textId="77777777">
        <w:trPr>
          <w:cantSplit/>
        </w:trPr>
        <w:tc>
          <w:tcPr>
            <w:tcW w:w="0" w:type="auto"/>
            <w:tcBorders>
              <w:top w:val="single" w:sz="4" w:space="0" w:color="C2D9BA"/>
              <w:bottom w:val="single" w:sz="4" w:space="0" w:color="C2D9BA"/>
            </w:tcBorders>
            <w:shd w:val="clear" w:color="auto" w:fill="auto"/>
          </w:tcPr>
          <w:p w14:paraId="08E44EFA" w14:textId="77777777" w:rsidR="00D45B0B" w:rsidRPr="00C45E6C" w:rsidRDefault="00D45B0B">
            <w:pPr>
              <w:pStyle w:val="TableText"/>
            </w:pPr>
            <w:r w:rsidRPr="00C45E6C">
              <w:t>Pharmac status</w:t>
            </w:r>
          </w:p>
        </w:tc>
        <w:tc>
          <w:tcPr>
            <w:tcW w:w="0" w:type="auto"/>
            <w:tcBorders>
              <w:top w:val="single" w:sz="4" w:space="0" w:color="C2D9BA"/>
              <w:bottom w:val="single" w:sz="4" w:space="0" w:color="C2D9BA"/>
            </w:tcBorders>
            <w:shd w:val="clear" w:color="auto" w:fill="auto"/>
          </w:tcPr>
          <w:p w14:paraId="39B6755C" w14:textId="3F9C8A64" w:rsidR="00D45B0B" w:rsidRPr="00C45E6C" w:rsidRDefault="00D45B0B">
            <w:pPr>
              <w:pStyle w:val="TableText"/>
            </w:pPr>
            <w:r w:rsidRPr="00C45E6C">
              <w:t xml:space="preserve">Pharmac </w:t>
            </w:r>
            <w:r w:rsidR="00D6063A">
              <w:t>A</w:t>
            </w:r>
            <w:r w:rsidRPr="00C45E6C">
              <w:t xml:space="preserve">pplication </w:t>
            </w:r>
            <w:r w:rsidR="00D6063A">
              <w:t>T</w:t>
            </w:r>
            <w:r w:rsidRPr="00C45E6C">
              <w:t>racker</w:t>
            </w:r>
          </w:p>
        </w:tc>
        <w:tc>
          <w:tcPr>
            <w:tcW w:w="0" w:type="auto"/>
            <w:tcBorders>
              <w:top w:val="single" w:sz="4" w:space="0" w:color="C2D9BA"/>
              <w:bottom w:val="single" w:sz="4" w:space="0" w:color="C2D9BA"/>
            </w:tcBorders>
            <w:shd w:val="clear" w:color="auto" w:fill="auto"/>
          </w:tcPr>
          <w:p w14:paraId="27C11F29" w14:textId="4E885F5D" w:rsidR="00D45B0B" w:rsidRPr="00C45E6C" w:rsidRDefault="00000000">
            <w:pPr>
              <w:pStyle w:val="TableText"/>
              <w:rPr>
                <w:rStyle w:val="Hyperlink"/>
              </w:rPr>
            </w:pPr>
            <w:hyperlink r:id="rId52" w:history="1">
              <w:r w:rsidR="00D45B0B" w:rsidRPr="00C45E6C">
                <w:rPr>
                  <w:rStyle w:val="Hyperlink"/>
                </w:rPr>
                <w:t>connect.pharmac.govt.nz/</w:t>
              </w:r>
              <w:proofErr w:type="spellStart"/>
              <w:r w:rsidR="00D45B0B" w:rsidRPr="00C45E6C">
                <w:rPr>
                  <w:rStyle w:val="Hyperlink"/>
                </w:rPr>
                <w:t>apptracker</w:t>
              </w:r>
              <w:proofErr w:type="spellEnd"/>
              <w:r w:rsidR="00D45B0B" w:rsidRPr="00C45E6C">
                <w:rPr>
                  <w:rStyle w:val="Hyperlink"/>
                </w:rPr>
                <w:t>/s</w:t>
              </w:r>
            </w:hyperlink>
          </w:p>
        </w:tc>
      </w:tr>
      <w:tr w:rsidR="00D45B0B" w:rsidRPr="00C45E6C" w14:paraId="23A2DC45" w14:textId="77777777">
        <w:trPr>
          <w:cantSplit/>
        </w:trPr>
        <w:tc>
          <w:tcPr>
            <w:tcW w:w="0" w:type="auto"/>
            <w:vMerge w:val="restart"/>
            <w:tcBorders>
              <w:top w:val="single" w:sz="4" w:space="0" w:color="C2D9BA"/>
            </w:tcBorders>
            <w:shd w:val="clear" w:color="auto" w:fill="auto"/>
          </w:tcPr>
          <w:p w14:paraId="28BE7ABA" w14:textId="77777777" w:rsidR="00D45B0B" w:rsidRPr="00C45E6C" w:rsidRDefault="00D45B0B">
            <w:pPr>
              <w:pStyle w:val="TableText"/>
            </w:pPr>
            <w:r w:rsidRPr="00C45E6C">
              <w:t>Clinical relevance of gaps</w:t>
            </w:r>
          </w:p>
        </w:tc>
        <w:tc>
          <w:tcPr>
            <w:tcW w:w="0" w:type="auto"/>
            <w:tcBorders>
              <w:top w:val="single" w:sz="4" w:space="0" w:color="C2D9BA"/>
              <w:bottom w:val="nil"/>
            </w:tcBorders>
            <w:shd w:val="clear" w:color="auto" w:fill="auto"/>
          </w:tcPr>
          <w:p w14:paraId="2E770963" w14:textId="77777777" w:rsidR="00D45B0B" w:rsidRPr="00C45E6C" w:rsidRDefault="00D45B0B">
            <w:pPr>
              <w:pStyle w:val="TableText"/>
            </w:pPr>
            <w:r w:rsidRPr="00C45E6C">
              <w:t>Clinical advice</w:t>
            </w:r>
          </w:p>
        </w:tc>
        <w:tc>
          <w:tcPr>
            <w:tcW w:w="0" w:type="auto"/>
            <w:tcBorders>
              <w:top w:val="single" w:sz="4" w:space="0" w:color="C2D9BA"/>
              <w:bottom w:val="nil"/>
            </w:tcBorders>
            <w:shd w:val="clear" w:color="auto" w:fill="auto"/>
          </w:tcPr>
          <w:p w14:paraId="27AFF04F" w14:textId="77777777" w:rsidR="00D45B0B" w:rsidRPr="00C45E6C" w:rsidRDefault="00D45B0B">
            <w:pPr>
              <w:pStyle w:val="TableText"/>
            </w:pPr>
          </w:p>
        </w:tc>
      </w:tr>
      <w:tr w:rsidR="00D45B0B" w:rsidRPr="00C45E6C" w14:paraId="0D153155" w14:textId="77777777">
        <w:trPr>
          <w:cantSplit/>
        </w:trPr>
        <w:tc>
          <w:tcPr>
            <w:tcW w:w="0" w:type="auto"/>
            <w:vMerge/>
            <w:shd w:val="clear" w:color="auto" w:fill="auto"/>
          </w:tcPr>
          <w:p w14:paraId="39E9072D" w14:textId="77777777" w:rsidR="00D45B0B" w:rsidRPr="00C45E6C" w:rsidRDefault="00D45B0B">
            <w:pPr>
              <w:pStyle w:val="TableText"/>
            </w:pPr>
          </w:p>
        </w:tc>
        <w:tc>
          <w:tcPr>
            <w:tcW w:w="0" w:type="auto"/>
            <w:tcBorders>
              <w:top w:val="nil"/>
              <w:bottom w:val="nil"/>
            </w:tcBorders>
            <w:shd w:val="clear" w:color="auto" w:fill="auto"/>
          </w:tcPr>
          <w:p w14:paraId="3BC52775" w14:textId="77777777" w:rsidR="00D45B0B" w:rsidRPr="00C45E6C" w:rsidRDefault="00D45B0B">
            <w:pPr>
              <w:pStyle w:val="TableText"/>
            </w:pPr>
            <w:r w:rsidRPr="00C45E6C">
              <w:t>ACT-NOW SACT regimen library</w:t>
            </w:r>
          </w:p>
        </w:tc>
        <w:tc>
          <w:tcPr>
            <w:tcW w:w="0" w:type="auto"/>
            <w:tcBorders>
              <w:top w:val="nil"/>
              <w:bottom w:val="nil"/>
            </w:tcBorders>
            <w:shd w:val="clear" w:color="auto" w:fill="auto"/>
          </w:tcPr>
          <w:p w14:paraId="158792BE" w14:textId="2F90F149" w:rsidR="00D45B0B" w:rsidRPr="00C45E6C" w:rsidRDefault="00000000">
            <w:pPr>
              <w:pStyle w:val="TableText"/>
              <w:rPr>
                <w:rStyle w:val="Hyperlink"/>
              </w:rPr>
            </w:pPr>
            <w:hyperlink r:id="rId53" w:history="1">
              <w:r w:rsidR="00D45B0B" w:rsidRPr="00C45E6C">
                <w:rPr>
                  <w:rStyle w:val="Hyperlink"/>
                </w:rPr>
                <w:t>nzf.org.nz/regimens</w:t>
              </w:r>
            </w:hyperlink>
          </w:p>
        </w:tc>
      </w:tr>
      <w:tr w:rsidR="00D45B0B" w:rsidRPr="00C45E6C" w14:paraId="1E394C3E" w14:textId="77777777">
        <w:trPr>
          <w:cantSplit/>
        </w:trPr>
        <w:tc>
          <w:tcPr>
            <w:tcW w:w="0" w:type="auto"/>
            <w:vMerge/>
            <w:tcBorders>
              <w:bottom w:val="single" w:sz="4" w:space="0" w:color="C2D9BA"/>
            </w:tcBorders>
            <w:shd w:val="clear" w:color="auto" w:fill="auto"/>
          </w:tcPr>
          <w:p w14:paraId="01124719" w14:textId="77777777" w:rsidR="00D45B0B" w:rsidRPr="00C45E6C" w:rsidRDefault="00D45B0B">
            <w:pPr>
              <w:pStyle w:val="TableText"/>
            </w:pPr>
          </w:p>
        </w:tc>
        <w:tc>
          <w:tcPr>
            <w:tcW w:w="0" w:type="auto"/>
            <w:tcBorders>
              <w:top w:val="nil"/>
              <w:bottom w:val="single" w:sz="4" w:space="0" w:color="C2D9BA"/>
            </w:tcBorders>
            <w:shd w:val="clear" w:color="auto" w:fill="auto"/>
          </w:tcPr>
          <w:p w14:paraId="353E4CEB" w14:textId="77777777" w:rsidR="00D45B0B" w:rsidRPr="00C45E6C" w:rsidRDefault="00D45B0B">
            <w:pPr>
              <w:pStyle w:val="TableText"/>
            </w:pPr>
            <w:proofErr w:type="spellStart"/>
            <w:r w:rsidRPr="00C45E6C">
              <w:t>eviQ</w:t>
            </w:r>
            <w:proofErr w:type="spellEnd"/>
          </w:p>
        </w:tc>
        <w:tc>
          <w:tcPr>
            <w:tcW w:w="0" w:type="auto"/>
            <w:tcBorders>
              <w:top w:val="nil"/>
              <w:bottom w:val="single" w:sz="4" w:space="0" w:color="C2D9BA"/>
            </w:tcBorders>
            <w:shd w:val="clear" w:color="auto" w:fill="auto"/>
          </w:tcPr>
          <w:p w14:paraId="3219AE1D" w14:textId="21C1C47A" w:rsidR="00D45B0B" w:rsidRPr="00C45E6C" w:rsidRDefault="00000000">
            <w:pPr>
              <w:pStyle w:val="TableText"/>
            </w:pPr>
            <w:hyperlink r:id="rId54" w:history="1">
              <w:r w:rsidR="00D45B0B" w:rsidRPr="00C45E6C">
                <w:rPr>
                  <w:rStyle w:val="Hyperlink"/>
                  <w:rFonts w:eastAsia="MS Gothic"/>
                </w:rPr>
                <w:t>www.eviq.org.au</w:t>
              </w:r>
            </w:hyperlink>
          </w:p>
        </w:tc>
      </w:tr>
      <w:tr w:rsidR="00D45B0B" w:rsidRPr="00C45E6C" w14:paraId="69453E20" w14:textId="77777777">
        <w:trPr>
          <w:cantSplit/>
        </w:trPr>
        <w:tc>
          <w:tcPr>
            <w:tcW w:w="0" w:type="auto"/>
            <w:vMerge w:val="restart"/>
            <w:tcBorders>
              <w:top w:val="single" w:sz="4" w:space="0" w:color="C2D9BA"/>
            </w:tcBorders>
            <w:shd w:val="clear" w:color="auto" w:fill="auto"/>
          </w:tcPr>
          <w:p w14:paraId="172E9D1D" w14:textId="77777777" w:rsidR="00D45B0B" w:rsidRPr="00C45E6C" w:rsidRDefault="00D45B0B">
            <w:pPr>
              <w:pStyle w:val="TableText"/>
            </w:pPr>
            <w:r w:rsidRPr="00C45E6C">
              <w:t>Patient and health sector considerations</w:t>
            </w:r>
          </w:p>
        </w:tc>
        <w:tc>
          <w:tcPr>
            <w:tcW w:w="0" w:type="auto"/>
            <w:tcBorders>
              <w:top w:val="single" w:sz="4" w:space="0" w:color="C2D9BA"/>
              <w:bottom w:val="nil"/>
            </w:tcBorders>
            <w:shd w:val="clear" w:color="auto" w:fill="auto"/>
          </w:tcPr>
          <w:p w14:paraId="724E0E4D" w14:textId="77777777" w:rsidR="00D45B0B" w:rsidRPr="00C45E6C" w:rsidRDefault="00D45B0B">
            <w:pPr>
              <w:pStyle w:val="TableText"/>
            </w:pPr>
            <w:r w:rsidRPr="00C45E6C">
              <w:t>ACT-NOW SACT regimen library</w:t>
            </w:r>
          </w:p>
        </w:tc>
        <w:tc>
          <w:tcPr>
            <w:tcW w:w="0" w:type="auto"/>
            <w:tcBorders>
              <w:top w:val="single" w:sz="4" w:space="0" w:color="C2D9BA"/>
              <w:bottom w:val="nil"/>
            </w:tcBorders>
            <w:shd w:val="clear" w:color="auto" w:fill="auto"/>
          </w:tcPr>
          <w:p w14:paraId="3787A156" w14:textId="0D73E263" w:rsidR="00D45B0B" w:rsidRPr="00C45E6C" w:rsidRDefault="00000000">
            <w:pPr>
              <w:pStyle w:val="TableText"/>
              <w:rPr>
                <w:rStyle w:val="Hyperlink"/>
              </w:rPr>
            </w:pPr>
            <w:hyperlink r:id="rId55" w:history="1">
              <w:r w:rsidR="00D45B0B" w:rsidRPr="00C45E6C">
                <w:rPr>
                  <w:rStyle w:val="Hyperlink"/>
                </w:rPr>
                <w:t>nzf.org.nz/regimens</w:t>
              </w:r>
            </w:hyperlink>
          </w:p>
        </w:tc>
      </w:tr>
      <w:tr w:rsidR="00D45B0B" w:rsidRPr="00C45E6C" w14:paraId="17449AC5" w14:textId="77777777">
        <w:trPr>
          <w:cantSplit/>
        </w:trPr>
        <w:tc>
          <w:tcPr>
            <w:tcW w:w="0" w:type="auto"/>
            <w:vMerge/>
            <w:shd w:val="clear" w:color="auto" w:fill="auto"/>
          </w:tcPr>
          <w:p w14:paraId="206D4252" w14:textId="77777777" w:rsidR="00D45B0B" w:rsidRPr="00C45E6C" w:rsidRDefault="00D45B0B">
            <w:pPr>
              <w:pStyle w:val="TableText"/>
            </w:pPr>
          </w:p>
        </w:tc>
        <w:tc>
          <w:tcPr>
            <w:tcW w:w="0" w:type="auto"/>
            <w:tcBorders>
              <w:top w:val="nil"/>
              <w:bottom w:val="nil"/>
            </w:tcBorders>
            <w:shd w:val="clear" w:color="auto" w:fill="auto"/>
          </w:tcPr>
          <w:p w14:paraId="1A95FE76" w14:textId="77777777" w:rsidR="00D45B0B" w:rsidRPr="00C45E6C" w:rsidRDefault="00D45B0B">
            <w:pPr>
              <w:pStyle w:val="TableText"/>
            </w:pPr>
            <w:proofErr w:type="spellStart"/>
            <w:r w:rsidRPr="00C45E6C">
              <w:t>eviQ</w:t>
            </w:r>
            <w:proofErr w:type="spellEnd"/>
          </w:p>
        </w:tc>
        <w:tc>
          <w:tcPr>
            <w:tcW w:w="0" w:type="auto"/>
            <w:tcBorders>
              <w:top w:val="nil"/>
              <w:bottom w:val="nil"/>
            </w:tcBorders>
            <w:shd w:val="clear" w:color="auto" w:fill="auto"/>
          </w:tcPr>
          <w:p w14:paraId="074FB0F7" w14:textId="7C2E8F2D" w:rsidR="00D45B0B" w:rsidRPr="00C45E6C" w:rsidRDefault="00000000">
            <w:pPr>
              <w:pStyle w:val="TableText"/>
            </w:pPr>
            <w:hyperlink r:id="rId56" w:history="1">
              <w:r w:rsidR="00D45B0B" w:rsidRPr="00C45E6C">
                <w:rPr>
                  <w:rStyle w:val="Hyperlink"/>
                  <w:rFonts w:eastAsia="MS Gothic"/>
                </w:rPr>
                <w:t>www.eviq.org.au</w:t>
              </w:r>
            </w:hyperlink>
          </w:p>
        </w:tc>
      </w:tr>
      <w:tr w:rsidR="00D45B0B" w:rsidRPr="00C45E6C" w14:paraId="6B7B7CB6" w14:textId="77777777">
        <w:trPr>
          <w:cantSplit/>
        </w:trPr>
        <w:tc>
          <w:tcPr>
            <w:tcW w:w="0" w:type="auto"/>
            <w:vMerge/>
            <w:tcBorders>
              <w:bottom w:val="single" w:sz="4" w:space="0" w:color="C2D9BA"/>
            </w:tcBorders>
            <w:shd w:val="clear" w:color="auto" w:fill="auto"/>
          </w:tcPr>
          <w:p w14:paraId="3DF24365" w14:textId="77777777" w:rsidR="00D45B0B" w:rsidRPr="00C45E6C" w:rsidRDefault="00D45B0B">
            <w:pPr>
              <w:pStyle w:val="TableText"/>
            </w:pPr>
          </w:p>
        </w:tc>
        <w:tc>
          <w:tcPr>
            <w:tcW w:w="0" w:type="auto"/>
            <w:tcBorders>
              <w:top w:val="nil"/>
              <w:bottom w:val="single" w:sz="4" w:space="0" w:color="C2D9BA"/>
            </w:tcBorders>
            <w:shd w:val="clear" w:color="auto" w:fill="auto"/>
          </w:tcPr>
          <w:p w14:paraId="12104CA4" w14:textId="77777777" w:rsidR="00D45B0B" w:rsidRPr="00C45E6C" w:rsidRDefault="00D45B0B">
            <w:pPr>
              <w:pStyle w:val="TableText"/>
            </w:pPr>
            <w:proofErr w:type="spellStart"/>
            <w:r w:rsidRPr="00C45E6C">
              <w:t>Medsafe</w:t>
            </w:r>
            <w:proofErr w:type="spellEnd"/>
            <w:r w:rsidRPr="00C45E6C">
              <w:t xml:space="preserve"> Data Sheets</w:t>
            </w:r>
          </w:p>
        </w:tc>
        <w:tc>
          <w:tcPr>
            <w:tcW w:w="0" w:type="auto"/>
            <w:tcBorders>
              <w:top w:val="nil"/>
              <w:bottom w:val="single" w:sz="4" w:space="0" w:color="C2D9BA"/>
            </w:tcBorders>
            <w:shd w:val="clear" w:color="auto" w:fill="auto"/>
          </w:tcPr>
          <w:p w14:paraId="1658E5FB" w14:textId="77777777" w:rsidR="00D45B0B" w:rsidRPr="00C45E6C" w:rsidRDefault="00000000">
            <w:pPr>
              <w:pStyle w:val="TableText"/>
            </w:pPr>
            <w:hyperlink r:id="rId57" w:history="1">
              <w:r w:rsidR="00D45B0B" w:rsidRPr="00C45E6C">
                <w:rPr>
                  <w:rStyle w:val="Hyperlink"/>
                  <w:rFonts w:eastAsia="MS Gothic"/>
                </w:rPr>
                <w:t>www.medsafe.govt.nz/Medicines/infoSearch.asp</w:t>
              </w:r>
            </w:hyperlink>
          </w:p>
        </w:tc>
      </w:tr>
    </w:tbl>
    <w:p w14:paraId="1E587F7A" w14:textId="5F609897" w:rsidR="00631EF5" w:rsidRDefault="00631EF5" w:rsidP="00D45B0B"/>
    <w:p w14:paraId="4D1B2733" w14:textId="77777777" w:rsidR="00D45B0B" w:rsidRPr="00D45B0B" w:rsidRDefault="00D45B0B" w:rsidP="00D45B0B"/>
    <w:sectPr w:rsidR="00D45B0B" w:rsidRPr="00D45B0B" w:rsidSect="00A12A44">
      <w:headerReference w:type="even" r:id="rId58"/>
      <w:headerReference w:type="default" r:id="rId59"/>
      <w:footerReference w:type="even" r:id="rId60"/>
      <w:footerReference w:type="default" r:id="rId61"/>
      <w:headerReference w:type="first" r:id="rId62"/>
      <w:pgSz w:w="11907" w:h="16834" w:code="9"/>
      <w:pgMar w:top="1418" w:right="1701" w:bottom="1418" w:left="1843" w:header="284" w:footer="425" w:gutter="284"/>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DE013" w14:textId="77777777" w:rsidR="002A7A4A" w:rsidRDefault="002A7A4A">
      <w:r>
        <w:separator/>
      </w:r>
    </w:p>
    <w:p w14:paraId="2EEA18BD" w14:textId="77777777" w:rsidR="002A7A4A" w:rsidRDefault="002A7A4A"/>
  </w:endnote>
  <w:endnote w:type="continuationSeparator" w:id="0">
    <w:p w14:paraId="2336A14F" w14:textId="77777777" w:rsidR="002A7A4A" w:rsidRDefault="002A7A4A">
      <w:r>
        <w:continuationSeparator/>
      </w:r>
    </w:p>
    <w:p w14:paraId="01D71989" w14:textId="77777777" w:rsidR="002A7A4A" w:rsidRDefault="002A7A4A"/>
  </w:endnote>
  <w:endnote w:type="continuationNotice" w:id="1">
    <w:p w14:paraId="4CEBBF6C" w14:textId="77777777" w:rsidR="002A7A4A" w:rsidRDefault="002A7A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äori">
    <w:altName w:val="Arial"/>
    <w:charset w:val="00"/>
    <w:family w:val="swiss"/>
    <w:pitch w:val="variable"/>
    <w:sig w:usb0="20002A87" w:usb1="80000000" w:usb2="00000008" w:usb3="00000000" w:csb0="000001FF" w:csb1="00000000"/>
  </w:font>
  <w:font w:name="Fira Sans">
    <w:altName w:val="Calibri"/>
    <w:charset w:val="00"/>
    <w:family w:val="swiss"/>
    <w:pitch w:val="variable"/>
    <w:sig w:usb0="600002FF" w:usb1="00000001" w:usb2="00000000" w:usb3="00000000" w:csb0="0000019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Fira Sans SemiBold">
    <w:charset w:val="00"/>
    <w:family w:val="swiss"/>
    <w:pitch w:val="variable"/>
    <w:sig w:usb0="600002FF"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BFCCB" w14:textId="0A88F3F4" w:rsidR="00105770" w:rsidRPr="005718A6" w:rsidRDefault="00105770" w:rsidP="005A79E5">
    <w:pPr>
      <w:pStyle w:val="Footer"/>
      <w:pBdr>
        <w:bottom w:val="single" w:sz="4" w:space="1" w:color="auto"/>
      </w:pBdr>
      <w:tabs>
        <w:tab w:val="right" w:pos="9639"/>
      </w:tabs>
    </w:pPr>
    <w:r w:rsidRPr="005718A6">
      <w:t>Released 20</w:t>
    </w:r>
    <w:r w:rsidR="00FB0A5B" w:rsidRPr="005718A6">
      <w:t>20</w:t>
    </w:r>
    <w:r w:rsidRPr="005718A6">
      <w:tab/>
    </w:r>
    <w:hyperlink r:id="rId1" w:history="1">
      <w:r w:rsidR="00200906" w:rsidRPr="00414B6D">
        <w:rPr>
          <w:rStyle w:val="Hyperlink"/>
        </w:rPr>
        <w:t>health.govt.nz</w:t>
      </w:r>
    </w:hyperlink>
  </w:p>
  <w:p w14:paraId="6B7DB602" w14:textId="77777777" w:rsidR="00105770" w:rsidRPr="005A79E5" w:rsidRDefault="00105770">
    <w:pPr>
      <w:pStyle w:val="Foote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567" w:type="dxa"/>
      <w:tblLayout w:type="fixed"/>
      <w:tblLook w:val="04A0" w:firstRow="1" w:lastRow="0" w:firstColumn="1" w:lastColumn="0" w:noHBand="0" w:noVBand="1"/>
    </w:tblPr>
    <w:tblGrid>
      <w:gridCol w:w="628"/>
      <w:gridCol w:w="7376"/>
      <w:gridCol w:w="785"/>
    </w:tblGrid>
    <w:tr w:rsidR="00F962E4" w14:paraId="0E6F35EF" w14:textId="77777777" w:rsidTr="007A49B9">
      <w:trPr>
        <w:cantSplit/>
      </w:trPr>
      <w:tc>
        <w:tcPr>
          <w:tcW w:w="675" w:type="dxa"/>
          <w:vAlign w:val="center"/>
        </w:tcPr>
        <w:p w14:paraId="56210AB7" w14:textId="77777777" w:rsidR="00F962E4" w:rsidRPr="00931466" w:rsidRDefault="00F962E4"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8222" w:type="dxa"/>
          <w:vAlign w:val="center"/>
        </w:tcPr>
        <w:p w14:paraId="4CA4ED57" w14:textId="08B01A3D" w:rsidR="00F962E4" w:rsidRDefault="00C574A0" w:rsidP="00120C4C">
          <w:pPr>
            <w:pStyle w:val="RectoFooter"/>
            <w:spacing w:before="120"/>
            <w:ind w:left="-108"/>
          </w:pPr>
          <w:r w:rsidRPr="00D61AFB">
            <w:t>Te rere o te toto</w:t>
          </w:r>
          <w:r w:rsidR="00B02B56">
            <w:t xml:space="preserve"> –</w:t>
          </w:r>
          <w:r w:rsidRPr="00D61AFB">
            <w:t xml:space="preserve"> Understanding blood cancer medicine availability in Aotearoa</w:t>
          </w:r>
          <w:r w:rsidR="00B02B56">
            <w:t xml:space="preserve"> New Zealand: </w:t>
          </w:r>
          <w:r>
            <w:t>SUMMARY REPORT</w:t>
          </w:r>
        </w:p>
      </w:tc>
      <w:tc>
        <w:tcPr>
          <w:tcW w:w="850" w:type="dxa"/>
          <w:vAlign w:val="center"/>
        </w:tcPr>
        <w:p w14:paraId="6E31FACB" w14:textId="77777777" w:rsidR="00F962E4" w:rsidRDefault="00F962E4" w:rsidP="00120C4C">
          <w:pPr>
            <w:pStyle w:val="RectoFooter"/>
            <w:spacing w:before="120"/>
            <w:ind w:left="-108"/>
          </w:pPr>
          <w:r>
            <w:rPr>
              <w:noProof/>
              <w:lang w:eastAsia="en-NZ"/>
            </w:rPr>
            <w:drawing>
              <wp:inline distT="0" distB="0" distL="0" distR="0" wp14:anchorId="2BC7555E" wp14:editId="1922C3A7">
                <wp:extent cx="373711" cy="414082"/>
                <wp:effectExtent l="0" t="0" r="7620" b="5080"/>
                <wp:docPr id="97811727" name="Picture 9781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B74D2C9" w14:textId="77777777" w:rsidR="00F962E4" w:rsidRPr="00571223" w:rsidRDefault="00F962E4" w:rsidP="00571223">
    <w:pPr>
      <w:pStyle w:val="VersoFooter"/>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6D28C9" w14:paraId="7B448D55" w14:textId="77777777">
      <w:trPr>
        <w:cantSplit/>
      </w:trPr>
      <w:tc>
        <w:tcPr>
          <w:tcW w:w="709" w:type="dxa"/>
          <w:vAlign w:val="center"/>
        </w:tcPr>
        <w:p w14:paraId="32DD03C8" w14:textId="77777777" w:rsidR="006D28C9" w:rsidRDefault="006D28C9" w:rsidP="006D28C9">
          <w:pPr>
            <w:pStyle w:val="RectoFooter"/>
            <w:spacing w:before="120"/>
            <w:jc w:val="left"/>
          </w:pPr>
          <w:r>
            <w:rPr>
              <w:noProof/>
              <w:lang w:eastAsia="en-NZ"/>
            </w:rPr>
            <w:drawing>
              <wp:inline distT="0" distB="0" distL="0" distR="0" wp14:anchorId="40F87B10" wp14:editId="1795F94B">
                <wp:extent cx="373711" cy="414082"/>
                <wp:effectExtent l="0" t="0" r="7620" b="5080"/>
                <wp:docPr id="1026045008" name="Picture 10260450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973" name="Picture 9499973" descr="A logo with text on it&#10;&#10;Description automatically generated"/>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63E6E380" w14:textId="575EAD1A" w:rsidR="006D28C9" w:rsidRDefault="00C574A0" w:rsidP="006D28C9">
          <w:pPr>
            <w:pStyle w:val="RectoFooter"/>
            <w:spacing w:before="120"/>
            <w:jc w:val="left"/>
          </w:pPr>
          <w:r w:rsidRPr="00D61AFB">
            <w:t>Te rere o te toto: Understanding blood cancer medicine availability in Aotearoa</w:t>
          </w:r>
          <w:r>
            <w:t xml:space="preserve"> – </w:t>
          </w:r>
          <w:r>
            <w:br/>
            <w:t>SUMMARY REPORT</w:t>
          </w:r>
        </w:p>
      </w:tc>
      <w:tc>
        <w:tcPr>
          <w:tcW w:w="709" w:type="dxa"/>
          <w:vAlign w:val="center"/>
        </w:tcPr>
        <w:p w14:paraId="2BB28928" w14:textId="77777777" w:rsidR="006D28C9" w:rsidRPr="00931466" w:rsidRDefault="006D28C9" w:rsidP="006D28C9">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rPr>
            <w:t>47</w:t>
          </w:r>
          <w:r w:rsidRPr="00931466">
            <w:rPr>
              <w:rStyle w:val="PageNumber"/>
            </w:rPr>
            <w:fldChar w:fldCharType="end"/>
          </w:r>
        </w:p>
      </w:tc>
    </w:tr>
  </w:tbl>
  <w:p w14:paraId="0FEEF2DD" w14:textId="77777777" w:rsidR="006D28C9" w:rsidRPr="00581EB8" w:rsidRDefault="006D28C9" w:rsidP="006D28C9">
    <w:pPr>
      <w:pStyle w:val="Footer"/>
      <w:rPr>
        <w:sz w:val="2"/>
        <w:szCs w:val="2"/>
      </w:rPr>
    </w:pPr>
  </w:p>
  <w:p w14:paraId="7C0AD7E3" w14:textId="77777777" w:rsidR="006D28C9" w:rsidRPr="00581EB8" w:rsidRDefault="006D28C9" w:rsidP="00584749">
    <w:pPr>
      <w:pStyle w:val="Footer"/>
      <w:rPr>
        <w:sz w:val="2"/>
        <w:szCs w:val="2"/>
      </w:rPr>
    </w:pPr>
  </w:p>
  <w:p w14:paraId="47090D4F" w14:textId="77777777" w:rsidR="006D28C9" w:rsidRPr="00584749" w:rsidRDefault="006D28C9" w:rsidP="00584749">
    <w:pPr>
      <w:pStyle w:val="Foo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BA208" w14:textId="77777777" w:rsidR="00105770" w:rsidRDefault="00105770" w:rsidP="003D5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0026" w14:textId="77777777" w:rsidR="00105770" w:rsidRDefault="001057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567" w:type="dxa"/>
      <w:tblLayout w:type="fixed"/>
      <w:tblLook w:val="04A0" w:firstRow="1" w:lastRow="0" w:firstColumn="1" w:lastColumn="0" w:noHBand="0" w:noVBand="1"/>
    </w:tblPr>
    <w:tblGrid>
      <w:gridCol w:w="628"/>
      <w:gridCol w:w="7376"/>
      <w:gridCol w:w="785"/>
    </w:tblGrid>
    <w:tr w:rsidR="00825838" w14:paraId="6CB2529C" w14:textId="77777777" w:rsidTr="00825838">
      <w:trPr>
        <w:cantSplit/>
      </w:trPr>
      <w:tc>
        <w:tcPr>
          <w:tcW w:w="675" w:type="dxa"/>
          <w:vAlign w:val="center"/>
        </w:tcPr>
        <w:p w14:paraId="38A6D3CB" w14:textId="77777777" w:rsidR="00825838" w:rsidRPr="00931466" w:rsidRDefault="00825838" w:rsidP="00825838">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rPr>
            <w:t>2</w:t>
          </w:r>
          <w:r w:rsidRPr="00931466">
            <w:rPr>
              <w:rStyle w:val="PageNumber"/>
            </w:rPr>
            <w:fldChar w:fldCharType="end"/>
          </w:r>
        </w:p>
      </w:tc>
      <w:tc>
        <w:tcPr>
          <w:tcW w:w="8222" w:type="dxa"/>
          <w:vAlign w:val="center"/>
        </w:tcPr>
        <w:p w14:paraId="7317EE15" w14:textId="66EB9616" w:rsidR="00825838" w:rsidRDefault="00C574A0" w:rsidP="00825838">
          <w:pPr>
            <w:pStyle w:val="RectoFooter"/>
            <w:spacing w:before="120"/>
            <w:ind w:left="-108"/>
          </w:pPr>
          <w:r w:rsidRPr="00D61AFB">
            <w:t>Te rere o te toto</w:t>
          </w:r>
          <w:r w:rsidR="00B42C56">
            <w:t xml:space="preserve"> –</w:t>
          </w:r>
          <w:r w:rsidRPr="00D61AFB">
            <w:t xml:space="preserve"> Understanding blood cancer medicine availability in Aotearoa</w:t>
          </w:r>
          <w:r w:rsidR="00B42C56">
            <w:t xml:space="preserve"> New Zealand: </w:t>
          </w:r>
          <w:r>
            <w:t>SUMMARY REPORT</w:t>
          </w:r>
        </w:p>
      </w:tc>
      <w:tc>
        <w:tcPr>
          <w:tcW w:w="850" w:type="dxa"/>
          <w:vAlign w:val="center"/>
        </w:tcPr>
        <w:p w14:paraId="78158593" w14:textId="77777777" w:rsidR="00825838" w:rsidRDefault="00825838" w:rsidP="00825838">
          <w:pPr>
            <w:pStyle w:val="RectoFooter"/>
            <w:spacing w:before="120"/>
            <w:ind w:left="-108"/>
          </w:pPr>
          <w:r>
            <w:rPr>
              <w:noProof/>
              <w:lang w:eastAsia="en-NZ"/>
            </w:rPr>
            <w:drawing>
              <wp:inline distT="0" distB="0" distL="0" distR="0" wp14:anchorId="05ED5645" wp14:editId="7D13482A">
                <wp:extent cx="373711" cy="414082"/>
                <wp:effectExtent l="0" t="0" r="7620" b="5080"/>
                <wp:docPr id="169057118" name="Picture 16905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0180E68" w14:textId="77777777" w:rsidR="00825838" w:rsidRPr="00571223" w:rsidRDefault="00825838" w:rsidP="00825838">
    <w:pPr>
      <w:pStyle w:val="VersoFooter"/>
      <w:rPr>
        <w:sz w:val="2"/>
        <w:szCs w:val="2"/>
      </w:rPr>
    </w:pPr>
  </w:p>
  <w:p w14:paraId="4BA97D99" w14:textId="77777777" w:rsidR="004C2CF4" w:rsidRPr="00825838" w:rsidRDefault="004C2CF4" w:rsidP="003D7956">
    <w:pPr>
      <w:pStyle w:val="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8" w:type="dxa"/>
      <w:tblLayout w:type="fixed"/>
      <w:tblCellMar>
        <w:left w:w="0" w:type="dxa"/>
        <w:right w:w="0" w:type="dxa"/>
      </w:tblCellMar>
      <w:tblLook w:val="04A0" w:firstRow="1" w:lastRow="0" w:firstColumn="1" w:lastColumn="0" w:noHBand="0" w:noVBand="1"/>
    </w:tblPr>
    <w:tblGrid>
      <w:gridCol w:w="851"/>
      <w:gridCol w:w="7370"/>
      <w:gridCol w:w="567"/>
    </w:tblGrid>
    <w:tr w:rsidR="00367850" w14:paraId="7065A31F" w14:textId="77777777" w:rsidTr="00150F8B">
      <w:trPr>
        <w:cantSplit/>
      </w:trPr>
      <w:tc>
        <w:tcPr>
          <w:tcW w:w="851" w:type="dxa"/>
          <w:vAlign w:val="center"/>
        </w:tcPr>
        <w:p w14:paraId="1AACE464" w14:textId="77777777" w:rsidR="00367850" w:rsidRDefault="00367850" w:rsidP="00120C4C">
          <w:pPr>
            <w:pStyle w:val="RectoFooter"/>
            <w:spacing w:before="120"/>
            <w:jc w:val="left"/>
          </w:pPr>
          <w:r>
            <w:rPr>
              <w:noProof/>
              <w:lang w:eastAsia="en-NZ"/>
            </w:rPr>
            <w:drawing>
              <wp:inline distT="0" distB="0" distL="0" distR="0" wp14:anchorId="70DCA46E" wp14:editId="5B9D152F">
                <wp:extent cx="373711" cy="414082"/>
                <wp:effectExtent l="0" t="0" r="7620" b="5080"/>
                <wp:docPr id="1168636389" name="Picture 1168636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0" w:type="dxa"/>
          <w:vAlign w:val="center"/>
        </w:tcPr>
        <w:p w14:paraId="75C29602" w14:textId="2A089599" w:rsidR="00367850" w:rsidRDefault="00367850" w:rsidP="00120C4C">
          <w:pPr>
            <w:pStyle w:val="RectoFooter"/>
            <w:spacing w:before="120"/>
            <w:jc w:val="left"/>
          </w:pPr>
          <w:r w:rsidRPr="00D61AFB">
            <w:t>Te rere o te toto</w:t>
          </w:r>
          <w:r w:rsidR="00EB4252">
            <w:t xml:space="preserve"> –</w:t>
          </w:r>
          <w:r w:rsidRPr="00D61AFB">
            <w:t xml:space="preserve"> Understanding blood cancer medicine availability in Aotearoa</w:t>
          </w:r>
          <w:r w:rsidR="00EB4252">
            <w:t xml:space="preserve"> New Zealand:</w:t>
          </w:r>
          <w:r w:rsidR="00B42C56">
            <w:t xml:space="preserve"> </w:t>
          </w:r>
          <w:r w:rsidR="00C574A0">
            <w:t>SUMMARY</w:t>
          </w:r>
          <w:r>
            <w:t xml:space="preserve"> REPORT</w:t>
          </w:r>
        </w:p>
      </w:tc>
      <w:tc>
        <w:tcPr>
          <w:tcW w:w="567" w:type="dxa"/>
          <w:vAlign w:val="center"/>
        </w:tcPr>
        <w:p w14:paraId="4501C815" w14:textId="77777777" w:rsidR="00367850" w:rsidRPr="00931466" w:rsidRDefault="00367850"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iii</w:t>
          </w:r>
          <w:r w:rsidRPr="00931466">
            <w:rPr>
              <w:rStyle w:val="PageNumber"/>
            </w:rPr>
            <w:fldChar w:fldCharType="end"/>
          </w:r>
        </w:p>
      </w:tc>
    </w:tr>
  </w:tbl>
  <w:p w14:paraId="062FBFC5" w14:textId="77777777" w:rsidR="00367850" w:rsidRPr="00581EB8" w:rsidRDefault="00367850"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567" w:type="dxa"/>
      <w:tblLayout w:type="fixed"/>
      <w:tblLook w:val="04A0" w:firstRow="1" w:lastRow="0" w:firstColumn="1" w:lastColumn="0" w:noHBand="0" w:noVBand="1"/>
    </w:tblPr>
    <w:tblGrid>
      <w:gridCol w:w="628"/>
      <w:gridCol w:w="7376"/>
      <w:gridCol w:w="785"/>
    </w:tblGrid>
    <w:tr w:rsidR="00A12A44" w14:paraId="526B298F" w14:textId="77777777" w:rsidTr="00313663">
      <w:trPr>
        <w:cantSplit/>
      </w:trPr>
      <w:tc>
        <w:tcPr>
          <w:tcW w:w="675" w:type="dxa"/>
          <w:vAlign w:val="center"/>
        </w:tcPr>
        <w:p w14:paraId="478F7895" w14:textId="77777777" w:rsidR="00A12A44" w:rsidRPr="00931466" w:rsidRDefault="00A12A44"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8222" w:type="dxa"/>
          <w:vAlign w:val="center"/>
        </w:tcPr>
        <w:p w14:paraId="6611BFD2" w14:textId="7A6AC87F" w:rsidR="00A12A44" w:rsidRDefault="00C574A0" w:rsidP="00120C4C">
          <w:pPr>
            <w:pStyle w:val="RectoFooter"/>
            <w:spacing w:before="120"/>
            <w:ind w:left="-108"/>
          </w:pPr>
          <w:r w:rsidRPr="00D61AFB">
            <w:t>Te rere o te toto</w:t>
          </w:r>
          <w:r w:rsidR="00B02B56">
            <w:t xml:space="preserve"> –</w:t>
          </w:r>
          <w:r w:rsidRPr="00D61AFB">
            <w:t xml:space="preserve"> Understanding blood cancer medicine availability in Aotearoa</w:t>
          </w:r>
          <w:r w:rsidR="00B02B56">
            <w:t xml:space="preserve"> New Zealand: </w:t>
          </w:r>
          <w:r>
            <w:t>SUMMARY REPORT</w:t>
          </w:r>
        </w:p>
      </w:tc>
      <w:tc>
        <w:tcPr>
          <w:tcW w:w="850" w:type="dxa"/>
          <w:vAlign w:val="center"/>
        </w:tcPr>
        <w:p w14:paraId="51F8D75F" w14:textId="77777777" w:rsidR="00A12A44" w:rsidRDefault="00A12A44" w:rsidP="00120C4C">
          <w:pPr>
            <w:pStyle w:val="RectoFooter"/>
            <w:spacing w:before="120"/>
            <w:ind w:left="-108"/>
          </w:pPr>
          <w:r>
            <w:rPr>
              <w:noProof/>
              <w:lang w:eastAsia="en-NZ"/>
            </w:rPr>
            <w:drawing>
              <wp:inline distT="0" distB="0" distL="0" distR="0" wp14:anchorId="15242357" wp14:editId="266C8278">
                <wp:extent cx="373711" cy="414082"/>
                <wp:effectExtent l="0" t="0" r="7620" b="5080"/>
                <wp:docPr id="1542019174" name="Picture 1542019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42628D0" w14:textId="77777777" w:rsidR="00A12A44" w:rsidRPr="00571223" w:rsidRDefault="00A12A44"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A12A44" w14:paraId="1D4AA411" w14:textId="77777777">
      <w:trPr>
        <w:cantSplit/>
      </w:trPr>
      <w:tc>
        <w:tcPr>
          <w:tcW w:w="709" w:type="dxa"/>
          <w:vAlign w:val="center"/>
        </w:tcPr>
        <w:p w14:paraId="3F00ED58" w14:textId="77777777" w:rsidR="00A12A44" w:rsidRDefault="00A12A44" w:rsidP="00584749">
          <w:pPr>
            <w:pStyle w:val="RectoFooter"/>
            <w:spacing w:before="120"/>
            <w:jc w:val="left"/>
          </w:pPr>
          <w:r>
            <w:rPr>
              <w:noProof/>
              <w:lang w:eastAsia="en-NZ"/>
            </w:rPr>
            <w:drawing>
              <wp:inline distT="0" distB="0" distL="0" distR="0" wp14:anchorId="2BD60279" wp14:editId="4C299D5E">
                <wp:extent cx="373711" cy="414082"/>
                <wp:effectExtent l="0" t="0" r="7620" b="5080"/>
                <wp:docPr id="1976264337" name="Picture 1976264337"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973" name="Picture 9499973" descr="A logo with text on it&#10;&#10;Description automatically generated"/>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219E30BF" w14:textId="3F60F660" w:rsidR="00A12A44" w:rsidRDefault="00C574A0" w:rsidP="00584749">
          <w:pPr>
            <w:pStyle w:val="RectoFooter"/>
            <w:spacing w:before="120"/>
            <w:jc w:val="left"/>
          </w:pPr>
          <w:r w:rsidRPr="00D61AFB">
            <w:t>Te rere o te toto</w:t>
          </w:r>
          <w:r w:rsidR="00405D36">
            <w:t xml:space="preserve"> –</w:t>
          </w:r>
          <w:r w:rsidRPr="00D61AFB">
            <w:t xml:space="preserve"> Understanding blood cancer medicine availability in Aotearoa</w:t>
          </w:r>
          <w:r w:rsidR="00405D36">
            <w:t xml:space="preserve"> New Zealand: </w:t>
          </w:r>
          <w:r>
            <w:t>SUMMARY REPORT</w:t>
          </w:r>
        </w:p>
      </w:tc>
      <w:tc>
        <w:tcPr>
          <w:tcW w:w="709" w:type="dxa"/>
          <w:vAlign w:val="center"/>
        </w:tcPr>
        <w:p w14:paraId="4CC0D8D1" w14:textId="77777777" w:rsidR="00A12A44" w:rsidRPr="00931466" w:rsidRDefault="00A12A44" w:rsidP="00584749">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rPr>
            <w:t>21</w:t>
          </w:r>
          <w:r w:rsidRPr="00931466">
            <w:rPr>
              <w:rStyle w:val="PageNumber"/>
            </w:rPr>
            <w:fldChar w:fldCharType="end"/>
          </w:r>
        </w:p>
      </w:tc>
    </w:tr>
  </w:tbl>
  <w:p w14:paraId="5384E75B" w14:textId="77777777" w:rsidR="00A12A44" w:rsidRPr="00581EB8" w:rsidRDefault="00A12A44" w:rsidP="00584749">
    <w:pPr>
      <w:pStyle w:val="Footer"/>
      <w:rPr>
        <w:sz w:val="2"/>
        <w:szCs w:val="2"/>
      </w:rPr>
    </w:pPr>
  </w:p>
  <w:p w14:paraId="2CAC7D54" w14:textId="77777777" w:rsidR="00A12A44" w:rsidRPr="00584749" w:rsidRDefault="00A12A44" w:rsidP="00584749">
    <w:pPr>
      <w:pStyle w:val="Footer"/>
      <w:rPr>
        <w:sz w:val="4"/>
        <w:szCs w:val="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99" w:type="dxa"/>
      <w:tblLook w:val="04A0" w:firstRow="1" w:lastRow="0" w:firstColumn="1" w:lastColumn="0" w:noHBand="0" w:noVBand="1"/>
    </w:tblPr>
    <w:tblGrid>
      <w:gridCol w:w="968"/>
      <w:gridCol w:w="11810"/>
      <w:gridCol w:w="1221"/>
    </w:tblGrid>
    <w:tr w:rsidR="00A12A44" w14:paraId="2A1E3612" w14:textId="77777777" w:rsidTr="00CA55F4">
      <w:trPr>
        <w:cantSplit/>
      </w:trPr>
      <w:tc>
        <w:tcPr>
          <w:tcW w:w="346" w:type="pct"/>
          <w:vAlign w:val="center"/>
        </w:tcPr>
        <w:p w14:paraId="672B3B30" w14:textId="77777777" w:rsidR="00A12A44" w:rsidRPr="00931466" w:rsidRDefault="00A12A44"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4218" w:type="pct"/>
          <w:vAlign w:val="center"/>
        </w:tcPr>
        <w:p w14:paraId="008A8D2A" w14:textId="61B9EFE4" w:rsidR="00A12A44" w:rsidRDefault="00A12A44" w:rsidP="00120C4C">
          <w:pPr>
            <w:pStyle w:val="RectoFooter"/>
            <w:spacing w:before="120"/>
            <w:ind w:left="-108"/>
          </w:pPr>
          <w:r w:rsidRPr="00D916E7">
            <w:t>TE RERE O TE TOTO</w:t>
          </w:r>
          <w:r w:rsidR="00B02B56">
            <w:t xml:space="preserve"> –</w:t>
          </w:r>
          <w:r w:rsidRPr="00D916E7">
            <w:t xml:space="preserve"> UNDERSTANDING BLOOD CANCER MEDICINE AVAILABILITY IN AOTEAROA</w:t>
          </w:r>
          <w:r w:rsidR="00B02B56">
            <w:t xml:space="preserve"> New Zealand: </w:t>
          </w:r>
          <w:r w:rsidR="00C574A0">
            <w:t>summary</w:t>
          </w:r>
          <w:r w:rsidRPr="00D916E7">
            <w:t xml:space="preserve"> REPORT</w:t>
          </w:r>
        </w:p>
      </w:tc>
      <w:tc>
        <w:tcPr>
          <w:tcW w:w="436" w:type="pct"/>
          <w:vAlign w:val="center"/>
        </w:tcPr>
        <w:p w14:paraId="5E5626E0" w14:textId="77777777" w:rsidR="00A12A44" w:rsidRDefault="00A12A44" w:rsidP="00120C4C">
          <w:pPr>
            <w:pStyle w:val="RectoFooter"/>
            <w:spacing w:before="120"/>
            <w:ind w:left="-108"/>
          </w:pPr>
          <w:r>
            <w:rPr>
              <w:noProof/>
              <w:lang w:eastAsia="en-NZ"/>
            </w:rPr>
            <w:drawing>
              <wp:inline distT="0" distB="0" distL="0" distR="0" wp14:anchorId="73870EF0" wp14:editId="1F550DB1">
                <wp:extent cx="373711" cy="414082"/>
                <wp:effectExtent l="0" t="0" r="7620" b="5080"/>
                <wp:docPr id="976779352" name="Picture 976779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40D158C" w14:textId="77777777" w:rsidR="00A12A44" w:rsidRPr="00571223" w:rsidRDefault="00A12A44" w:rsidP="00571223">
    <w:pPr>
      <w:pStyle w:val="VersoFoote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99" w:type="dxa"/>
      <w:tblCellMar>
        <w:left w:w="0" w:type="dxa"/>
        <w:right w:w="0" w:type="dxa"/>
      </w:tblCellMar>
      <w:tblLook w:val="04A0" w:firstRow="1" w:lastRow="0" w:firstColumn="1" w:lastColumn="0" w:noHBand="0" w:noVBand="1"/>
    </w:tblPr>
    <w:tblGrid>
      <w:gridCol w:w="709"/>
      <w:gridCol w:w="12162"/>
      <w:gridCol w:w="1128"/>
    </w:tblGrid>
    <w:tr w:rsidR="00A12A44" w14:paraId="788CC4E3" w14:textId="77777777" w:rsidTr="00CA55F4">
      <w:trPr>
        <w:cantSplit/>
      </w:trPr>
      <w:tc>
        <w:tcPr>
          <w:tcW w:w="253" w:type="pct"/>
          <w:vAlign w:val="center"/>
        </w:tcPr>
        <w:p w14:paraId="5F5C726E" w14:textId="77777777" w:rsidR="00A12A44" w:rsidRDefault="00A12A44" w:rsidP="00584749">
          <w:pPr>
            <w:pStyle w:val="RectoFooter"/>
            <w:spacing w:before="120"/>
            <w:jc w:val="left"/>
          </w:pPr>
          <w:r>
            <w:rPr>
              <w:noProof/>
              <w:lang w:eastAsia="en-NZ"/>
            </w:rPr>
            <w:drawing>
              <wp:inline distT="0" distB="0" distL="0" distR="0" wp14:anchorId="1CFB068F" wp14:editId="65376BD2">
                <wp:extent cx="373711" cy="414082"/>
                <wp:effectExtent l="0" t="0" r="7620" b="5080"/>
                <wp:docPr id="1826231215" name="Picture 1826231215"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973" name="Picture 9499973" descr="A logo with text on it&#10;&#10;Description automatically generated"/>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4344" w:type="pct"/>
          <w:vAlign w:val="center"/>
        </w:tcPr>
        <w:p w14:paraId="789EBF1F" w14:textId="4BB4D994" w:rsidR="00A12A44" w:rsidRDefault="00A12A44" w:rsidP="00584749">
          <w:pPr>
            <w:pStyle w:val="RectoFooter"/>
            <w:spacing w:before="120"/>
            <w:jc w:val="left"/>
          </w:pPr>
          <w:r w:rsidRPr="00757919">
            <w:t>TE RERE O TE TOTO</w:t>
          </w:r>
          <w:r w:rsidR="00B02B56">
            <w:t xml:space="preserve"> –</w:t>
          </w:r>
          <w:r w:rsidRPr="00757919">
            <w:t xml:space="preserve"> UNDERSTANDING BLOOD CANCER MEDICINE AVAILABILITY IN AOTEAROA</w:t>
          </w:r>
          <w:r w:rsidR="00B02B56">
            <w:t xml:space="preserve"> New Zealand: </w:t>
          </w:r>
          <w:r w:rsidR="00C574A0">
            <w:t xml:space="preserve">summary </w:t>
          </w:r>
          <w:r w:rsidRPr="00757919">
            <w:t>REPORT</w:t>
          </w:r>
        </w:p>
      </w:tc>
      <w:tc>
        <w:tcPr>
          <w:tcW w:w="403" w:type="pct"/>
          <w:vAlign w:val="center"/>
        </w:tcPr>
        <w:p w14:paraId="7D170E4E" w14:textId="77777777" w:rsidR="00A12A44" w:rsidRPr="00931466" w:rsidRDefault="00A12A44" w:rsidP="00584749">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rPr>
            <w:t>21</w:t>
          </w:r>
          <w:r w:rsidRPr="00931466">
            <w:rPr>
              <w:rStyle w:val="PageNumber"/>
            </w:rPr>
            <w:fldChar w:fldCharType="end"/>
          </w:r>
        </w:p>
      </w:tc>
    </w:tr>
  </w:tbl>
  <w:p w14:paraId="4B6A30B9" w14:textId="77777777" w:rsidR="00A12A44" w:rsidRPr="00581EB8" w:rsidRDefault="00A12A44" w:rsidP="00584749">
    <w:pPr>
      <w:pStyle w:val="Footer"/>
      <w:rPr>
        <w:sz w:val="2"/>
        <w:szCs w:val="2"/>
      </w:rPr>
    </w:pPr>
  </w:p>
  <w:p w14:paraId="43DC1794" w14:textId="77777777" w:rsidR="00A12A44" w:rsidRPr="00584749" w:rsidRDefault="00A12A44" w:rsidP="00584749">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C5353" w14:textId="77777777" w:rsidR="002A7A4A" w:rsidRPr="00A26E6B" w:rsidRDefault="002A7A4A" w:rsidP="00A26E6B">
      <w:r>
        <w:separator/>
      </w:r>
    </w:p>
  </w:footnote>
  <w:footnote w:type="continuationSeparator" w:id="0">
    <w:p w14:paraId="6B53D760" w14:textId="77777777" w:rsidR="002A7A4A" w:rsidRDefault="002A7A4A">
      <w:r>
        <w:continuationSeparator/>
      </w:r>
    </w:p>
    <w:p w14:paraId="0A7A6AE7" w14:textId="77777777" w:rsidR="002A7A4A" w:rsidRDefault="002A7A4A"/>
  </w:footnote>
  <w:footnote w:type="continuationNotice" w:id="1">
    <w:p w14:paraId="2FAC32A5" w14:textId="77777777" w:rsidR="002A7A4A" w:rsidRDefault="002A7A4A">
      <w:pPr>
        <w:spacing w:line="240" w:lineRule="auto"/>
      </w:pPr>
    </w:p>
  </w:footnote>
  <w:footnote w:id="2">
    <w:p w14:paraId="6200AAAA" w14:textId="7E030458" w:rsidR="005B0107" w:rsidRDefault="005B0107" w:rsidP="00EA51C7">
      <w:pPr>
        <w:pStyle w:val="Footer"/>
      </w:pPr>
      <w:r>
        <w:rPr>
          <w:rStyle w:val="FootnoteReference"/>
        </w:rPr>
        <w:footnoteRef/>
      </w:r>
      <w:r>
        <w:t xml:space="preserve"> </w:t>
      </w:r>
      <w:r w:rsidR="00B57E00">
        <w:tab/>
      </w:r>
      <w:hyperlink r:id="rId1" w:history="1">
        <w:r w:rsidR="001814C8" w:rsidRPr="00227DD3">
          <w:rPr>
            <w:rStyle w:val="Hyperlink"/>
          </w:rPr>
          <w:t>teaho.govt.nz/publications/cancer-medicines</w:t>
        </w:r>
      </w:hyperlink>
      <w:r w:rsidR="001814C8">
        <w:t xml:space="preserve"> </w:t>
      </w:r>
      <w:r>
        <w:t xml:space="preserve"> </w:t>
      </w:r>
    </w:p>
  </w:footnote>
  <w:footnote w:id="3">
    <w:p w14:paraId="2F43306C" w14:textId="7695D3DD" w:rsidR="008854DF" w:rsidRDefault="008854DF" w:rsidP="00EA51C7">
      <w:pPr>
        <w:pStyle w:val="Footer"/>
      </w:pPr>
      <w:r>
        <w:rPr>
          <w:rStyle w:val="FootnoteReference"/>
        </w:rPr>
        <w:footnoteRef/>
      </w:r>
      <w:r>
        <w:t xml:space="preserve"> </w:t>
      </w:r>
      <w:r>
        <w:tab/>
        <w:t>In the 2022 and 2024 reports, ‘a</w:t>
      </w:r>
      <w:r w:rsidRPr="00992972">
        <w:t>vailable medicines</w:t>
      </w:r>
      <w:r>
        <w:t>’</w:t>
      </w:r>
      <w:r w:rsidRPr="00992972">
        <w:t xml:space="preserve"> </w:t>
      </w:r>
      <w:r>
        <w:t>r</w:t>
      </w:r>
      <w:r w:rsidRPr="00992972">
        <w:t xml:space="preserve">efers to publicly funded medicines. For </w:t>
      </w:r>
      <w:r w:rsidR="00152DDE">
        <w:t>Aotearoa New Zealand</w:t>
      </w:r>
      <w:r w:rsidRPr="00992972">
        <w:t>, this means medicines funded by Pharmac</w:t>
      </w:r>
      <w:r>
        <w:t>.</w:t>
      </w:r>
    </w:p>
  </w:footnote>
  <w:footnote w:id="4">
    <w:p w14:paraId="7BD1D8E3" w14:textId="58EA65F2" w:rsidR="006837B4" w:rsidRDefault="006837B4" w:rsidP="00EA51C7">
      <w:pPr>
        <w:pStyle w:val="Footer"/>
      </w:pPr>
      <w:r>
        <w:rPr>
          <w:rStyle w:val="FootnoteReference"/>
        </w:rPr>
        <w:footnoteRef/>
      </w:r>
      <w:r>
        <w:t xml:space="preserve"> </w:t>
      </w:r>
      <w:hyperlink r:id="rId2" w:history="1">
        <w:r w:rsidRPr="006837B4">
          <w:rPr>
            <w:rStyle w:val="Hyperlink"/>
          </w:rPr>
          <w:t>www.esmo.org/guidelines/esmo-mcbs</w:t>
        </w:r>
      </w:hyperlink>
      <w:r>
        <w:t xml:space="preserve"> </w:t>
      </w:r>
    </w:p>
  </w:footnote>
  <w:footnote w:id="5">
    <w:p w14:paraId="4984FB40" w14:textId="77777777" w:rsidR="00752DDE" w:rsidRPr="00EA51C7" w:rsidRDefault="00752DDE" w:rsidP="00EA51C7">
      <w:pPr>
        <w:pStyle w:val="Footer"/>
      </w:pPr>
      <w:r w:rsidRPr="00EA51C7">
        <w:rPr>
          <w:rStyle w:val="FootnoteReference"/>
          <w:vertAlign w:val="baseline"/>
        </w:rPr>
        <w:footnoteRef/>
      </w:r>
      <w:r w:rsidRPr="00EA51C7">
        <w:t xml:space="preserve"> </w:t>
      </w:r>
      <w:r w:rsidRPr="00EA51C7">
        <w:t xml:space="preserve">Kiesewetter B, Cherny N, Boissel, et al. 2020. EHA evaluation of the ESMO—Magnitude of Clinical Benefit Scale version 1.1 (ESMO-MCBS v1.1) for haematological malignancies. ESMO open 2020;(5). URL: </w:t>
      </w:r>
      <w:r w:rsidRPr="00EA51C7">
        <w:rPr>
          <w:rStyle w:val="Hyperlink"/>
          <w:b w:val="0"/>
          <w:color w:val="auto"/>
        </w:rPr>
        <w:t xml:space="preserve">https//doi:10.1136/esmoopen-2019-000611 </w:t>
      </w:r>
      <w:r w:rsidRPr="00EA51C7">
        <w:t>(accessed 11 September 2024).</w:t>
      </w:r>
    </w:p>
    <w:p w14:paraId="4510D4FB" w14:textId="0DA7A56A" w:rsidR="00752DDE" w:rsidRDefault="00752DDE" w:rsidP="00EA51C7">
      <w:pPr>
        <w:pStyle w:val="Footer"/>
      </w:pPr>
    </w:p>
  </w:footnote>
  <w:footnote w:id="6">
    <w:p w14:paraId="07199826" w14:textId="77777777" w:rsidR="00EA51C7" w:rsidRPr="006D765B" w:rsidRDefault="009F7644" w:rsidP="00EA51C7">
      <w:pPr>
        <w:pStyle w:val="Footer"/>
      </w:pPr>
      <w:r>
        <w:rPr>
          <w:rStyle w:val="FootnoteReference"/>
        </w:rPr>
        <w:footnoteRef/>
      </w:r>
      <w:r>
        <w:t xml:space="preserve"> </w:t>
      </w:r>
      <w:r w:rsidR="00EA51C7">
        <w:t xml:space="preserve">Kiesewetter B, Cherny N, Boissel, et al. 2020. EHA evaluation of the ESMO—Magnitude of Clinical Benefit Scale version 1.1 (ESMO-MCBS v1.1) for haematological malignancies. </w:t>
      </w:r>
      <w:r w:rsidR="00EA51C7">
        <w:rPr>
          <w:i/>
          <w:iCs/>
        </w:rPr>
        <w:t xml:space="preserve">ESMO open </w:t>
      </w:r>
      <w:r w:rsidR="00EA51C7">
        <w:t>2020</w:t>
      </w:r>
      <w:r w:rsidR="00EA51C7" w:rsidRPr="006D765B">
        <w:t>;(5). URL: https//doi:10.1136/esmoopen-2019-000611 (accessed 11 September 2024).</w:t>
      </w:r>
    </w:p>
    <w:p w14:paraId="495522E2" w14:textId="7BEE9BDA" w:rsidR="009F7644" w:rsidRDefault="009F7644" w:rsidP="00EA51C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AEE29" w14:textId="5CC2C546" w:rsidR="0096488C" w:rsidRDefault="0096488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C1118" w14:textId="5428425F" w:rsidR="0096488C" w:rsidRDefault="0096488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AE1C3" w14:textId="278721E3" w:rsidR="0096488C" w:rsidRDefault="0096488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8046C" w14:textId="65324259" w:rsidR="0096488C" w:rsidRDefault="0096488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8CA1" w14:textId="57759FF4" w:rsidR="0096488C" w:rsidRDefault="0096488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C814" w14:textId="56862CCE" w:rsidR="0096488C" w:rsidRDefault="0096488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8FB35" w14:textId="062BC01C" w:rsidR="0096488C" w:rsidRDefault="0096488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1EBE" w14:textId="4A0D586F" w:rsidR="0096488C" w:rsidRDefault="0096488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E7D95" w14:textId="7D06652D" w:rsidR="0096488C" w:rsidRDefault="0096488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9EB70" w14:textId="7471BA84" w:rsidR="0096488C" w:rsidRDefault="009648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10"/>
      <w:gridCol w:w="4429"/>
    </w:tblGrid>
    <w:tr w:rsidR="00105770" w14:paraId="0A8A6AB5" w14:textId="77777777" w:rsidTr="005A79E5">
      <w:trPr>
        <w:cantSplit/>
      </w:trPr>
      <w:tc>
        <w:tcPr>
          <w:tcW w:w="5210" w:type="dxa"/>
        </w:tcPr>
        <w:p w14:paraId="123597BB" w14:textId="77777777" w:rsidR="00105770" w:rsidRDefault="005718A6" w:rsidP="008814E8">
          <w:pPr>
            <w:pStyle w:val="Header"/>
          </w:pPr>
          <w:r>
            <w:rPr>
              <w:noProof/>
              <w:lang w:eastAsia="en-NZ"/>
            </w:rPr>
            <w:drawing>
              <wp:inline distT="0" distB="0" distL="0" distR="0" wp14:anchorId="2D297235" wp14:editId="2A0F24FC">
                <wp:extent cx="1396538" cy="6506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2D0A9888" w14:textId="77777777" w:rsidR="00105770" w:rsidRDefault="00105770" w:rsidP="008814E8">
          <w:pPr>
            <w:pStyle w:val="Header"/>
            <w:jc w:val="right"/>
          </w:pPr>
          <w:r>
            <w:rPr>
              <w:noProof/>
              <w:lang w:eastAsia="en-NZ"/>
            </w:rPr>
            <w:drawing>
              <wp:inline distT="0" distB="0" distL="0" distR="0" wp14:anchorId="220AA733" wp14:editId="0DBD063A">
                <wp:extent cx="1720735" cy="177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governmentblacksmall.jpg"/>
                        <pic:cNvPicPr/>
                      </pic:nvPicPr>
                      <pic:blipFill>
                        <a:blip r:embed="rId2">
                          <a:extLst>
                            <a:ext uri="{28A0092B-C50C-407E-A947-70E740481C1C}">
                              <a14:useLocalDpi xmlns:a14="http://schemas.microsoft.com/office/drawing/2010/main" val="0"/>
                            </a:ext>
                          </a:extLst>
                        </a:blip>
                        <a:stretch>
                          <a:fillRect/>
                        </a:stretch>
                      </pic:blipFill>
                      <pic:spPr>
                        <a:xfrm>
                          <a:off x="0" y="0"/>
                          <a:ext cx="1718896" cy="176946"/>
                        </a:xfrm>
                        <a:prstGeom prst="rect">
                          <a:avLst/>
                        </a:prstGeom>
                      </pic:spPr>
                    </pic:pic>
                  </a:graphicData>
                </a:graphic>
              </wp:inline>
            </w:drawing>
          </w:r>
        </w:p>
      </w:tc>
    </w:tr>
  </w:tbl>
  <w:p w14:paraId="7B2C584C" w14:textId="3716E606" w:rsidR="00105770" w:rsidRPr="005718A6" w:rsidRDefault="00105770">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C341E" w14:textId="32D97DFB" w:rsidR="0096488C" w:rsidRDefault="009648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5C7C1" w14:textId="38867355" w:rsidR="00FA57C7" w:rsidRPr="00910B67" w:rsidRDefault="00FA57C7" w:rsidP="00727A65">
    <w:pPr>
      <w:spacing w:after="270" w:line="253" w:lineRule="atLeast"/>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0251F" w14:textId="190346DE" w:rsidR="0096488C" w:rsidRDefault="0096488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05BDD" w14:textId="0483349F" w:rsidR="0096488C" w:rsidRDefault="0096488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17A40" w14:textId="180DD1B1" w:rsidR="00A8063B" w:rsidRPr="00910B67" w:rsidRDefault="00A8063B" w:rsidP="00727A65">
    <w:pPr>
      <w:spacing w:after="270" w:line="253" w:lineRule="atLeast"/>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5EA8" w14:textId="77777777" w:rsidR="00A8063B" w:rsidRPr="00910B67" w:rsidRDefault="00A8063B" w:rsidP="00910B6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BF31" w14:textId="2DC274F6" w:rsidR="0096488C" w:rsidRDefault="00964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C9CE11A"/>
    <w:lvl w:ilvl="0">
      <w:start w:val="1"/>
      <w:numFmt w:val="decimal"/>
      <w:pStyle w:val="ListNumber"/>
      <w:lvlText w:val="%1."/>
      <w:lvlJc w:val="left"/>
      <w:pPr>
        <w:tabs>
          <w:tab w:val="num" w:pos="360"/>
        </w:tabs>
        <w:ind w:left="360" w:hanging="360"/>
      </w:pPr>
    </w:lvl>
  </w:abstractNum>
  <w:abstractNum w:abstractNumId="1" w15:restartNumberingAfterBreak="0">
    <w:nsid w:val="00D817C7"/>
    <w:multiLevelType w:val="multilevel"/>
    <w:tmpl w:val="84482F80"/>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3"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16cid:durableId="670640086">
    <w:abstractNumId w:val="5"/>
  </w:num>
  <w:num w:numId="2" w16cid:durableId="519198743">
    <w:abstractNumId w:val="3"/>
  </w:num>
  <w:num w:numId="3" w16cid:durableId="1172260535">
    <w:abstractNumId w:val="4"/>
  </w:num>
  <w:num w:numId="4" w16cid:durableId="606153810">
    <w:abstractNumId w:val="2"/>
  </w:num>
  <w:num w:numId="5" w16cid:durableId="2044600032">
    <w:abstractNumId w:val="1"/>
  </w:num>
  <w:num w:numId="6" w16cid:durableId="2142965056">
    <w:abstractNumId w:val="0"/>
  </w:num>
  <w:num w:numId="7" w16cid:durableId="72321097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00CC"/>
    <w:rsid w:val="00001DB9"/>
    <w:rsid w:val="000025B8"/>
    <w:rsid w:val="00004402"/>
    <w:rsid w:val="000054B4"/>
    <w:rsid w:val="00005BB5"/>
    <w:rsid w:val="00010420"/>
    <w:rsid w:val="00012574"/>
    <w:rsid w:val="000144DE"/>
    <w:rsid w:val="00017500"/>
    <w:rsid w:val="00025A6F"/>
    <w:rsid w:val="0002618D"/>
    <w:rsid w:val="00027447"/>
    <w:rsid w:val="00027F4B"/>
    <w:rsid w:val="00030B26"/>
    <w:rsid w:val="00030E84"/>
    <w:rsid w:val="0003159A"/>
    <w:rsid w:val="00032C0A"/>
    <w:rsid w:val="00033002"/>
    <w:rsid w:val="00035257"/>
    <w:rsid w:val="00035D68"/>
    <w:rsid w:val="00036027"/>
    <w:rsid w:val="000419A9"/>
    <w:rsid w:val="00044206"/>
    <w:rsid w:val="00045613"/>
    <w:rsid w:val="0004668E"/>
    <w:rsid w:val="000470A7"/>
    <w:rsid w:val="00047418"/>
    <w:rsid w:val="00047899"/>
    <w:rsid w:val="00051C0A"/>
    <w:rsid w:val="0005253A"/>
    <w:rsid w:val="00053921"/>
    <w:rsid w:val="00054B44"/>
    <w:rsid w:val="00055084"/>
    <w:rsid w:val="0005628A"/>
    <w:rsid w:val="00057FA7"/>
    <w:rsid w:val="0006006B"/>
    <w:rsid w:val="0006084C"/>
    <w:rsid w:val="00060A13"/>
    <w:rsid w:val="00061D05"/>
    <w:rsid w:val="00062225"/>
    <w:rsid w:val="0006228D"/>
    <w:rsid w:val="00070C66"/>
    <w:rsid w:val="00071116"/>
    <w:rsid w:val="00071261"/>
    <w:rsid w:val="00072BD6"/>
    <w:rsid w:val="00075B78"/>
    <w:rsid w:val="000763E9"/>
    <w:rsid w:val="00081D91"/>
    <w:rsid w:val="00082CD6"/>
    <w:rsid w:val="00082FE1"/>
    <w:rsid w:val="0008437D"/>
    <w:rsid w:val="00085AFE"/>
    <w:rsid w:val="00094800"/>
    <w:rsid w:val="000A0158"/>
    <w:rsid w:val="000A0CE8"/>
    <w:rsid w:val="000A100B"/>
    <w:rsid w:val="000A1A05"/>
    <w:rsid w:val="000A373D"/>
    <w:rsid w:val="000A41ED"/>
    <w:rsid w:val="000A7B6F"/>
    <w:rsid w:val="000A7F8F"/>
    <w:rsid w:val="000B0730"/>
    <w:rsid w:val="000B1203"/>
    <w:rsid w:val="000B4E6F"/>
    <w:rsid w:val="000B6DB5"/>
    <w:rsid w:val="000C17C0"/>
    <w:rsid w:val="000C3F92"/>
    <w:rsid w:val="000C66CC"/>
    <w:rsid w:val="000D066E"/>
    <w:rsid w:val="000D19F4"/>
    <w:rsid w:val="000D2E65"/>
    <w:rsid w:val="000D58DD"/>
    <w:rsid w:val="000E0BD4"/>
    <w:rsid w:val="000E32CC"/>
    <w:rsid w:val="000E40A9"/>
    <w:rsid w:val="000E6010"/>
    <w:rsid w:val="000F0D84"/>
    <w:rsid w:val="000F1F42"/>
    <w:rsid w:val="000F2AE2"/>
    <w:rsid w:val="000F2BFF"/>
    <w:rsid w:val="000F5095"/>
    <w:rsid w:val="00102063"/>
    <w:rsid w:val="0010541C"/>
    <w:rsid w:val="00105770"/>
    <w:rsid w:val="00106F93"/>
    <w:rsid w:val="00111D50"/>
    <w:rsid w:val="00112A0C"/>
    <w:rsid w:val="00113B8E"/>
    <w:rsid w:val="001170B0"/>
    <w:rsid w:val="00117F59"/>
    <w:rsid w:val="0012053C"/>
    <w:rsid w:val="00120C4C"/>
    <w:rsid w:val="00120FD7"/>
    <w:rsid w:val="00122363"/>
    <w:rsid w:val="00125D45"/>
    <w:rsid w:val="00126CB3"/>
    <w:rsid w:val="00131495"/>
    <w:rsid w:val="00132A50"/>
    <w:rsid w:val="001342C7"/>
    <w:rsid w:val="00134CC9"/>
    <w:rsid w:val="0013585C"/>
    <w:rsid w:val="0013764E"/>
    <w:rsid w:val="001376F7"/>
    <w:rsid w:val="00142261"/>
    <w:rsid w:val="00142954"/>
    <w:rsid w:val="00143E5D"/>
    <w:rsid w:val="001441D0"/>
    <w:rsid w:val="001460E0"/>
    <w:rsid w:val="00146F7B"/>
    <w:rsid w:val="001472F0"/>
    <w:rsid w:val="0014733A"/>
    <w:rsid w:val="00147F71"/>
    <w:rsid w:val="00150A6E"/>
    <w:rsid w:val="00150F8B"/>
    <w:rsid w:val="00152DDE"/>
    <w:rsid w:val="00155557"/>
    <w:rsid w:val="00157B6C"/>
    <w:rsid w:val="00160495"/>
    <w:rsid w:val="00160810"/>
    <w:rsid w:val="001609C6"/>
    <w:rsid w:val="00162AAA"/>
    <w:rsid w:val="0016304B"/>
    <w:rsid w:val="0016318F"/>
    <w:rsid w:val="0016468A"/>
    <w:rsid w:val="0017070E"/>
    <w:rsid w:val="00171D6A"/>
    <w:rsid w:val="00172732"/>
    <w:rsid w:val="00172FE8"/>
    <w:rsid w:val="00173ADA"/>
    <w:rsid w:val="00174F02"/>
    <w:rsid w:val="00177610"/>
    <w:rsid w:val="001814C8"/>
    <w:rsid w:val="0018376C"/>
    <w:rsid w:val="001850A4"/>
    <w:rsid w:val="0018662D"/>
    <w:rsid w:val="00187FEB"/>
    <w:rsid w:val="00190B23"/>
    <w:rsid w:val="00190C7F"/>
    <w:rsid w:val="00194ADB"/>
    <w:rsid w:val="00197427"/>
    <w:rsid w:val="00197E6E"/>
    <w:rsid w:val="001A21B4"/>
    <w:rsid w:val="001A3F3B"/>
    <w:rsid w:val="001A5783"/>
    <w:rsid w:val="001A5CF5"/>
    <w:rsid w:val="001B1FFA"/>
    <w:rsid w:val="001B39D2"/>
    <w:rsid w:val="001B4A7B"/>
    <w:rsid w:val="001B4BF8"/>
    <w:rsid w:val="001B7B14"/>
    <w:rsid w:val="001C2159"/>
    <w:rsid w:val="001C278E"/>
    <w:rsid w:val="001C2EB2"/>
    <w:rsid w:val="001C38B5"/>
    <w:rsid w:val="001C4326"/>
    <w:rsid w:val="001C665E"/>
    <w:rsid w:val="001D016A"/>
    <w:rsid w:val="001D2A74"/>
    <w:rsid w:val="001D3541"/>
    <w:rsid w:val="001D3E4E"/>
    <w:rsid w:val="001D5C26"/>
    <w:rsid w:val="001D6E51"/>
    <w:rsid w:val="001E254A"/>
    <w:rsid w:val="001E4522"/>
    <w:rsid w:val="001E7386"/>
    <w:rsid w:val="001F389F"/>
    <w:rsid w:val="001F45A7"/>
    <w:rsid w:val="001F5E27"/>
    <w:rsid w:val="0020027C"/>
    <w:rsid w:val="002004F3"/>
    <w:rsid w:val="00200572"/>
    <w:rsid w:val="00200906"/>
    <w:rsid w:val="00201A01"/>
    <w:rsid w:val="00204CC3"/>
    <w:rsid w:val="002056CC"/>
    <w:rsid w:val="0020603C"/>
    <w:rsid w:val="00206ECB"/>
    <w:rsid w:val="0020754B"/>
    <w:rsid w:val="00207897"/>
    <w:rsid w:val="002104D3"/>
    <w:rsid w:val="0021094B"/>
    <w:rsid w:val="002129DB"/>
    <w:rsid w:val="00213A33"/>
    <w:rsid w:val="002144BA"/>
    <w:rsid w:val="002168C0"/>
    <w:rsid w:val="002168FD"/>
    <w:rsid w:val="0021763B"/>
    <w:rsid w:val="00220A5C"/>
    <w:rsid w:val="00222D8B"/>
    <w:rsid w:val="00226EDC"/>
    <w:rsid w:val="00227957"/>
    <w:rsid w:val="002303D7"/>
    <w:rsid w:val="00232E9F"/>
    <w:rsid w:val="00233046"/>
    <w:rsid w:val="00233E4C"/>
    <w:rsid w:val="00234319"/>
    <w:rsid w:val="0023519F"/>
    <w:rsid w:val="00236E8A"/>
    <w:rsid w:val="00243388"/>
    <w:rsid w:val="00243CEE"/>
    <w:rsid w:val="00245748"/>
    <w:rsid w:val="00245D5E"/>
    <w:rsid w:val="00246DB1"/>
    <w:rsid w:val="002476B5"/>
    <w:rsid w:val="002520CC"/>
    <w:rsid w:val="00253C40"/>
    <w:rsid w:val="00253ECF"/>
    <w:rsid w:val="00254044"/>
    <w:rsid w:val="002546A1"/>
    <w:rsid w:val="002575E8"/>
    <w:rsid w:val="00257EF1"/>
    <w:rsid w:val="00260ACB"/>
    <w:rsid w:val="002627FD"/>
    <w:rsid w:val="002628F4"/>
    <w:rsid w:val="00264266"/>
    <w:rsid w:val="00267965"/>
    <w:rsid w:val="00275D08"/>
    <w:rsid w:val="00275E3E"/>
    <w:rsid w:val="002839AF"/>
    <w:rsid w:val="00285080"/>
    <w:rsid w:val="002858E3"/>
    <w:rsid w:val="00286177"/>
    <w:rsid w:val="00287CB3"/>
    <w:rsid w:val="00291663"/>
    <w:rsid w:val="0029190A"/>
    <w:rsid w:val="00292C5A"/>
    <w:rsid w:val="002950CD"/>
    <w:rsid w:val="00295241"/>
    <w:rsid w:val="002967E7"/>
    <w:rsid w:val="002968D3"/>
    <w:rsid w:val="002A2E58"/>
    <w:rsid w:val="002A4DFC"/>
    <w:rsid w:val="002A7A4A"/>
    <w:rsid w:val="002B047D"/>
    <w:rsid w:val="002B3B13"/>
    <w:rsid w:val="002B732B"/>
    <w:rsid w:val="002B76A7"/>
    <w:rsid w:val="002B7BEC"/>
    <w:rsid w:val="002C0839"/>
    <w:rsid w:val="002C2219"/>
    <w:rsid w:val="002C2552"/>
    <w:rsid w:val="002C346D"/>
    <w:rsid w:val="002C380A"/>
    <w:rsid w:val="002C70CB"/>
    <w:rsid w:val="002D0DF2"/>
    <w:rsid w:val="002D23BD"/>
    <w:rsid w:val="002D2912"/>
    <w:rsid w:val="002E055C"/>
    <w:rsid w:val="002E0B47"/>
    <w:rsid w:val="002F1E74"/>
    <w:rsid w:val="002F3A0D"/>
    <w:rsid w:val="002F4685"/>
    <w:rsid w:val="002F7213"/>
    <w:rsid w:val="0030281E"/>
    <w:rsid w:val="00303303"/>
    <w:rsid w:val="0030382F"/>
    <w:rsid w:val="00303FC0"/>
    <w:rsid w:val="0030408D"/>
    <w:rsid w:val="003054B5"/>
    <w:rsid w:val="00305517"/>
    <w:rsid w:val="003060E4"/>
    <w:rsid w:val="00306F26"/>
    <w:rsid w:val="00312150"/>
    <w:rsid w:val="00313663"/>
    <w:rsid w:val="003160E7"/>
    <w:rsid w:val="003169A3"/>
    <w:rsid w:val="0031739E"/>
    <w:rsid w:val="00317DA3"/>
    <w:rsid w:val="00321381"/>
    <w:rsid w:val="003235C6"/>
    <w:rsid w:val="00324824"/>
    <w:rsid w:val="00326FF0"/>
    <w:rsid w:val="00327804"/>
    <w:rsid w:val="003309CA"/>
    <w:rsid w:val="00331581"/>
    <w:rsid w:val="00331838"/>
    <w:rsid w:val="003325AB"/>
    <w:rsid w:val="003331FD"/>
    <w:rsid w:val="003332D1"/>
    <w:rsid w:val="0033412B"/>
    <w:rsid w:val="0033448B"/>
    <w:rsid w:val="00336074"/>
    <w:rsid w:val="00341161"/>
    <w:rsid w:val="00343365"/>
    <w:rsid w:val="003445F4"/>
    <w:rsid w:val="00345D83"/>
    <w:rsid w:val="00347962"/>
    <w:rsid w:val="0035072B"/>
    <w:rsid w:val="00350C90"/>
    <w:rsid w:val="00353501"/>
    <w:rsid w:val="00353734"/>
    <w:rsid w:val="003538D4"/>
    <w:rsid w:val="00354FBE"/>
    <w:rsid w:val="00355F71"/>
    <w:rsid w:val="003606F8"/>
    <w:rsid w:val="003616A7"/>
    <w:rsid w:val="003648EF"/>
    <w:rsid w:val="003673E6"/>
    <w:rsid w:val="00367850"/>
    <w:rsid w:val="00371661"/>
    <w:rsid w:val="003771EE"/>
    <w:rsid w:val="00377264"/>
    <w:rsid w:val="00377402"/>
    <w:rsid w:val="003774A8"/>
    <w:rsid w:val="003779D2"/>
    <w:rsid w:val="00377C94"/>
    <w:rsid w:val="0038265F"/>
    <w:rsid w:val="00382E2A"/>
    <w:rsid w:val="0038423D"/>
    <w:rsid w:val="00385E38"/>
    <w:rsid w:val="00387402"/>
    <w:rsid w:val="003923CE"/>
    <w:rsid w:val="0039307B"/>
    <w:rsid w:val="003930FD"/>
    <w:rsid w:val="003952F9"/>
    <w:rsid w:val="0039613C"/>
    <w:rsid w:val="003A2175"/>
    <w:rsid w:val="003A26A5"/>
    <w:rsid w:val="003A3761"/>
    <w:rsid w:val="003A46D3"/>
    <w:rsid w:val="003A512D"/>
    <w:rsid w:val="003A578E"/>
    <w:rsid w:val="003A5FEA"/>
    <w:rsid w:val="003A710B"/>
    <w:rsid w:val="003B1D10"/>
    <w:rsid w:val="003B2C8A"/>
    <w:rsid w:val="003C310C"/>
    <w:rsid w:val="003C76D4"/>
    <w:rsid w:val="003D120C"/>
    <w:rsid w:val="003D137D"/>
    <w:rsid w:val="003D2C1E"/>
    <w:rsid w:val="003D2CC5"/>
    <w:rsid w:val="003D3E5C"/>
    <w:rsid w:val="003D5664"/>
    <w:rsid w:val="003D59BB"/>
    <w:rsid w:val="003D7956"/>
    <w:rsid w:val="003E04C1"/>
    <w:rsid w:val="003E0887"/>
    <w:rsid w:val="003E74C8"/>
    <w:rsid w:val="003E74E2"/>
    <w:rsid w:val="003E7C46"/>
    <w:rsid w:val="003F2106"/>
    <w:rsid w:val="003F395F"/>
    <w:rsid w:val="003F4CD9"/>
    <w:rsid w:val="003F52A7"/>
    <w:rsid w:val="003F5646"/>
    <w:rsid w:val="003F64BB"/>
    <w:rsid w:val="003F7013"/>
    <w:rsid w:val="003F7817"/>
    <w:rsid w:val="003F7F6A"/>
    <w:rsid w:val="00401D28"/>
    <w:rsid w:val="0040240C"/>
    <w:rsid w:val="00405D36"/>
    <w:rsid w:val="00413021"/>
    <w:rsid w:val="00414C35"/>
    <w:rsid w:val="004171B7"/>
    <w:rsid w:val="00422DF7"/>
    <w:rsid w:val="004301C6"/>
    <w:rsid w:val="0043478F"/>
    <w:rsid w:val="0043602B"/>
    <w:rsid w:val="004367D2"/>
    <w:rsid w:val="004374D1"/>
    <w:rsid w:val="00440BE0"/>
    <w:rsid w:val="00442A06"/>
    <w:rsid w:val="00442C1C"/>
    <w:rsid w:val="0044584B"/>
    <w:rsid w:val="00447CB7"/>
    <w:rsid w:val="00455CC9"/>
    <w:rsid w:val="0045739E"/>
    <w:rsid w:val="00457E78"/>
    <w:rsid w:val="00460826"/>
    <w:rsid w:val="00460B1E"/>
    <w:rsid w:val="00460EA7"/>
    <w:rsid w:val="0046195B"/>
    <w:rsid w:val="0046362D"/>
    <w:rsid w:val="004650A2"/>
    <w:rsid w:val="0046596D"/>
    <w:rsid w:val="00465C80"/>
    <w:rsid w:val="00467BD2"/>
    <w:rsid w:val="00470631"/>
    <w:rsid w:val="00471BAC"/>
    <w:rsid w:val="0047250F"/>
    <w:rsid w:val="00482DBA"/>
    <w:rsid w:val="00483132"/>
    <w:rsid w:val="00484A01"/>
    <w:rsid w:val="004852AB"/>
    <w:rsid w:val="00487204"/>
    <w:rsid w:val="00487C04"/>
    <w:rsid w:val="004907E1"/>
    <w:rsid w:val="00490EEF"/>
    <w:rsid w:val="00492973"/>
    <w:rsid w:val="004934A6"/>
    <w:rsid w:val="004935C8"/>
    <w:rsid w:val="0049495B"/>
    <w:rsid w:val="00494C8E"/>
    <w:rsid w:val="00495E32"/>
    <w:rsid w:val="00496C88"/>
    <w:rsid w:val="004976D3"/>
    <w:rsid w:val="004A035B"/>
    <w:rsid w:val="004A103B"/>
    <w:rsid w:val="004A2108"/>
    <w:rsid w:val="004A38D7"/>
    <w:rsid w:val="004A766C"/>
    <w:rsid w:val="004A778C"/>
    <w:rsid w:val="004B14DD"/>
    <w:rsid w:val="004B3A98"/>
    <w:rsid w:val="004B48C7"/>
    <w:rsid w:val="004B584B"/>
    <w:rsid w:val="004C2CF4"/>
    <w:rsid w:val="004C2E6A"/>
    <w:rsid w:val="004C32B9"/>
    <w:rsid w:val="004C3A12"/>
    <w:rsid w:val="004C64B8"/>
    <w:rsid w:val="004C6642"/>
    <w:rsid w:val="004C72E0"/>
    <w:rsid w:val="004C7A3F"/>
    <w:rsid w:val="004D2A2D"/>
    <w:rsid w:val="004D479F"/>
    <w:rsid w:val="004D6689"/>
    <w:rsid w:val="004D74D3"/>
    <w:rsid w:val="004E1D1D"/>
    <w:rsid w:val="004E66FB"/>
    <w:rsid w:val="004E7AC8"/>
    <w:rsid w:val="004F05F4"/>
    <w:rsid w:val="004F0C94"/>
    <w:rsid w:val="005019AE"/>
    <w:rsid w:val="00503749"/>
    <w:rsid w:val="00503D59"/>
    <w:rsid w:val="00504CF4"/>
    <w:rsid w:val="0050635B"/>
    <w:rsid w:val="00506B17"/>
    <w:rsid w:val="005075B3"/>
    <w:rsid w:val="0051095D"/>
    <w:rsid w:val="00511B76"/>
    <w:rsid w:val="005151C2"/>
    <w:rsid w:val="0051762A"/>
    <w:rsid w:val="005205B8"/>
    <w:rsid w:val="0052203A"/>
    <w:rsid w:val="00524BB1"/>
    <w:rsid w:val="005275E8"/>
    <w:rsid w:val="005309FE"/>
    <w:rsid w:val="0053199F"/>
    <w:rsid w:val="00531E12"/>
    <w:rsid w:val="00533B90"/>
    <w:rsid w:val="00533DF9"/>
    <w:rsid w:val="00535173"/>
    <w:rsid w:val="005410F8"/>
    <w:rsid w:val="00542C2D"/>
    <w:rsid w:val="005448EC"/>
    <w:rsid w:val="00545963"/>
    <w:rsid w:val="00550256"/>
    <w:rsid w:val="00552B1F"/>
    <w:rsid w:val="00553165"/>
    <w:rsid w:val="00553958"/>
    <w:rsid w:val="0055417E"/>
    <w:rsid w:val="00556BB7"/>
    <w:rsid w:val="0055763D"/>
    <w:rsid w:val="00560174"/>
    <w:rsid w:val="00561516"/>
    <w:rsid w:val="00562018"/>
    <w:rsid w:val="005621F2"/>
    <w:rsid w:val="00563085"/>
    <w:rsid w:val="00563CC2"/>
    <w:rsid w:val="00567B58"/>
    <w:rsid w:val="00567E1E"/>
    <w:rsid w:val="00571223"/>
    <w:rsid w:val="005718A6"/>
    <w:rsid w:val="005727CA"/>
    <w:rsid w:val="00573E1B"/>
    <w:rsid w:val="0057410A"/>
    <w:rsid w:val="005763E0"/>
    <w:rsid w:val="00580F89"/>
    <w:rsid w:val="00580FA2"/>
    <w:rsid w:val="00581136"/>
    <w:rsid w:val="00581EB8"/>
    <w:rsid w:val="00582C92"/>
    <w:rsid w:val="005839E7"/>
    <w:rsid w:val="0058437F"/>
    <w:rsid w:val="00584749"/>
    <w:rsid w:val="00590897"/>
    <w:rsid w:val="00594A9E"/>
    <w:rsid w:val="005A0322"/>
    <w:rsid w:val="005A23CE"/>
    <w:rsid w:val="005A27CA"/>
    <w:rsid w:val="005A43BD"/>
    <w:rsid w:val="005A684F"/>
    <w:rsid w:val="005A79E5"/>
    <w:rsid w:val="005B0107"/>
    <w:rsid w:val="005B0E6A"/>
    <w:rsid w:val="005B0FC5"/>
    <w:rsid w:val="005B224A"/>
    <w:rsid w:val="005B29A5"/>
    <w:rsid w:val="005B5816"/>
    <w:rsid w:val="005B635E"/>
    <w:rsid w:val="005B6778"/>
    <w:rsid w:val="005B6D35"/>
    <w:rsid w:val="005B7667"/>
    <w:rsid w:val="005C53B5"/>
    <w:rsid w:val="005C5412"/>
    <w:rsid w:val="005C578B"/>
    <w:rsid w:val="005D034C"/>
    <w:rsid w:val="005D0C49"/>
    <w:rsid w:val="005D2C85"/>
    <w:rsid w:val="005D41CC"/>
    <w:rsid w:val="005D4D16"/>
    <w:rsid w:val="005D5154"/>
    <w:rsid w:val="005D772B"/>
    <w:rsid w:val="005E1066"/>
    <w:rsid w:val="005E226E"/>
    <w:rsid w:val="005E2636"/>
    <w:rsid w:val="005E5B23"/>
    <w:rsid w:val="005E656E"/>
    <w:rsid w:val="005F21EA"/>
    <w:rsid w:val="005F3CCE"/>
    <w:rsid w:val="00600DC6"/>
    <w:rsid w:val="006015D7"/>
    <w:rsid w:val="00601B21"/>
    <w:rsid w:val="00602693"/>
    <w:rsid w:val="006041F0"/>
    <w:rsid w:val="00604E2B"/>
    <w:rsid w:val="00605C6D"/>
    <w:rsid w:val="006120CA"/>
    <w:rsid w:val="006127F2"/>
    <w:rsid w:val="0061443A"/>
    <w:rsid w:val="00615E9F"/>
    <w:rsid w:val="00616864"/>
    <w:rsid w:val="006212A5"/>
    <w:rsid w:val="00624174"/>
    <w:rsid w:val="00626CF8"/>
    <w:rsid w:val="00627FB0"/>
    <w:rsid w:val="00630E6F"/>
    <w:rsid w:val="006314AF"/>
    <w:rsid w:val="00631EF5"/>
    <w:rsid w:val="006333BA"/>
    <w:rsid w:val="00634003"/>
    <w:rsid w:val="0063401D"/>
    <w:rsid w:val="00634ED8"/>
    <w:rsid w:val="00636D7D"/>
    <w:rsid w:val="00637408"/>
    <w:rsid w:val="0064078E"/>
    <w:rsid w:val="00640A21"/>
    <w:rsid w:val="00642868"/>
    <w:rsid w:val="006479B0"/>
    <w:rsid w:val="00647AFE"/>
    <w:rsid w:val="00650417"/>
    <w:rsid w:val="006512BC"/>
    <w:rsid w:val="00653A5A"/>
    <w:rsid w:val="006554AC"/>
    <w:rsid w:val="00656F28"/>
    <w:rsid w:val="00657206"/>
    <w:rsid w:val="006575F4"/>
    <w:rsid w:val="006579E6"/>
    <w:rsid w:val="00660682"/>
    <w:rsid w:val="00660F74"/>
    <w:rsid w:val="006622A0"/>
    <w:rsid w:val="00663EDC"/>
    <w:rsid w:val="00667424"/>
    <w:rsid w:val="00670D79"/>
    <w:rsid w:val="00671078"/>
    <w:rsid w:val="006710FF"/>
    <w:rsid w:val="0067321B"/>
    <w:rsid w:val="006758CA"/>
    <w:rsid w:val="00676D3B"/>
    <w:rsid w:val="00676E85"/>
    <w:rsid w:val="0068079A"/>
    <w:rsid w:val="00680A04"/>
    <w:rsid w:val="006837B4"/>
    <w:rsid w:val="00683837"/>
    <w:rsid w:val="006847B9"/>
    <w:rsid w:val="00685304"/>
    <w:rsid w:val="006858ED"/>
    <w:rsid w:val="00685C68"/>
    <w:rsid w:val="00686D80"/>
    <w:rsid w:val="00690828"/>
    <w:rsid w:val="00694895"/>
    <w:rsid w:val="0069520B"/>
    <w:rsid w:val="006971EA"/>
    <w:rsid w:val="00697E2E"/>
    <w:rsid w:val="00697FAD"/>
    <w:rsid w:val="006A05B9"/>
    <w:rsid w:val="006A25A2"/>
    <w:rsid w:val="006A3B87"/>
    <w:rsid w:val="006A594C"/>
    <w:rsid w:val="006B0A88"/>
    <w:rsid w:val="006B0E73"/>
    <w:rsid w:val="006B1E3D"/>
    <w:rsid w:val="006B2322"/>
    <w:rsid w:val="006B4A4D"/>
    <w:rsid w:val="006B5695"/>
    <w:rsid w:val="006B62E6"/>
    <w:rsid w:val="006B7B2E"/>
    <w:rsid w:val="006C602A"/>
    <w:rsid w:val="006C78EB"/>
    <w:rsid w:val="006D04D2"/>
    <w:rsid w:val="006D155F"/>
    <w:rsid w:val="006D1660"/>
    <w:rsid w:val="006D19D7"/>
    <w:rsid w:val="006D1AD3"/>
    <w:rsid w:val="006D28C9"/>
    <w:rsid w:val="006D63E5"/>
    <w:rsid w:val="006D765B"/>
    <w:rsid w:val="006E1753"/>
    <w:rsid w:val="006E1849"/>
    <w:rsid w:val="006E2886"/>
    <w:rsid w:val="006E3911"/>
    <w:rsid w:val="006E69F4"/>
    <w:rsid w:val="006E7D34"/>
    <w:rsid w:val="006F1435"/>
    <w:rsid w:val="006F1B67"/>
    <w:rsid w:val="006F4D9C"/>
    <w:rsid w:val="006F6879"/>
    <w:rsid w:val="0070091D"/>
    <w:rsid w:val="00701CFE"/>
    <w:rsid w:val="00701F45"/>
    <w:rsid w:val="00702854"/>
    <w:rsid w:val="00703E72"/>
    <w:rsid w:val="007058B9"/>
    <w:rsid w:val="0071600B"/>
    <w:rsid w:val="0071652B"/>
    <w:rsid w:val="0071741C"/>
    <w:rsid w:val="00717CBE"/>
    <w:rsid w:val="00721E24"/>
    <w:rsid w:val="0072462A"/>
    <w:rsid w:val="007248C5"/>
    <w:rsid w:val="00727943"/>
    <w:rsid w:val="007279D1"/>
    <w:rsid w:val="00727A65"/>
    <w:rsid w:val="007312AB"/>
    <w:rsid w:val="00732635"/>
    <w:rsid w:val="00736BE6"/>
    <w:rsid w:val="00742B90"/>
    <w:rsid w:val="0074434D"/>
    <w:rsid w:val="007510BA"/>
    <w:rsid w:val="00752DDE"/>
    <w:rsid w:val="00752E53"/>
    <w:rsid w:val="007570C4"/>
    <w:rsid w:val="00757919"/>
    <w:rsid w:val="007605B8"/>
    <w:rsid w:val="00763872"/>
    <w:rsid w:val="00763F4F"/>
    <w:rsid w:val="007643CB"/>
    <w:rsid w:val="0076698F"/>
    <w:rsid w:val="00766F44"/>
    <w:rsid w:val="00771B1E"/>
    <w:rsid w:val="007735E2"/>
    <w:rsid w:val="00773C95"/>
    <w:rsid w:val="00775D3E"/>
    <w:rsid w:val="0078171E"/>
    <w:rsid w:val="0078232F"/>
    <w:rsid w:val="0078658E"/>
    <w:rsid w:val="007865EB"/>
    <w:rsid w:val="007909BA"/>
    <w:rsid w:val="007920E2"/>
    <w:rsid w:val="007934A4"/>
    <w:rsid w:val="00794979"/>
    <w:rsid w:val="0079566E"/>
    <w:rsid w:val="00795B34"/>
    <w:rsid w:val="00797461"/>
    <w:rsid w:val="007979D9"/>
    <w:rsid w:val="007A067F"/>
    <w:rsid w:val="007A49B9"/>
    <w:rsid w:val="007A608A"/>
    <w:rsid w:val="007A6A5F"/>
    <w:rsid w:val="007A7C4A"/>
    <w:rsid w:val="007A7D06"/>
    <w:rsid w:val="007B1770"/>
    <w:rsid w:val="007B3930"/>
    <w:rsid w:val="007B4D3E"/>
    <w:rsid w:val="007B5406"/>
    <w:rsid w:val="007B7C70"/>
    <w:rsid w:val="007B7DEB"/>
    <w:rsid w:val="007C0449"/>
    <w:rsid w:val="007C1B03"/>
    <w:rsid w:val="007C3B0C"/>
    <w:rsid w:val="007C43B6"/>
    <w:rsid w:val="007D0032"/>
    <w:rsid w:val="007D2151"/>
    <w:rsid w:val="007D3B90"/>
    <w:rsid w:val="007D3C1F"/>
    <w:rsid w:val="007D42CC"/>
    <w:rsid w:val="007D54F9"/>
    <w:rsid w:val="007D5DE4"/>
    <w:rsid w:val="007D7C3A"/>
    <w:rsid w:val="007E0777"/>
    <w:rsid w:val="007E1341"/>
    <w:rsid w:val="007E1359"/>
    <w:rsid w:val="007E1B41"/>
    <w:rsid w:val="007E1EC4"/>
    <w:rsid w:val="007E2B01"/>
    <w:rsid w:val="007E30B9"/>
    <w:rsid w:val="007E4722"/>
    <w:rsid w:val="007E60A5"/>
    <w:rsid w:val="007E6B3D"/>
    <w:rsid w:val="007E74F1"/>
    <w:rsid w:val="007F0F0C"/>
    <w:rsid w:val="007F1288"/>
    <w:rsid w:val="007F3E11"/>
    <w:rsid w:val="007F56B4"/>
    <w:rsid w:val="007F582A"/>
    <w:rsid w:val="007F58BA"/>
    <w:rsid w:val="0080083F"/>
    <w:rsid w:val="00800A8A"/>
    <w:rsid w:val="0080155C"/>
    <w:rsid w:val="00801D2C"/>
    <w:rsid w:val="008052E1"/>
    <w:rsid w:val="00811293"/>
    <w:rsid w:val="00811EEB"/>
    <w:rsid w:val="00812AB6"/>
    <w:rsid w:val="00813899"/>
    <w:rsid w:val="0081593D"/>
    <w:rsid w:val="00815F73"/>
    <w:rsid w:val="00820582"/>
    <w:rsid w:val="0082081A"/>
    <w:rsid w:val="00822F2C"/>
    <w:rsid w:val="00823DEE"/>
    <w:rsid w:val="00825838"/>
    <w:rsid w:val="00830432"/>
    <w:rsid w:val="008305E8"/>
    <w:rsid w:val="00831FD7"/>
    <w:rsid w:val="00836165"/>
    <w:rsid w:val="008365B2"/>
    <w:rsid w:val="00845B6B"/>
    <w:rsid w:val="0084640C"/>
    <w:rsid w:val="00847CA0"/>
    <w:rsid w:val="00852C5D"/>
    <w:rsid w:val="00855491"/>
    <w:rsid w:val="00856088"/>
    <w:rsid w:val="00856388"/>
    <w:rsid w:val="00860826"/>
    <w:rsid w:val="00860E21"/>
    <w:rsid w:val="00861432"/>
    <w:rsid w:val="00862318"/>
    <w:rsid w:val="00862437"/>
    <w:rsid w:val="00863117"/>
    <w:rsid w:val="0086388B"/>
    <w:rsid w:val="008642E5"/>
    <w:rsid w:val="00864488"/>
    <w:rsid w:val="008666B3"/>
    <w:rsid w:val="00867308"/>
    <w:rsid w:val="00870A36"/>
    <w:rsid w:val="00872D93"/>
    <w:rsid w:val="00877842"/>
    <w:rsid w:val="008802BD"/>
    <w:rsid w:val="00880470"/>
    <w:rsid w:val="00880591"/>
    <w:rsid w:val="00880D94"/>
    <w:rsid w:val="008814E8"/>
    <w:rsid w:val="008854DF"/>
    <w:rsid w:val="00886F64"/>
    <w:rsid w:val="008922D8"/>
    <w:rsid w:val="008924DE"/>
    <w:rsid w:val="00896706"/>
    <w:rsid w:val="0089789B"/>
    <w:rsid w:val="008A16CB"/>
    <w:rsid w:val="008A3755"/>
    <w:rsid w:val="008A4598"/>
    <w:rsid w:val="008A6A23"/>
    <w:rsid w:val="008B03CE"/>
    <w:rsid w:val="008B1997"/>
    <w:rsid w:val="008B19DC"/>
    <w:rsid w:val="008B1F1B"/>
    <w:rsid w:val="008B2310"/>
    <w:rsid w:val="008B264F"/>
    <w:rsid w:val="008B4AFD"/>
    <w:rsid w:val="008B6730"/>
    <w:rsid w:val="008B6F83"/>
    <w:rsid w:val="008B7FD8"/>
    <w:rsid w:val="008C11AC"/>
    <w:rsid w:val="008C1907"/>
    <w:rsid w:val="008C1A1B"/>
    <w:rsid w:val="008C2973"/>
    <w:rsid w:val="008C321E"/>
    <w:rsid w:val="008C6324"/>
    <w:rsid w:val="008C64C4"/>
    <w:rsid w:val="008D1B68"/>
    <w:rsid w:val="008D1CA7"/>
    <w:rsid w:val="008D1D30"/>
    <w:rsid w:val="008D2CDD"/>
    <w:rsid w:val="008D5E2E"/>
    <w:rsid w:val="008D74D5"/>
    <w:rsid w:val="008D7C9F"/>
    <w:rsid w:val="008E04BA"/>
    <w:rsid w:val="008E0ED1"/>
    <w:rsid w:val="008E1231"/>
    <w:rsid w:val="008E2083"/>
    <w:rsid w:val="008E3A07"/>
    <w:rsid w:val="008E537B"/>
    <w:rsid w:val="008F1F2E"/>
    <w:rsid w:val="008F29BE"/>
    <w:rsid w:val="008F3236"/>
    <w:rsid w:val="008F4AE5"/>
    <w:rsid w:val="008F51EB"/>
    <w:rsid w:val="00900197"/>
    <w:rsid w:val="00902F55"/>
    <w:rsid w:val="00904505"/>
    <w:rsid w:val="00905251"/>
    <w:rsid w:val="00905701"/>
    <w:rsid w:val="0090582B"/>
    <w:rsid w:val="009060C0"/>
    <w:rsid w:val="00910B67"/>
    <w:rsid w:val="009118AE"/>
    <w:rsid w:val="009133F5"/>
    <w:rsid w:val="00913DF9"/>
    <w:rsid w:val="00914CB6"/>
    <w:rsid w:val="00915A69"/>
    <w:rsid w:val="0091756F"/>
    <w:rsid w:val="00920A27"/>
    <w:rsid w:val="00920EE1"/>
    <w:rsid w:val="00921216"/>
    <w:rsid w:val="009216CC"/>
    <w:rsid w:val="00921F41"/>
    <w:rsid w:val="00922E41"/>
    <w:rsid w:val="00925892"/>
    <w:rsid w:val="0092596D"/>
    <w:rsid w:val="00926083"/>
    <w:rsid w:val="00926D08"/>
    <w:rsid w:val="00930D08"/>
    <w:rsid w:val="00931409"/>
    <w:rsid w:val="00931466"/>
    <w:rsid w:val="00932D69"/>
    <w:rsid w:val="0093461B"/>
    <w:rsid w:val="009354FD"/>
    <w:rsid w:val="00935589"/>
    <w:rsid w:val="00937408"/>
    <w:rsid w:val="0094256A"/>
    <w:rsid w:val="009427FA"/>
    <w:rsid w:val="00943B20"/>
    <w:rsid w:val="00944647"/>
    <w:rsid w:val="00944AC1"/>
    <w:rsid w:val="009469E2"/>
    <w:rsid w:val="0094700D"/>
    <w:rsid w:val="009476A1"/>
    <w:rsid w:val="0095565C"/>
    <w:rsid w:val="00957100"/>
    <w:rsid w:val="00962722"/>
    <w:rsid w:val="00962D57"/>
    <w:rsid w:val="00963AAE"/>
    <w:rsid w:val="0096488C"/>
    <w:rsid w:val="00964AB6"/>
    <w:rsid w:val="00966F9A"/>
    <w:rsid w:val="00971901"/>
    <w:rsid w:val="00973034"/>
    <w:rsid w:val="0097515D"/>
    <w:rsid w:val="00977B8A"/>
    <w:rsid w:val="009805A6"/>
    <w:rsid w:val="009819EC"/>
    <w:rsid w:val="00982971"/>
    <w:rsid w:val="009844CC"/>
    <w:rsid w:val="009845AD"/>
    <w:rsid w:val="00984835"/>
    <w:rsid w:val="009857C7"/>
    <w:rsid w:val="00991302"/>
    <w:rsid w:val="00992F40"/>
    <w:rsid w:val="009933EF"/>
    <w:rsid w:val="00993BF9"/>
    <w:rsid w:val="00994243"/>
    <w:rsid w:val="009948E0"/>
    <w:rsid w:val="00995BA0"/>
    <w:rsid w:val="009A2970"/>
    <w:rsid w:val="009A3110"/>
    <w:rsid w:val="009A418B"/>
    <w:rsid w:val="009A426F"/>
    <w:rsid w:val="009A42D5"/>
    <w:rsid w:val="009A4473"/>
    <w:rsid w:val="009B05C9"/>
    <w:rsid w:val="009B286C"/>
    <w:rsid w:val="009B5C57"/>
    <w:rsid w:val="009B7254"/>
    <w:rsid w:val="009B7971"/>
    <w:rsid w:val="009C114A"/>
    <w:rsid w:val="009C151C"/>
    <w:rsid w:val="009C440A"/>
    <w:rsid w:val="009C5423"/>
    <w:rsid w:val="009C555E"/>
    <w:rsid w:val="009C62D1"/>
    <w:rsid w:val="009C64E3"/>
    <w:rsid w:val="009D1AA2"/>
    <w:rsid w:val="009D2DDE"/>
    <w:rsid w:val="009D3855"/>
    <w:rsid w:val="009D3974"/>
    <w:rsid w:val="009D5125"/>
    <w:rsid w:val="009D60B8"/>
    <w:rsid w:val="009D7D4B"/>
    <w:rsid w:val="009E09CC"/>
    <w:rsid w:val="009E36ED"/>
    <w:rsid w:val="009E3B47"/>
    <w:rsid w:val="009E3C8C"/>
    <w:rsid w:val="009E4289"/>
    <w:rsid w:val="009E6B77"/>
    <w:rsid w:val="009E7A28"/>
    <w:rsid w:val="009F06FB"/>
    <w:rsid w:val="009F243B"/>
    <w:rsid w:val="009F3BE0"/>
    <w:rsid w:val="009F4235"/>
    <w:rsid w:val="009F4372"/>
    <w:rsid w:val="009F460A"/>
    <w:rsid w:val="009F4748"/>
    <w:rsid w:val="009F7506"/>
    <w:rsid w:val="009F7644"/>
    <w:rsid w:val="00A03069"/>
    <w:rsid w:val="00A037E9"/>
    <w:rsid w:val="00A043FB"/>
    <w:rsid w:val="00A06BE4"/>
    <w:rsid w:val="00A0729C"/>
    <w:rsid w:val="00A073CF"/>
    <w:rsid w:val="00A07779"/>
    <w:rsid w:val="00A1166A"/>
    <w:rsid w:val="00A11832"/>
    <w:rsid w:val="00A12A44"/>
    <w:rsid w:val="00A14458"/>
    <w:rsid w:val="00A14FB3"/>
    <w:rsid w:val="00A163A7"/>
    <w:rsid w:val="00A20B2E"/>
    <w:rsid w:val="00A24F33"/>
    <w:rsid w:val="00A25069"/>
    <w:rsid w:val="00A26E6B"/>
    <w:rsid w:val="00A3068F"/>
    <w:rsid w:val="00A3145B"/>
    <w:rsid w:val="00A31DC3"/>
    <w:rsid w:val="00A3341D"/>
    <w:rsid w:val="00A339D0"/>
    <w:rsid w:val="00A3415C"/>
    <w:rsid w:val="00A41002"/>
    <w:rsid w:val="00A4201A"/>
    <w:rsid w:val="00A421A2"/>
    <w:rsid w:val="00A5077D"/>
    <w:rsid w:val="00A51BA1"/>
    <w:rsid w:val="00A51F97"/>
    <w:rsid w:val="00A52229"/>
    <w:rsid w:val="00A523F3"/>
    <w:rsid w:val="00A5465D"/>
    <w:rsid w:val="00A550D4"/>
    <w:rsid w:val="00A553CE"/>
    <w:rsid w:val="00A55B84"/>
    <w:rsid w:val="00A5677A"/>
    <w:rsid w:val="00A56DCC"/>
    <w:rsid w:val="00A616B7"/>
    <w:rsid w:val="00A625E8"/>
    <w:rsid w:val="00A63DFF"/>
    <w:rsid w:val="00A64496"/>
    <w:rsid w:val="00A6490D"/>
    <w:rsid w:val="00A64CA9"/>
    <w:rsid w:val="00A67033"/>
    <w:rsid w:val="00A70CA1"/>
    <w:rsid w:val="00A72296"/>
    <w:rsid w:val="00A7415D"/>
    <w:rsid w:val="00A76D3A"/>
    <w:rsid w:val="00A80363"/>
    <w:rsid w:val="00A804AA"/>
    <w:rsid w:val="00A8063B"/>
    <w:rsid w:val="00A80939"/>
    <w:rsid w:val="00A80DF6"/>
    <w:rsid w:val="00A83E9D"/>
    <w:rsid w:val="00A84366"/>
    <w:rsid w:val="00A86296"/>
    <w:rsid w:val="00A87C05"/>
    <w:rsid w:val="00A9169D"/>
    <w:rsid w:val="00A93598"/>
    <w:rsid w:val="00A94523"/>
    <w:rsid w:val="00A96A0F"/>
    <w:rsid w:val="00A96FC4"/>
    <w:rsid w:val="00A97A3A"/>
    <w:rsid w:val="00AA240C"/>
    <w:rsid w:val="00AA3CC8"/>
    <w:rsid w:val="00AA718C"/>
    <w:rsid w:val="00AA7667"/>
    <w:rsid w:val="00AB0332"/>
    <w:rsid w:val="00AB1456"/>
    <w:rsid w:val="00AB32DC"/>
    <w:rsid w:val="00AC101C"/>
    <w:rsid w:val="00AC461E"/>
    <w:rsid w:val="00AD4974"/>
    <w:rsid w:val="00AD4CF1"/>
    <w:rsid w:val="00AD5988"/>
    <w:rsid w:val="00AD6293"/>
    <w:rsid w:val="00AD651A"/>
    <w:rsid w:val="00AE0174"/>
    <w:rsid w:val="00AE0BA4"/>
    <w:rsid w:val="00AE1643"/>
    <w:rsid w:val="00AE16AF"/>
    <w:rsid w:val="00AF0CD9"/>
    <w:rsid w:val="00AF0DB9"/>
    <w:rsid w:val="00AF341E"/>
    <w:rsid w:val="00AF372E"/>
    <w:rsid w:val="00AF4335"/>
    <w:rsid w:val="00AF7800"/>
    <w:rsid w:val="00B003E8"/>
    <w:rsid w:val="00B00569"/>
    <w:rsid w:val="00B00CF5"/>
    <w:rsid w:val="00B02475"/>
    <w:rsid w:val="00B02B56"/>
    <w:rsid w:val="00B03445"/>
    <w:rsid w:val="00B041A5"/>
    <w:rsid w:val="00B072E0"/>
    <w:rsid w:val="00B1007E"/>
    <w:rsid w:val="00B12D61"/>
    <w:rsid w:val="00B12DE7"/>
    <w:rsid w:val="00B13815"/>
    <w:rsid w:val="00B13C0B"/>
    <w:rsid w:val="00B13D41"/>
    <w:rsid w:val="00B1682D"/>
    <w:rsid w:val="00B2024F"/>
    <w:rsid w:val="00B206B2"/>
    <w:rsid w:val="00B253F6"/>
    <w:rsid w:val="00B25E45"/>
    <w:rsid w:val="00B26653"/>
    <w:rsid w:val="00B26675"/>
    <w:rsid w:val="00B27897"/>
    <w:rsid w:val="00B27EE1"/>
    <w:rsid w:val="00B300BE"/>
    <w:rsid w:val="00B305DB"/>
    <w:rsid w:val="00B332F8"/>
    <w:rsid w:val="00B3492B"/>
    <w:rsid w:val="00B3523B"/>
    <w:rsid w:val="00B42C56"/>
    <w:rsid w:val="00B43851"/>
    <w:rsid w:val="00B44C72"/>
    <w:rsid w:val="00B4646F"/>
    <w:rsid w:val="00B47C82"/>
    <w:rsid w:val="00B52FDD"/>
    <w:rsid w:val="00B5474A"/>
    <w:rsid w:val="00B554ED"/>
    <w:rsid w:val="00B55C7D"/>
    <w:rsid w:val="00B56785"/>
    <w:rsid w:val="00B57E00"/>
    <w:rsid w:val="00B63038"/>
    <w:rsid w:val="00B64BD8"/>
    <w:rsid w:val="00B65954"/>
    <w:rsid w:val="00B67415"/>
    <w:rsid w:val="00B701D1"/>
    <w:rsid w:val="00B722EE"/>
    <w:rsid w:val="00B73AF2"/>
    <w:rsid w:val="00B73D79"/>
    <w:rsid w:val="00B74EE0"/>
    <w:rsid w:val="00B7551A"/>
    <w:rsid w:val="00B76554"/>
    <w:rsid w:val="00B773F1"/>
    <w:rsid w:val="00B82119"/>
    <w:rsid w:val="00B83E7B"/>
    <w:rsid w:val="00B8609C"/>
    <w:rsid w:val="00B86AB1"/>
    <w:rsid w:val="00B87726"/>
    <w:rsid w:val="00B87C38"/>
    <w:rsid w:val="00B901B4"/>
    <w:rsid w:val="00B91311"/>
    <w:rsid w:val="00B91B22"/>
    <w:rsid w:val="00BA0F5A"/>
    <w:rsid w:val="00BA23F6"/>
    <w:rsid w:val="00BA7EBA"/>
    <w:rsid w:val="00BB2A06"/>
    <w:rsid w:val="00BB2CBB"/>
    <w:rsid w:val="00BB4198"/>
    <w:rsid w:val="00BB79D7"/>
    <w:rsid w:val="00BC03EE"/>
    <w:rsid w:val="00BC3F75"/>
    <w:rsid w:val="00BC42FD"/>
    <w:rsid w:val="00BC5334"/>
    <w:rsid w:val="00BC59F1"/>
    <w:rsid w:val="00BC652C"/>
    <w:rsid w:val="00BC685A"/>
    <w:rsid w:val="00BC6DFF"/>
    <w:rsid w:val="00BD488E"/>
    <w:rsid w:val="00BD5B00"/>
    <w:rsid w:val="00BD6DF9"/>
    <w:rsid w:val="00BD7C59"/>
    <w:rsid w:val="00BF3DE1"/>
    <w:rsid w:val="00BF4843"/>
    <w:rsid w:val="00BF5205"/>
    <w:rsid w:val="00C00998"/>
    <w:rsid w:val="00C02946"/>
    <w:rsid w:val="00C05132"/>
    <w:rsid w:val="00C1010A"/>
    <w:rsid w:val="00C12508"/>
    <w:rsid w:val="00C12ED3"/>
    <w:rsid w:val="00C1304B"/>
    <w:rsid w:val="00C15786"/>
    <w:rsid w:val="00C16B6E"/>
    <w:rsid w:val="00C1779F"/>
    <w:rsid w:val="00C20570"/>
    <w:rsid w:val="00C22DC4"/>
    <w:rsid w:val="00C22F24"/>
    <w:rsid w:val="00C23728"/>
    <w:rsid w:val="00C24DA0"/>
    <w:rsid w:val="00C3026C"/>
    <w:rsid w:val="00C313A9"/>
    <w:rsid w:val="00C3152B"/>
    <w:rsid w:val="00C347C8"/>
    <w:rsid w:val="00C358E4"/>
    <w:rsid w:val="00C40289"/>
    <w:rsid w:val="00C418EE"/>
    <w:rsid w:val="00C432F1"/>
    <w:rsid w:val="00C4382B"/>
    <w:rsid w:val="00C441CF"/>
    <w:rsid w:val="00C45411"/>
    <w:rsid w:val="00C45AA2"/>
    <w:rsid w:val="00C45E6C"/>
    <w:rsid w:val="00C45FE5"/>
    <w:rsid w:val="00C4792C"/>
    <w:rsid w:val="00C5436D"/>
    <w:rsid w:val="00C55BEF"/>
    <w:rsid w:val="00C56B56"/>
    <w:rsid w:val="00C574A0"/>
    <w:rsid w:val="00C57C00"/>
    <w:rsid w:val="00C601AF"/>
    <w:rsid w:val="00C61A63"/>
    <w:rsid w:val="00C6262D"/>
    <w:rsid w:val="00C66296"/>
    <w:rsid w:val="00C7093C"/>
    <w:rsid w:val="00C715A8"/>
    <w:rsid w:val="00C7394D"/>
    <w:rsid w:val="00C755D9"/>
    <w:rsid w:val="00C756B7"/>
    <w:rsid w:val="00C76AF0"/>
    <w:rsid w:val="00C77282"/>
    <w:rsid w:val="00C834A6"/>
    <w:rsid w:val="00C84DE5"/>
    <w:rsid w:val="00C86248"/>
    <w:rsid w:val="00C90B31"/>
    <w:rsid w:val="00C91B77"/>
    <w:rsid w:val="00CA0D24"/>
    <w:rsid w:val="00CA0D6F"/>
    <w:rsid w:val="00CA4C33"/>
    <w:rsid w:val="00CA55F4"/>
    <w:rsid w:val="00CA6F4A"/>
    <w:rsid w:val="00CA7682"/>
    <w:rsid w:val="00CB3483"/>
    <w:rsid w:val="00CB60C1"/>
    <w:rsid w:val="00CB6427"/>
    <w:rsid w:val="00CC0FBE"/>
    <w:rsid w:val="00CC230A"/>
    <w:rsid w:val="00CC300B"/>
    <w:rsid w:val="00CC553A"/>
    <w:rsid w:val="00CD077C"/>
    <w:rsid w:val="00CD2084"/>
    <w:rsid w:val="00CD2119"/>
    <w:rsid w:val="00CD2290"/>
    <w:rsid w:val="00CD237A"/>
    <w:rsid w:val="00CD36AC"/>
    <w:rsid w:val="00CD7344"/>
    <w:rsid w:val="00CD7E16"/>
    <w:rsid w:val="00CE13A3"/>
    <w:rsid w:val="00CE36BC"/>
    <w:rsid w:val="00CE67B9"/>
    <w:rsid w:val="00CF1747"/>
    <w:rsid w:val="00CF2A4F"/>
    <w:rsid w:val="00CF440B"/>
    <w:rsid w:val="00CF60ED"/>
    <w:rsid w:val="00D01DF4"/>
    <w:rsid w:val="00D0264D"/>
    <w:rsid w:val="00D05D74"/>
    <w:rsid w:val="00D1481A"/>
    <w:rsid w:val="00D172EE"/>
    <w:rsid w:val="00D20C59"/>
    <w:rsid w:val="00D23323"/>
    <w:rsid w:val="00D236B6"/>
    <w:rsid w:val="00D2392A"/>
    <w:rsid w:val="00D23FFE"/>
    <w:rsid w:val="00D25E90"/>
    <w:rsid w:val="00D25FFE"/>
    <w:rsid w:val="00D261D7"/>
    <w:rsid w:val="00D263DE"/>
    <w:rsid w:val="00D27922"/>
    <w:rsid w:val="00D27A64"/>
    <w:rsid w:val="00D306E5"/>
    <w:rsid w:val="00D3213C"/>
    <w:rsid w:val="00D33C26"/>
    <w:rsid w:val="00D37D80"/>
    <w:rsid w:val="00D413D7"/>
    <w:rsid w:val="00D442F3"/>
    <w:rsid w:val="00D44483"/>
    <w:rsid w:val="00D444BE"/>
    <w:rsid w:val="00D4476F"/>
    <w:rsid w:val="00D4585A"/>
    <w:rsid w:val="00D45B0B"/>
    <w:rsid w:val="00D501FF"/>
    <w:rsid w:val="00D50573"/>
    <w:rsid w:val="00D5096B"/>
    <w:rsid w:val="00D5488B"/>
    <w:rsid w:val="00D54D50"/>
    <w:rsid w:val="00D560B4"/>
    <w:rsid w:val="00D57E1B"/>
    <w:rsid w:val="00D6063A"/>
    <w:rsid w:val="00D61AFB"/>
    <w:rsid w:val="00D62B08"/>
    <w:rsid w:val="00D65536"/>
    <w:rsid w:val="00D662F8"/>
    <w:rsid w:val="00D66797"/>
    <w:rsid w:val="00D67309"/>
    <w:rsid w:val="00D7087C"/>
    <w:rsid w:val="00D70C3C"/>
    <w:rsid w:val="00D71DF7"/>
    <w:rsid w:val="00D72BE5"/>
    <w:rsid w:val="00D81462"/>
    <w:rsid w:val="00D82431"/>
    <w:rsid w:val="00D82F26"/>
    <w:rsid w:val="00D863D0"/>
    <w:rsid w:val="00D86B00"/>
    <w:rsid w:val="00D86FB9"/>
    <w:rsid w:val="00D87C87"/>
    <w:rsid w:val="00D87FDF"/>
    <w:rsid w:val="00D90BB4"/>
    <w:rsid w:val="00D90E07"/>
    <w:rsid w:val="00D916E7"/>
    <w:rsid w:val="00D91C80"/>
    <w:rsid w:val="00D92EDE"/>
    <w:rsid w:val="00D932C2"/>
    <w:rsid w:val="00D9551A"/>
    <w:rsid w:val="00D97390"/>
    <w:rsid w:val="00D97AC8"/>
    <w:rsid w:val="00DA0232"/>
    <w:rsid w:val="00DA0319"/>
    <w:rsid w:val="00DA1A2C"/>
    <w:rsid w:val="00DA6B5D"/>
    <w:rsid w:val="00DA6DCD"/>
    <w:rsid w:val="00DA6F12"/>
    <w:rsid w:val="00DA7F9E"/>
    <w:rsid w:val="00DB27DD"/>
    <w:rsid w:val="00DB37F9"/>
    <w:rsid w:val="00DB39CF"/>
    <w:rsid w:val="00DB48A0"/>
    <w:rsid w:val="00DB7256"/>
    <w:rsid w:val="00DC0401"/>
    <w:rsid w:val="00DC20BD"/>
    <w:rsid w:val="00DD0BCD"/>
    <w:rsid w:val="00DD3D72"/>
    <w:rsid w:val="00DD447A"/>
    <w:rsid w:val="00DE2860"/>
    <w:rsid w:val="00DE3B20"/>
    <w:rsid w:val="00DE6A2D"/>
    <w:rsid w:val="00DE6C94"/>
    <w:rsid w:val="00DE6FD7"/>
    <w:rsid w:val="00DF0C7C"/>
    <w:rsid w:val="00DF57C0"/>
    <w:rsid w:val="00DF5A02"/>
    <w:rsid w:val="00DF79A7"/>
    <w:rsid w:val="00E03E91"/>
    <w:rsid w:val="00E058E8"/>
    <w:rsid w:val="00E101A6"/>
    <w:rsid w:val="00E10B18"/>
    <w:rsid w:val="00E142AF"/>
    <w:rsid w:val="00E21B3B"/>
    <w:rsid w:val="00E22C7B"/>
    <w:rsid w:val="00E23271"/>
    <w:rsid w:val="00E24F80"/>
    <w:rsid w:val="00E2510C"/>
    <w:rsid w:val="00E259F3"/>
    <w:rsid w:val="00E27C01"/>
    <w:rsid w:val="00E30985"/>
    <w:rsid w:val="00E32454"/>
    <w:rsid w:val="00E33238"/>
    <w:rsid w:val="00E33934"/>
    <w:rsid w:val="00E360F3"/>
    <w:rsid w:val="00E376B7"/>
    <w:rsid w:val="00E42C59"/>
    <w:rsid w:val="00E42F5D"/>
    <w:rsid w:val="00E4486C"/>
    <w:rsid w:val="00E460B6"/>
    <w:rsid w:val="00E511D5"/>
    <w:rsid w:val="00E52321"/>
    <w:rsid w:val="00E53A9F"/>
    <w:rsid w:val="00E54212"/>
    <w:rsid w:val="00E57349"/>
    <w:rsid w:val="00E60249"/>
    <w:rsid w:val="00E61ABD"/>
    <w:rsid w:val="00E6204D"/>
    <w:rsid w:val="00E62238"/>
    <w:rsid w:val="00E63C81"/>
    <w:rsid w:val="00E65269"/>
    <w:rsid w:val="00E7550B"/>
    <w:rsid w:val="00E76D66"/>
    <w:rsid w:val="00E83BB9"/>
    <w:rsid w:val="00E84061"/>
    <w:rsid w:val="00E8710E"/>
    <w:rsid w:val="00E92841"/>
    <w:rsid w:val="00E93DD5"/>
    <w:rsid w:val="00EA3176"/>
    <w:rsid w:val="00EA51C7"/>
    <w:rsid w:val="00EA796A"/>
    <w:rsid w:val="00EB0A8D"/>
    <w:rsid w:val="00EB1856"/>
    <w:rsid w:val="00EB32A1"/>
    <w:rsid w:val="00EB4252"/>
    <w:rsid w:val="00EB68AF"/>
    <w:rsid w:val="00EC1065"/>
    <w:rsid w:val="00EC15F6"/>
    <w:rsid w:val="00EC50CE"/>
    <w:rsid w:val="00EC5B34"/>
    <w:rsid w:val="00ED021E"/>
    <w:rsid w:val="00ED323C"/>
    <w:rsid w:val="00ED42AB"/>
    <w:rsid w:val="00EE2D5C"/>
    <w:rsid w:val="00EE4ADE"/>
    <w:rsid w:val="00EE4DE8"/>
    <w:rsid w:val="00EE5CB7"/>
    <w:rsid w:val="00EE7DD1"/>
    <w:rsid w:val="00EF53E9"/>
    <w:rsid w:val="00EF6658"/>
    <w:rsid w:val="00F000BF"/>
    <w:rsid w:val="00F00352"/>
    <w:rsid w:val="00F024FE"/>
    <w:rsid w:val="00F031EE"/>
    <w:rsid w:val="00F044FB"/>
    <w:rsid w:val="00F05AD4"/>
    <w:rsid w:val="00F103BE"/>
    <w:rsid w:val="00F10EB6"/>
    <w:rsid w:val="00F10EEF"/>
    <w:rsid w:val="00F12A12"/>
    <w:rsid w:val="00F13F07"/>
    <w:rsid w:val="00F140B2"/>
    <w:rsid w:val="00F14CC6"/>
    <w:rsid w:val="00F15082"/>
    <w:rsid w:val="00F16595"/>
    <w:rsid w:val="00F2089D"/>
    <w:rsid w:val="00F2556E"/>
    <w:rsid w:val="00F25970"/>
    <w:rsid w:val="00F25C8C"/>
    <w:rsid w:val="00F30986"/>
    <w:rsid w:val="00F311A9"/>
    <w:rsid w:val="00F31343"/>
    <w:rsid w:val="00F331AB"/>
    <w:rsid w:val="00F33433"/>
    <w:rsid w:val="00F35EB8"/>
    <w:rsid w:val="00F37381"/>
    <w:rsid w:val="00F43312"/>
    <w:rsid w:val="00F4420E"/>
    <w:rsid w:val="00F4682E"/>
    <w:rsid w:val="00F5180D"/>
    <w:rsid w:val="00F5454B"/>
    <w:rsid w:val="00F54C90"/>
    <w:rsid w:val="00F54E74"/>
    <w:rsid w:val="00F60111"/>
    <w:rsid w:val="00F62513"/>
    <w:rsid w:val="00F63781"/>
    <w:rsid w:val="00F6743B"/>
    <w:rsid w:val="00F67496"/>
    <w:rsid w:val="00F70DF6"/>
    <w:rsid w:val="00F71B78"/>
    <w:rsid w:val="00F72440"/>
    <w:rsid w:val="00F72DF0"/>
    <w:rsid w:val="00F7421E"/>
    <w:rsid w:val="00F77671"/>
    <w:rsid w:val="00F801BA"/>
    <w:rsid w:val="00F807AD"/>
    <w:rsid w:val="00F815D3"/>
    <w:rsid w:val="00F8695E"/>
    <w:rsid w:val="00F92A31"/>
    <w:rsid w:val="00F9366A"/>
    <w:rsid w:val="00F946C9"/>
    <w:rsid w:val="00F962E4"/>
    <w:rsid w:val="00FA0758"/>
    <w:rsid w:val="00FA0EA5"/>
    <w:rsid w:val="00FA57C7"/>
    <w:rsid w:val="00FA68C7"/>
    <w:rsid w:val="00FA74EE"/>
    <w:rsid w:val="00FB04DA"/>
    <w:rsid w:val="00FB0A5B"/>
    <w:rsid w:val="00FB1B8E"/>
    <w:rsid w:val="00FC3711"/>
    <w:rsid w:val="00FC46E7"/>
    <w:rsid w:val="00FC5D25"/>
    <w:rsid w:val="00FD0D7E"/>
    <w:rsid w:val="00FD16C4"/>
    <w:rsid w:val="00FD362F"/>
    <w:rsid w:val="00FD46FB"/>
    <w:rsid w:val="00FD4789"/>
    <w:rsid w:val="00FD47FE"/>
    <w:rsid w:val="00FD4FFB"/>
    <w:rsid w:val="00FE022F"/>
    <w:rsid w:val="00FE6E13"/>
    <w:rsid w:val="00FE7D38"/>
    <w:rsid w:val="00FF1393"/>
    <w:rsid w:val="00FF15F6"/>
    <w:rsid w:val="00FF527C"/>
    <w:rsid w:val="00FF65CD"/>
    <w:rsid w:val="0296E35D"/>
    <w:rsid w:val="068D8DF2"/>
    <w:rsid w:val="29FB69DD"/>
    <w:rsid w:val="2AEC9302"/>
    <w:rsid w:val="371DB281"/>
    <w:rsid w:val="383AA525"/>
    <w:rsid w:val="4BB8556C"/>
    <w:rsid w:val="503ED15D"/>
    <w:rsid w:val="5574326F"/>
    <w:rsid w:val="55BFC08C"/>
    <w:rsid w:val="56C19864"/>
    <w:rsid w:val="60FEA876"/>
    <w:rsid w:val="77E8A576"/>
    <w:rsid w:val="7B6A3055"/>
    <w:rsid w:val="7F45AF7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2B059"/>
  <w15:docId w15:val="{1DA1A683-1A3E-4104-806F-0EC399688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D4"/>
    <w:pPr>
      <w:spacing w:line="264" w:lineRule="auto"/>
    </w:pPr>
    <w:rPr>
      <w:rFonts w:ascii="Fira Sans" w:hAnsi="Fira Sans"/>
      <w:lang w:eastAsia="en-GB"/>
    </w:rPr>
  </w:style>
  <w:style w:type="paragraph" w:styleId="Heading1">
    <w:name w:val="heading 1"/>
    <w:basedOn w:val="Normal"/>
    <w:next w:val="Normal"/>
    <w:link w:val="Heading1Char"/>
    <w:uiPriority w:val="9"/>
    <w:qFormat/>
    <w:rsid w:val="00CD7344"/>
    <w:pPr>
      <w:pageBreakBefore/>
      <w:spacing w:after="360"/>
      <w:outlineLvl w:val="0"/>
    </w:pPr>
    <w:rPr>
      <w:b/>
      <w:caps/>
      <w:color w:val="2C463B"/>
      <w:spacing w:val="-10"/>
      <w:sz w:val="64"/>
    </w:rPr>
  </w:style>
  <w:style w:type="paragraph" w:styleId="Heading2">
    <w:name w:val="heading 2"/>
    <w:basedOn w:val="Normal"/>
    <w:next w:val="Normal"/>
    <w:link w:val="Heading2Char"/>
    <w:uiPriority w:val="9"/>
    <w:qFormat/>
    <w:rsid w:val="00B206B2"/>
    <w:pPr>
      <w:keepNext/>
      <w:spacing w:before="480" w:after="180"/>
      <w:outlineLvl w:val="1"/>
    </w:pPr>
    <w:rPr>
      <w:rFonts w:ascii="Montserrat" w:hAnsi="Montserrat"/>
      <w:b/>
      <w:color w:val="2C463B"/>
      <w:spacing w:val="-5"/>
      <w:sz w:val="40"/>
    </w:rPr>
  </w:style>
  <w:style w:type="paragraph" w:styleId="Heading3">
    <w:name w:val="heading 3"/>
    <w:basedOn w:val="Normal"/>
    <w:next w:val="Normal"/>
    <w:link w:val="Heading3Char"/>
    <w:uiPriority w:val="9"/>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uiPriority w:val="9"/>
    <w:qFormat/>
    <w:rsid w:val="002950CD"/>
    <w:pPr>
      <w:keepNext/>
      <w:spacing w:before="240" w:after="120"/>
      <w:outlineLvl w:val="3"/>
    </w:pPr>
    <w:rPr>
      <w:rFonts w:ascii="Montserrat" w:hAnsi="Montserrat"/>
      <w:i/>
      <w:sz w:val="28"/>
    </w:rPr>
  </w:style>
  <w:style w:type="paragraph" w:styleId="Heading5">
    <w:name w:val="heading 5"/>
    <w:basedOn w:val="Normal"/>
    <w:next w:val="Normal"/>
    <w:link w:val="Heading5Char"/>
    <w:uiPriority w:val="9"/>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iPriority w:val="9"/>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iPriority w:val="9"/>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9"/>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7344"/>
    <w:rPr>
      <w:rFonts w:ascii="Fira Sans" w:hAnsi="Fira Sans"/>
      <w:b/>
      <w:caps/>
      <w:color w:val="2C463B"/>
      <w:spacing w:val="-10"/>
      <w:sz w:val="64"/>
      <w:lang w:eastAsia="en-GB"/>
    </w:rPr>
  </w:style>
  <w:style w:type="character" w:customStyle="1" w:styleId="Heading2Char">
    <w:name w:val="Heading 2 Char"/>
    <w:link w:val="Heading2"/>
    <w:uiPriority w:val="9"/>
    <w:rsid w:val="00B206B2"/>
    <w:rPr>
      <w:rFonts w:ascii="Montserrat" w:hAnsi="Montserrat"/>
      <w:b/>
      <w:color w:val="2C463B"/>
      <w:spacing w:val="-5"/>
      <w:sz w:val="40"/>
      <w:lang w:eastAsia="en-GB"/>
    </w:rPr>
  </w:style>
  <w:style w:type="character" w:customStyle="1" w:styleId="Heading3Char">
    <w:name w:val="Heading 3 Char"/>
    <w:link w:val="Heading3"/>
    <w:uiPriority w:val="9"/>
    <w:rsid w:val="005718A6"/>
    <w:rPr>
      <w:rFonts w:ascii="Montserrat" w:hAnsi="Montserrat"/>
      <w:color w:val="2C463B"/>
      <w:spacing w:val="-5"/>
      <w:sz w:val="36"/>
      <w:lang w:eastAsia="en-GB"/>
    </w:rPr>
  </w:style>
  <w:style w:type="character" w:customStyle="1" w:styleId="Heading4Char">
    <w:name w:val="Heading 4 Char"/>
    <w:link w:val="Heading4"/>
    <w:uiPriority w:val="9"/>
    <w:rsid w:val="002950CD"/>
    <w:rPr>
      <w:rFonts w:ascii="Montserrat" w:hAnsi="Montserrat"/>
      <w:i/>
      <w:sz w:val="28"/>
      <w:lang w:eastAsia="en-GB"/>
    </w:rPr>
  </w:style>
  <w:style w:type="character" w:customStyle="1" w:styleId="Heading5Char">
    <w:name w:val="Heading 5 Char"/>
    <w:link w:val="Heading5"/>
    <w:uiPriority w:val="9"/>
    <w:rsid w:val="004374D1"/>
    <w:rPr>
      <w:rFonts w:ascii="Montserrat" w:hAnsi="Montserrat"/>
      <w:color w:val="2C463B"/>
      <w:sz w:val="24"/>
      <w:lang w:eastAsia="en-GB"/>
    </w:rPr>
  </w:style>
  <w:style w:type="character" w:customStyle="1" w:styleId="Heading6Char">
    <w:name w:val="Heading 6 Char"/>
    <w:basedOn w:val="DefaultParagraphFont"/>
    <w:link w:val="Heading6"/>
    <w:uiPriority w:val="9"/>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uiPriority w:val="9"/>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9"/>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962D57"/>
    <w:pPr>
      <w:keepNext/>
      <w:tabs>
        <w:tab w:val="right" w:leader="dot" w:pos="8080"/>
      </w:tabs>
      <w:spacing w:before="240"/>
    </w:pPr>
    <w:rPr>
      <w:sz w:val="24"/>
    </w:rPr>
  </w:style>
  <w:style w:type="paragraph" w:styleId="TOC2">
    <w:name w:val="toc 2"/>
    <w:basedOn w:val="TableofFigures"/>
    <w:next w:val="Normal"/>
    <w:uiPriority w:val="39"/>
    <w:qFormat/>
    <w:rsid w:val="002627FD"/>
    <w:pPr>
      <w:tabs>
        <w:tab w:val="right" w:leader="dot" w:pos="8069"/>
      </w:tabs>
      <w:ind w:left="284"/>
    </w:pPr>
  </w:style>
  <w:style w:type="paragraph" w:styleId="TOC3">
    <w:name w:val="toc 3"/>
    <w:basedOn w:val="Normal"/>
    <w:next w:val="Normal"/>
    <w:uiPriority w:val="39"/>
    <w:rsid w:val="00D67309"/>
    <w:pPr>
      <w:tabs>
        <w:tab w:val="right" w:pos="8080"/>
      </w:tabs>
      <w:spacing w:before="120"/>
      <w:ind w:left="1134" w:right="567" w:hanging="1134"/>
    </w:pPr>
  </w:style>
  <w:style w:type="paragraph" w:customStyle="1" w:styleId="Bullet">
    <w:name w:val="Bullet"/>
    <w:basedOn w:val="Normal"/>
    <w:link w:val="BulletChar"/>
    <w:uiPriority w:val="99"/>
    <w:qFormat/>
    <w:rsid w:val="00FA0EA5"/>
    <w:pPr>
      <w:numPr>
        <w:numId w:val="1"/>
      </w:numPr>
      <w:tabs>
        <w:tab w:val="clear" w:pos="284"/>
      </w:tabs>
      <w:spacing w:before="90"/>
    </w:pPr>
  </w:style>
  <w:style w:type="character" w:customStyle="1" w:styleId="BulletChar">
    <w:name w:val="Bullet Char"/>
    <w:link w:val="Bullet"/>
    <w:uiPriority w:val="99"/>
    <w:locked/>
    <w:rsid w:val="002B7BEC"/>
    <w:rPr>
      <w:rFonts w:ascii="Fira Sans" w:hAnsi="Fira Sans"/>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basedOn w:val="Normal"/>
    <w:link w:val="FootnoteTextChar"/>
    <w:uiPriority w:val="99"/>
    <w:rsid w:val="005B5816"/>
    <w:pPr>
      <w:spacing w:after="60" w:line="240" w:lineRule="auto"/>
      <w:ind w:left="227" w:hanging="227"/>
    </w:pPr>
    <w:rPr>
      <w:sz w:val="17"/>
    </w:rPr>
  </w:style>
  <w:style w:type="character" w:customStyle="1" w:styleId="FootnoteTextChar">
    <w:name w:val="Footnote Text Char"/>
    <w:link w:val="FootnoteText"/>
    <w:uiPriority w:val="99"/>
    <w:rsid w:val="005B5816"/>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uiPriority w:val="10"/>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uiPriority w:val="10"/>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uiPriority w:val="99"/>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qFormat/>
    <w:rsid w:val="00925892"/>
    <w:pPr>
      <w:spacing w:before="60" w:after="60"/>
    </w:pPr>
    <w:rPr>
      <w:sz w:val="18"/>
    </w:rPr>
  </w:style>
  <w:style w:type="paragraph" w:customStyle="1" w:styleId="TableBullet">
    <w:name w:val="TableBullet"/>
    <w:basedOn w:val="TableText"/>
    <w:qFormat/>
    <w:rsid w:val="00E7550B"/>
    <w:pPr>
      <w:numPr>
        <w:numId w:val="4"/>
      </w:numPr>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38265F"/>
    <w:pPr>
      <w:spacing w:before="80"/>
      <w:ind w:left="170" w:hanging="170"/>
    </w:pPr>
    <w:rPr>
      <w:sz w:val="17"/>
      <w:lang w:eastAsia="en-US"/>
    </w:rPr>
  </w:style>
  <w:style w:type="character" w:customStyle="1" w:styleId="NoteChar">
    <w:name w:val="Note Char"/>
    <w:link w:val="Note"/>
    <w:rsid w:val="0038265F"/>
    <w:rPr>
      <w:rFonts w:ascii="Fira Sans" w:hAnsi="Fira Sans"/>
      <w:sz w:val="17"/>
      <w:lang w:eastAsia="en-US"/>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4A766C"/>
    <w:rPr>
      <w:b/>
      <w:color w:val="619A82"/>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rsid w:val="00F140B2"/>
    <w:pPr>
      <w:numPr>
        <w:ilvl w:val="3"/>
        <w:numId w:val="5"/>
      </w:numPr>
      <w:spacing w:before="18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B27EE1"/>
    <w:pPr>
      <w:keepNext/>
      <w:spacing w:after="12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character" w:styleId="CommentReference">
    <w:name w:val="annotation reference"/>
    <w:basedOn w:val="DefaultParagraphFont"/>
    <w:uiPriority w:val="99"/>
    <w:semiHidden/>
    <w:unhideWhenUsed/>
    <w:rsid w:val="0082081A"/>
    <w:rPr>
      <w:sz w:val="16"/>
      <w:szCs w:val="16"/>
    </w:rPr>
  </w:style>
  <w:style w:type="paragraph" w:styleId="CommentText">
    <w:name w:val="annotation text"/>
    <w:basedOn w:val="Normal"/>
    <w:link w:val="CommentTextChar"/>
    <w:uiPriority w:val="99"/>
    <w:unhideWhenUsed/>
    <w:rsid w:val="0082081A"/>
    <w:rPr>
      <w:sz w:val="48"/>
    </w:rPr>
  </w:style>
  <w:style w:type="character" w:customStyle="1" w:styleId="CommentTextChar">
    <w:name w:val="Comment Text Char"/>
    <w:basedOn w:val="DefaultParagraphFont"/>
    <w:link w:val="CommentText"/>
    <w:uiPriority w:val="99"/>
    <w:rsid w:val="0082081A"/>
    <w:rPr>
      <w:rFonts w:ascii="Segoe UI" w:hAnsi="Segoe UI"/>
      <w:sz w:val="48"/>
      <w:lang w:eastAsia="en-GB"/>
    </w:rPr>
  </w:style>
  <w:style w:type="paragraph" w:styleId="CommentSubject">
    <w:name w:val="annotation subject"/>
    <w:basedOn w:val="CommentText"/>
    <w:next w:val="CommentText"/>
    <w:link w:val="CommentSubjectChar"/>
    <w:uiPriority w:val="99"/>
    <w:semiHidden/>
    <w:unhideWhenUsed/>
    <w:rsid w:val="0082081A"/>
    <w:rPr>
      <w:b/>
      <w:bCs/>
    </w:rPr>
  </w:style>
  <w:style w:type="character" w:customStyle="1" w:styleId="CommentSubjectChar">
    <w:name w:val="Comment Subject Char"/>
    <w:basedOn w:val="CommentTextChar"/>
    <w:link w:val="CommentSubject"/>
    <w:uiPriority w:val="99"/>
    <w:semiHidden/>
    <w:rsid w:val="0082081A"/>
    <w:rPr>
      <w:rFonts w:ascii="Segoe UI" w:hAnsi="Segoe UI"/>
      <w:b/>
      <w:bCs/>
      <w:sz w:val="48"/>
      <w:lang w:eastAsia="en-GB"/>
    </w:rPr>
  </w:style>
  <w:style w:type="table" w:styleId="TableGrid">
    <w:name w:val="Table Grid"/>
    <w:basedOn w:val="TableNormal"/>
    <w:uiPriority w:val="39"/>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D41CC"/>
    <w:pPr>
      <w:spacing w:after="200"/>
    </w:pPr>
    <w:rPr>
      <w:b/>
      <w:bCs/>
      <w:color w:val="4F81BD" w:themeColor="accent1"/>
      <w:sz w:val="18"/>
      <w:szCs w:val="18"/>
    </w:rPr>
  </w:style>
  <w:style w:type="paragraph" w:styleId="TableofFigures">
    <w:name w:val="table of figures"/>
    <w:basedOn w:val="Normal"/>
    <w:next w:val="Normal"/>
    <w:uiPriority w:val="99"/>
    <w:unhideWhenUsed/>
    <w:qFormat/>
    <w:rsid w:val="009A3110"/>
    <w:pPr>
      <w:spacing w:before="60"/>
      <w:ind w:right="567"/>
    </w:pPr>
  </w:style>
  <w:style w:type="character" w:customStyle="1" w:styleId="scxw17850753">
    <w:name w:val="scxw17850753"/>
    <w:basedOn w:val="DefaultParagraphFont"/>
    <w:rsid w:val="00CA0D24"/>
  </w:style>
  <w:style w:type="paragraph" w:styleId="ListParagraph">
    <w:name w:val="List Paragraph"/>
    <w:basedOn w:val="Normal"/>
    <w:uiPriority w:val="34"/>
    <w:qFormat/>
    <w:rsid w:val="001B1FFA"/>
    <w:pPr>
      <w:ind w:left="720"/>
      <w:contextualSpacing/>
    </w:pPr>
  </w:style>
  <w:style w:type="character" w:customStyle="1" w:styleId="cf01">
    <w:name w:val="cf01"/>
    <w:basedOn w:val="DefaultParagraphFont"/>
    <w:rsid w:val="00615E9F"/>
    <w:rPr>
      <w:rFonts w:ascii="Segoe UI" w:hAnsi="Segoe UI" w:cs="Segoe UI" w:hint="default"/>
      <w:sz w:val="18"/>
      <w:szCs w:val="18"/>
    </w:rPr>
  </w:style>
  <w:style w:type="paragraph" w:styleId="ListNumber">
    <w:name w:val="List Number"/>
    <w:basedOn w:val="Normal"/>
    <w:unhideWhenUsed/>
    <w:rsid w:val="00797461"/>
    <w:pPr>
      <w:numPr>
        <w:numId w:val="6"/>
      </w:numPr>
      <w:spacing w:before="90" w:after="90"/>
    </w:pPr>
  </w:style>
  <w:style w:type="paragraph" w:customStyle="1" w:styleId="Normalindent">
    <w:name w:val="Normal – indent"/>
    <w:basedOn w:val="Normal"/>
    <w:qFormat/>
    <w:rsid w:val="00797461"/>
    <w:pPr>
      <w:ind w:left="357"/>
    </w:pPr>
  </w:style>
  <w:style w:type="paragraph" w:customStyle="1" w:styleId="Part">
    <w:name w:val="Part"/>
    <w:basedOn w:val="Normal"/>
    <w:qFormat/>
    <w:rsid w:val="00082FE1"/>
    <w:pPr>
      <w:spacing w:before="360"/>
    </w:pPr>
    <w:rPr>
      <w:color w:val="2C463B"/>
      <w:sz w:val="46"/>
      <w:lang w:eastAsia="en-NZ"/>
    </w:rPr>
  </w:style>
  <w:style w:type="character" w:styleId="FollowedHyperlink">
    <w:name w:val="FollowedHyperlink"/>
    <w:basedOn w:val="DefaultParagraphFont"/>
    <w:uiPriority w:val="99"/>
    <w:semiHidden/>
    <w:unhideWhenUsed/>
    <w:rsid w:val="00082FE1"/>
    <w:rPr>
      <w:b/>
      <w:color w:val="595959" w:themeColor="text1" w:themeTint="A6"/>
      <w:u w:val="none"/>
    </w:rPr>
  </w:style>
  <w:style w:type="paragraph" w:styleId="BalloonText">
    <w:name w:val="Balloon Text"/>
    <w:basedOn w:val="Normal"/>
    <w:link w:val="BalloonTextChar"/>
    <w:uiPriority w:val="99"/>
    <w:semiHidden/>
    <w:unhideWhenUsed/>
    <w:rsid w:val="00082FE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FE1"/>
    <w:rPr>
      <w:rFonts w:ascii="Tahoma" w:hAnsi="Tahoma" w:cs="Tahoma"/>
      <w:sz w:val="16"/>
      <w:szCs w:val="16"/>
      <w:lang w:eastAsia="en-GB"/>
    </w:rPr>
  </w:style>
  <w:style w:type="character" w:styleId="UnresolvedMention">
    <w:name w:val="Unresolved Mention"/>
    <w:basedOn w:val="DefaultParagraphFont"/>
    <w:uiPriority w:val="99"/>
    <w:unhideWhenUsed/>
    <w:rsid w:val="00082FE1"/>
    <w:rPr>
      <w:color w:val="605E5C"/>
      <w:shd w:val="clear" w:color="auto" w:fill="E1DFDD"/>
    </w:rPr>
  </w:style>
  <w:style w:type="character" w:styleId="Mention">
    <w:name w:val="Mention"/>
    <w:basedOn w:val="DefaultParagraphFont"/>
    <w:uiPriority w:val="99"/>
    <w:unhideWhenUsed/>
    <w:rsid w:val="00082FE1"/>
    <w:rPr>
      <w:color w:val="2B579A"/>
      <w:shd w:val="clear" w:color="auto" w:fill="E1DFDD"/>
    </w:rPr>
  </w:style>
  <w:style w:type="paragraph" w:customStyle="1" w:styleId="EndNoteBibliographyTitle">
    <w:name w:val="EndNote Bibliography Title"/>
    <w:basedOn w:val="Normal"/>
    <w:link w:val="EndNoteBibliographyTitleChar"/>
    <w:rsid w:val="00082FE1"/>
    <w:pPr>
      <w:jc w:val="center"/>
    </w:pPr>
    <w:rPr>
      <w:noProof/>
      <w:sz w:val="58"/>
      <w:lang w:val="en-GB"/>
    </w:rPr>
  </w:style>
  <w:style w:type="character" w:customStyle="1" w:styleId="EndNoteBibliographyTitleChar">
    <w:name w:val="EndNote Bibliography Title Char"/>
    <w:basedOn w:val="DefaultParagraphFont"/>
    <w:link w:val="EndNoteBibliographyTitle"/>
    <w:rsid w:val="00082FE1"/>
    <w:rPr>
      <w:rFonts w:ascii="Fira Sans" w:hAnsi="Fira Sans"/>
      <w:noProof/>
      <w:sz w:val="58"/>
      <w:lang w:val="en-GB" w:eastAsia="en-GB"/>
    </w:rPr>
  </w:style>
  <w:style w:type="paragraph" w:customStyle="1" w:styleId="EndNoteBibliography">
    <w:name w:val="EndNote Bibliography"/>
    <w:basedOn w:val="Normal"/>
    <w:link w:val="EndNoteBibliographyChar"/>
    <w:rsid w:val="00082FE1"/>
    <w:pPr>
      <w:spacing w:line="240" w:lineRule="auto"/>
    </w:pPr>
    <w:rPr>
      <w:noProof/>
      <w:sz w:val="58"/>
      <w:lang w:val="en-GB"/>
    </w:rPr>
  </w:style>
  <w:style w:type="character" w:customStyle="1" w:styleId="EndNoteBibliographyChar">
    <w:name w:val="EndNote Bibliography Char"/>
    <w:basedOn w:val="DefaultParagraphFont"/>
    <w:link w:val="EndNoteBibliography"/>
    <w:rsid w:val="00082FE1"/>
    <w:rPr>
      <w:rFonts w:ascii="Fira Sans" w:hAnsi="Fira Sans"/>
      <w:noProof/>
      <w:sz w:val="58"/>
      <w:lang w:val="en-GB" w:eastAsia="en-GB"/>
    </w:rPr>
  </w:style>
  <w:style w:type="character" w:customStyle="1" w:styleId="findhit">
    <w:name w:val="findhit"/>
    <w:basedOn w:val="DefaultParagraphFont"/>
    <w:rsid w:val="00082FE1"/>
  </w:style>
  <w:style w:type="character" w:customStyle="1" w:styleId="superscript">
    <w:name w:val="superscript"/>
    <w:basedOn w:val="DefaultParagraphFont"/>
    <w:rsid w:val="00082FE1"/>
  </w:style>
  <w:style w:type="table" w:customStyle="1" w:styleId="CCA">
    <w:name w:val="CCA"/>
    <w:basedOn w:val="TableNormal"/>
    <w:uiPriority w:val="99"/>
    <w:rsid w:val="008666B3"/>
    <w:pPr>
      <w:spacing w:before="60" w:after="60" w:line="264" w:lineRule="auto"/>
    </w:pPr>
    <w:rPr>
      <w:rFonts w:ascii="Fira Sans" w:hAnsi="Fira Sans"/>
      <w:sz w:val="18"/>
    </w:rPr>
    <w:tblPr>
      <w:tblBorders>
        <w:bottom w:val="single" w:sz="4" w:space="0" w:color="C2D9BA"/>
        <w:insideH w:val="single" w:sz="4" w:space="0" w:color="C2D9BA"/>
      </w:tblBorders>
    </w:tblPr>
    <w:tblStylePr w:type="firstRow">
      <w:tblPr/>
      <w:tcPr>
        <w:tcBorders>
          <w:top w:val="nil"/>
          <w:left w:val="nil"/>
          <w:bottom w:val="nil"/>
          <w:right w:val="nil"/>
          <w:insideH w:val="nil"/>
          <w:insideV w:val="nil"/>
          <w:tl2br w:val="nil"/>
          <w:tr2bl w:val="nil"/>
        </w:tcBorders>
        <w:shd w:val="clear" w:color="auto" w:fill="C2D9BA"/>
      </w:tcPr>
    </w:tblStylePr>
  </w:style>
  <w:style w:type="paragraph" w:styleId="NormalWeb">
    <w:name w:val="Normal (Web)"/>
    <w:basedOn w:val="Normal"/>
    <w:uiPriority w:val="99"/>
    <w:unhideWhenUsed/>
    <w:rsid w:val="002F1E74"/>
    <w:pPr>
      <w:spacing w:before="100" w:beforeAutospacing="1" w:after="100" w:afterAutospacing="1" w:line="240" w:lineRule="auto"/>
    </w:pPr>
    <w:rPr>
      <w:rFonts w:ascii="Times New Roman" w:hAnsi="Times New Roman"/>
      <w:sz w:val="24"/>
      <w:szCs w:val="24"/>
      <w:lang w:eastAsia="en-NZ"/>
    </w:rPr>
  </w:style>
  <w:style w:type="paragraph" w:styleId="TOCHeading">
    <w:name w:val="TOC Heading"/>
    <w:basedOn w:val="Heading1"/>
    <w:next w:val="Normal"/>
    <w:uiPriority w:val="39"/>
    <w:unhideWhenUsed/>
    <w:qFormat/>
    <w:rsid w:val="002F1E74"/>
    <w:pPr>
      <w:keepNext/>
      <w:keepLines/>
      <w:pageBreakBefore w:val="0"/>
      <w:spacing w:before="240" w:after="0" w:line="259" w:lineRule="auto"/>
      <w:outlineLvl w:val="9"/>
    </w:pPr>
    <w:rPr>
      <w:rFonts w:asciiTheme="majorHAnsi" w:eastAsiaTheme="majorEastAsia" w:hAnsiTheme="majorHAnsi" w:cstheme="majorBidi"/>
      <w:b w:val="0"/>
      <w:caps w:val="0"/>
      <w:color w:val="365F91" w:themeColor="accent1" w:themeShade="BF"/>
      <w:spacing w:val="0"/>
      <w:sz w:val="32"/>
      <w:szCs w:val="32"/>
      <w:lang w:val="en-US" w:eastAsia="en-US"/>
    </w:rPr>
  </w:style>
  <w:style w:type="paragraph" w:customStyle="1" w:styleId="paragraph">
    <w:name w:val="paragraph"/>
    <w:basedOn w:val="Normal"/>
    <w:rsid w:val="002F1E74"/>
    <w:pPr>
      <w:spacing w:before="100" w:beforeAutospacing="1" w:after="100" w:afterAutospacing="1" w:line="240" w:lineRule="auto"/>
    </w:pPr>
    <w:rPr>
      <w:rFonts w:ascii="Times New Roman" w:hAnsi="Times New Roman"/>
      <w:sz w:val="24"/>
      <w:szCs w:val="24"/>
      <w:lang w:eastAsia="en-NZ"/>
    </w:rPr>
  </w:style>
  <w:style w:type="character" w:customStyle="1" w:styleId="normaltextrun">
    <w:name w:val="normaltextrun"/>
    <w:basedOn w:val="DefaultParagraphFont"/>
    <w:rsid w:val="002F1E74"/>
  </w:style>
  <w:style w:type="character" w:customStyle="1" w:styleId="eop">
    <w:name w:val="eop"/>
    <w:basedOn w:val="DefaultParagraphFont"/>
    <w:rsid w:val="002F1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header" Target="header7.xml"/><Relationship Id="rId39" Type="http://schemas.openxmlformats.org/officeDocument/2006/relationships/hyperlink" Target="https://connect.pharmac.govt.nz/apptracker/s/" TargetMode="External"/><Relationship Id="rId21" Type="http://schemas.openxmlformats.org/officeDocument/2006/relationships/footer" Target="footer2.xml"/><Relationship Id="rId34" Type="http://schemas.openxmlformats.org/officeDocument/2006/relationships/header" Target="header11.xml"/><Relationship Id="rId42" Type="http://schemas.openxmlformats.org/officeDocument/2006/relationships/footer" Target="footer8.xml"/><Relationship Id="rId47" Type="http://schemas.openxmlformats.org/officeDocument/2006/relationships/hyperlink" Target="https://www.pbs.gov.au/browse/body-system" TargetMode="External"/><Relationship Id="rId50" Type="http://schemas.openxmlformats.org/officeDocument/2006/relationships/hyperlink" Target="http://www.medsafe.govt.nz/Medicines/infoSearch.asp" TargetMode="External"/><Relationship Id="rId55" Type="http://schemas.openxmlformats.org/officeDocument/2006/relationships/hyperlink" Target="https://nzf.org.nz/regimens"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5.xml"/><Relationship Id="rId29" Type="http://schemas.openxmlformats.org/officeDocument/2006/relationships/footer" Target="footer5.xml"/><Relationship Id="rId41" Type="http://schemas.openxmlformats.org/officeDocument/2006/relationships/header" Target="header14.xml"/><Relationship Id="rId54" Type="http://schemas.openxmlformats.org/officeDocument/2006/relationships/hyperlink" Target="http://www.eviq.org.au/" TargetMode="External"/><Relationship Id="rId62"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jpg"/><Relationship Id="rId32" Type="http://schemas.openxmlformats.org/officeDocument/2006/relationships/image" Target="media/image9.emf"/><Relationship Id="rId37" Type="http://schemas.openxmlformats.org/officeDocument/2006/relationships/header" Target="header12.xml"/><Relationship Id="rId40" Type="http://schemas.openxmlformats.org/officeDocument/2006/relationships/header" Target="header13.xml"/><Relationship Id="rId45" Type="http://schemas.openxmlformats.org/officeDocument/2006/relationships/hyperlink" Target="https://schedule.pharmac.govt.nz/ScheduleOnline.php" TargetMode="External"/><Relationship Id="rId53" Type="http://schemas.openxmlformats.org/officeDocument/2006/relationships/hyperlink" Target="https://nzf.org.nz/regimens" TargetMode="External"/><Relationship Id="rId58" Type="http://schemas.openxmlformats.org/officeDocument/2006/relationships/header" Target="header1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4.xml"/><Relationship Id="rId36" Type="http://schemas.openxmlformats.org/officeDocument/2006/relationships/footer" Target="footer7.xml"/><Relationship Id="rId49" Type="http://schemas.openxmlformats.org/officeDocument/2006/relationships/hyperlink" Target="http://www.eviq.org.au/" TargetMode="External"/><Relationship Id="rId57" Type="http://schemas.openxmlformats.org/officeDocument/2006/relationships/hyperlink" Target="http://www.medsafe.govt.nz/Medicines/infoSearch.asp" TargetMode="External"/><Relationship Id="rId61"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image" Target="media/image8.png"/><Relationship Id="rId44" Type="http://schemas.openxmlformats.org/officeDocument/2006/relationships/header" Target="header15.xml"/><Relationship Id="rId52" Type="http://schemas.openxmlformats.org/officeDocument/2006/relationships/hyperlink" Target="https://connect.pharmac.govt.nz/apptracker/s/" TargetMode="External"/><Relationship Id="rId60"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6.xml"/><Relationship Id="rId43" Type="http://schemas.openxmlformats.org/officeDocument/2006/relationships/footer" Target="footer9.xml"/><Relationship Id="rId48" Type="http://schemas.openxmlformats.org/officeDocument/2006/relationships/hyperlink" Target="http://www.ebs.tga.gov.au/" TargetMode="External"/><Relationship Id="rId56" Type="http://schemas.openxmlformats.org/officeDocument/2006/relationships/hyperlink" Target="http://www.eviq.org.au/"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esmo.org/guidelines/esmo-mcbs/esmo-mcbs-for-haematological-malignancies/esmo-mcbs-h-evaluation-forms"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teaho.govt.nz" TargetMode="External"/><Relationship Id="rId25" Type="http://schemas.openxmlformats.org/officeDocument/2006/relationships/image" Target="media/image7.png"/><Relationship Id="rId33" Type="http://schemas.openxmlformats.org/officeDocument/2006/relationships/header" Target="header10.xml"/><Relationship Id="rId38" Type="http://schemas.openxmlformats.org/officeDocument/2006/relationships/hyperlink" Target="https://connect.pharmac.govt.nz/apptracker/s/" TargetMode="External"/><Relationship Id="rId46" Type="http://schemas.openxmlformats.org/officeDocument/2006/relationships/hyperlink" Target="https://schedule.pharmac.govt.nz/HMLOnline.php" TargetMode="External"/><Relationship Id="rId59" Type="http://schemas.openxmlformats.org/officeDocument/2006/relationships/header" Target="header17.xml"/></Relationships>
</file>

<file path=word/_rels/footer1.xml.rels><?xml version="1.0" encoding="UTF-8" standalone="yes"?>
<Relationships xmlns="http://schemas.openxmlformats.org/package/2006/relationships"><Relationship Id="rId1" Type="http://schemas.openxmlformats.org/officeDocument/2006/relationships/hyperlink" Target="http://www.health.govt.nz" TargetMode="External"/></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11.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www.esmo.org/guidelines/esmo-mcbs" TargetMode="External"/><Relationship Id="rId1" Type="http://schemas.openxmlformats.org/officeDocument/2006/relationships/hyperlink" Target="https://teaho.govt.nz/publications/cancer-medicin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2cffbe-180e-4030-8c1b-c6f4d70bb013">
      <Terms xmlns="http://schemas.microsoft.com/office/infopath/2007/PartnerControls"/>
    </lcf76f155ced4ddcb4097134ff3c332f>
    <TaxCatchAll xmlns="00a4df5b-51f4-4e7a-b755-8a381a6dfbc5" xsi:nil="true"/>
    <Dateandtime xmlns="c02cffbe-180e-4030-8c1b-c6f4d70bb01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666BBFF82759F488643FBA3C49367F4" ma:contentTypeVersion="17" ma:contentTypeDescription="Create a new document." ma:contentTypeScope="" ma:versionID="78922f898f1f4cb00bc5c7b34c56b1be">
  <xsd:schema xmlns:xsd="http://www.w3.org/2001/XMLSchema" xmlns:xs="http://www.w3.org/2001/XMLSchema" xmlns:p="http://schemas.microsoft.com/office/2006/metadata/properties" xmlns:ns2="c02cffbe-180e-4030-8c1b-c6f4d70bb013" xmlns:ns3="3fd381b6-4d67-40c4-ab3a-532c6af45e39" xmlns:ns4="00a4df5b-51f4-4e7a-b755-8a381a6dfbc5" targetNamespace="http://schemas.microsoft.com/office/2006/metadata/properties" ma:root="true" ma:fieldsID="886464fd5997c8fdc9c3154459f13b28" ns2:_="" ns3:_="" ns4:_="">
    <xsd:import namespace="c02cffbe-180e-4030-8c1b-c6f4d70bb013"/>
    <xsd:import namespace="3fd381b6-4d67-40c4-ab3a-532c6af45e39"/>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GenerationTime" minOccurs="0"/>
                <xsd:element ref="ns2:MediaServiceEventHashCode" minOccurs="0"/>
                <xsd:element ref="ns2:MediaServiceSearchProperties" minOccurs="0"/>
                <xsd:element ref="ns2:Dateandtim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cffbe-180e-4030-8c1b-c6f4d70bb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andtime" ma:index="23" nillable="true" ma:displayName="Date and time " ma:format="DateOnly" ma:internalName="Dateandtime">
      <xsd:simpleType>
        <xsd:restriction base="dms:DateTime"/>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d381b6-4d67-40c4-ab3a-532c6af45e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d007d3-f1d8-4818-b362-eed84cb868d8}" ma:internalName="TaxCatchAll" ma:showField="CatchAllData" ma:web="3fd381b6-4d67-40c4-ab3a-532c6af45e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0D73C-2CFE-4479-8202-85E10B9473D9}">
  <ds:schemaRefs>
    <ds:schemaRef ds:uri="http://schemas.microsoft.com/office/2006/metadata/properties"/>
    <ds:schemaRef ds:uri="http://schemas.microsoft.com/office/infopath/2007/PartnerControls"/>
    <ds:schemaRef ds:uri="c02cffbe-180e-4030-8c1b-c6f4d70bb013"/>
    <ds:schemaRef ds:uri="00a4df5b-51f4-4e7a-b755-8a381a6dfbc5"/>
  </ds:schemaRefs>
</ds:datastoreItem>
</file>

<file path=customXml/itemProps2.xml><?xml version="1.0" encoding="utf-8"?>
<ds:datastoreItem xmlns:ds="http://schemas.openxmlformats.org/officeDocument/2006/customXml" ds:itemID="{71D09945-0531-4392-9BDC-2159CF42BEE5}">
  <ds:schemaRefs>
    <ds:schemaRef ds:uri="http://schemas.openxmlformats.org/officeDocument/2006/bibliography"/>
  </ds:schemaRefs>
</ds:datastoreItem>
</file>

<file path=customXml/itemProps3.xml><?xml version="1.0" encoding="utf-8"?>
<ds:datastoreItem xmlns:ds="http://schemas.openxmlformats.org/officeDocument/2006/customXml" ds:itemID="{8B0E0B4C-AFC2-4B0E-915A-A47042E5994F}">
  <ds:schemaRefs>
    <ds:schemaRef ds:uri="http://schemas.microsoft.com/sharepoint/v3/contenttype/forms"/>
  </ds:schemaRefs>
</ds:datastoreItem>
</file>

<file path=customXml/itemProps4.xml><?xml version="1.0" encoding="utf-8"?>
<ds:datastoreItem xmlns:ds="http://schemas.openxmlformats.org/officeDocument/2006/customXml" ds:itemID="{2853E49F-DAB3-41C8-BAE7-3E860A6C7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cffbe-180e-4030-8c1b-c6f4d70bb013"/>
    <ds:schemaRef ds:uri="3fd381b6-4d67-40c4-ab3a-532c6af45e39"/>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7692</Words>
  <Characters>43849</Characters>
  <Application>Microsoft Office Word</Application>
  <DocSecurity>0</DocSecurity>
  <Lines>365</Lines>
  <Paragraphs>102</Paragraphs>
  <ScaleCrop>false</ScaleCrop>
  <Company>Microsoft</Company>
  <LinksUpToDate>false</LinksUpToDate>
  <CharactersWithSpaces>51439</CharactersWithSpaces>
  <SharedDoc>false</SharedDoc>
  <HLinks>
    <vt:vector size="246" baseType="variant">
      <vt:variant>
        <vt:i4>3604580</vt:i4>
      </vt:variant>
      <vt:variant>
        <vt:i4>186</vt:i4>
      </vt:variant>
      <vt:variant>
        <vt:i4>0</vt:i4>
      </vt:variant>
      <vt:variant>
        <vt:i4>5</vt:i4>
      </vt:variant>
      <vt:variant>
        <vt:lpwstr>http://www.medsafe.govt.nz/Medicines/infoSearch.asp</vt:lpwstr>
      </vt:variant>
      <vt:variant>
        <vt:lpwstr/>
      </vt:variant>
      <vt:variant>
        <vt:i4>2097214</vt:i4>
      </vt:variant>
      <vt:variant>
        <vt:i4>183</vt:i4>
      </vt:variant>
      <vt:variant>
        <vt:i4>0</vt:i4>
      </vt:variant>
      <vt:variant>
        <vt:i4>5</vt:i4>
      </vt:variant>
      <vt:variant>
        <vt:lpwstr>http://www.eviq.org.au/</vt:lpwstr>
      </vt:variant>
      <vt:variant>
        <vt:lpwstr/>
      </vt:variant>
      <vt:variant>
        <vt:i4>7667816</vt:i4>
      </vt:variant>
      <vt:variant>
        <vt:i4>180</vt:i4>
      </vt:variant>
      <vt:variant>
        <vt:i4>0</vt:i4>
      </vt:variant>
      <vt:variant>
        <vt:i4>5</vt:i4>
      </vt:variant>
      <vt:variant>
        <vt:lpwstr>https://nzf.org.nz/regimens</vt:lpwstr>
      </vt:variant>
      <vt:variant>
        <vt:lpwstr/>
      </vt:variant>
      <vt:variant>
        <vt:i4>2097214</vt:i4>
      </vt:variant>
      <vt:variant>
        <vt:i4>177</vt:i4>
      </vt:variant>
      <vt:variant>
        <vt:i4>0</vt:i4>
      </vt:variant>
      <vt:variant>
        <vt:i4>5</vt:i4>
      </vt:variant>
      <vt:variant>
        <vt:lpwstr>http://www.eviq.org.au/</vt:lpwstr>
      </vt:variant>
      <vt:variant>
        <vt:lpwstr/>
      </vt:variant>
      <vt:variant>
        <vt:i4>7667816</vt:i4>
      </vt:variant>
      <vt:variant>
        <vt:i4>174</vt:i4>
      </vt:variant>
      <vt:variant>
        <vt:i4>0</vt:i4>
      </vt:variant>
      <vt:variant>
        <vt:i4>5</vt:i4>
      </vt:variant>
      <vt:variant>
        <vt:lpwstr>https://nzf.org.nz/regimens</vt:lpwstr>
      </vt:variant>
      <vt:variant>
        <vt:lpwstr/>
      </vt:variant>
      <vt:variant>
        <vt:i4>6094924</vt:i4>
      </vt:variant>
      <vt:variant>
        <vt:i4>171</vt:i4>
      </vt:variant>
      <vt:variant>
        <vt:i4>0</vt:i4>
      </vt:variant>
      <vt:variant>
        <vt:i4>5</vt:i4>
      </vt:variant>
      <vt:variant>
        <vt:lpwstr>https://connect.pharmac.govt.nz/apptracker/s/</vt:lpwstr>
      </vt:variant>
      <vt:variant>
        <vt:lpwstr/>
      </vt:variant>
      <vt:variant>
        <vt:i4>6750309</vt:i4>
      </vt:variant>
      <vt:variant>
        <vt:i4>168</vt:i4>
      </vt:variant>
      <vt:variant>
        <vt:i4>0</vt:i4>
      </vt:variant>
      <vt:variant>
        <vt:i4>5</vt:i4>
      </vt:variant>
      <vt:variant>
        <vt:lpwstr>http://www.esmo.org/guidelines/esmo-mcbs/esmo-mcbs-for-haematological-malignancies/esmo-mcbs-h-evaluation-forms</vt:lpwstr>
      </vt:variant>
      <vt:variant>
        <vt:lpwstr/>
      </vt:variant>
      <vt:variant>
        <vt:i4>3604580</vt:i4>
      </vt:variant>
      <vt:variant>
        <vt:i4>165</vt:i4>
      </vt:variant>
      <vt:variant>
        <vt:i4>0</vt:i4>
      </vt:variant>
      <vt:variant>
        <vt:i4>5</vt:i4>
      </vt:variant>
      <vt:variant>
        <vt:lpwstr>http://www.medsafe.govt.nz/Medicines/infoSearch.asp</vt:lpwstr>
      </vt:variant>
      <vt:variant>
        <vt:lpwstr/>
      </vt:variant>
      <vt:variant>
        <vt:i4>2097214</vt:i4>
      </vt:variant>
      <vt:variant>
        <vt:i4>162</vt:i4>
      </vt:variant>
      <vt:variant>
        <vt:i4>0</vt:i4>
      </vt:variant>
      <vt:variant>
        <vt:i4>5</vt:i4>
      </vt:variant>
      <vt:variant>
        <vt:lpwstr>http://www.eviq.org.au/</vt:lpwstr>
      </vt:variant>
      <vt:variant>
        <vt:lpwstr/>
      </vt:variant>
      <vt:variant>
        <vt:i4>7798881</vt:i4>
      </vt:variant>
      <vt:variant>
        <vt:i4>159</vt:i4>
      </vt:variant>
      <vt:variant>
        <vt:i4>0</vt:i4>
      </vt:variant>
      <vt:variant>
        <vt:i4>5</vt:i4>
      </vt:variant>
      <vt:variant>
        <vt:lpwstr>http://www.ebs.tga.gov.au/</vt:lpwstr>
      </vt:variant>
      <vt:variant>
        <vt:lpwstr/>
      </vt:variant>
      <vt:variant>
        <vt:i4>1179738</vt:i4>
      </vt:variant>
      <vt:variant>
        <vt:i4>156</vt:i4>
      </vt:variant>
      <vt:variant>
        <vt:i4>0</vt:i4>
      </vt:variant>
      <vt:variant>
        <vt:i4>5</vt:i4>
      </vt:variant>
      <vt:variant>
        <vt:lpwstr>https://www.pbs.gov.au/browse/body-system</vt:lpwstr>
      </vt:variant>
      <vt:variant>
        <vt:lpwstr/>
      </vt:variant>
      <vt:variant>
        <vt:i4>3866676</vt:i4>
      </vt:variant>
      <vt:variant>
        <vt:i4>153</vt:i4>
      </vt:variant>
      <vt:variant>
        <vt:i4>0</vt:i4>
      </vt:variant>
      <vt:variant>
        <vt:i4>5</vt:i4>
      </vt:variant>
      <vt:variant>
        <vt:lpwstr>https://schedule.pharmac.govt.nz/HMLOnline.php</vt:lpwstr>
      </vt:variant>
      <vt:variant>
        <vt:lpwstr/>
      </vt:variant>
      <vt:variant>
        <vt:i4>6619254</vt:i4>
      </vt:variant>
      <vt:variant>
        <vt:i4>150</vt:i4>
      </vt:variant>
      <vt:variant>
        <vt:i4>0</vt:i4>
      </vt:variant>
      <vt:variant>
        <vt:i4>5</vt:i4>
      </vt:variant>
      <vt:variant>
        <vt:lpwstr>https://schedule.pharmac.govt.nz/ScheduleOnline.php</vt:lpwstr>
      </vt:variant>
      <vt:variant>
        <vt:lpwstr/>
      </vt:variant>
      <vt:variant>
        <vt:i4>6094924</vt:i4>
      </vt:variant>
      <vt:variant>
        <vt:i4>147</vt:i4>
      </vt:variant>
      <vt:variant>
        <vt:i4>0</vt:i4>
      </vt:variant>
      <vt:variant>
        <vt:i4>5</vt:i4>
      </vt:variant>
      <vt:variant>
        <vt:lpwstr>https://connect.pharmac.govt.nz/apptracker/s/</vt:lpwstr>
      </vt:variant>
      <vt:variant>
        <vt:lpwstr/>
      </vt:variant>
      <vt:variant>
        <vt:i4>6094924</vt:i4>
      </vt:variant>
      <vt:variant>
        <vt:i4>144</vt:i4>
      </vt:variant>
      <vt:variant>
        <vt:i4>0</vt:i4>
      </vt:variant>
      <vt:variant>
        <vt:i4>5</vt:i4>
      </vt:variant>
      <vt:variant>
        <vt:lpwstr>https://connect.pharmac.govt.nz/apptracker/s/</vt:lpwstr>
      </vt:variant>
      <vt:variant>
        <vt:lpwstr/>
      </vt:variant>
      <vt:variant>
        <vt:i4>1703986</vt:i4>
      </vt:variant>
      <vt:variant>
        <vt:i4>122</vt:i4>
      </vt:variant>
      <vt:variant>
        <vt:i4>0</vt:i4>
      </vt:variant>
      <vt:variant>
        <vt:i4>5</vt:i4>
      </vt:variant>
      <vt:variant>
        <vt:lpwstr/>
      </vt:variant>
      <vt:variant>
        <vt:lpwstr>_Toc178685399</vt:lpwstr>
      </vt:variant>
      <vt:variant>
        <vt:i4>1703986</vt:i4>
      </vt:variant>
      <vt:variant>
        <vt:i4>116</vt:i4>
      </vt:variant>
      <vt:variant>
        <vt:i4>0</vt:i4>
      </vt:variant>
      <vt:variant>
        <vt:i4>5</vt:i4>
      </vt:variant>
      <vt:variant>
        <vt:lpwstr/>
      </vt:variant>
      <vt:variant>
        <vt:lpwstr>_Toc178685398</vt:lpwstr>
      </vt:variant>
      <vt:variant>
        <vt:i4>1703986</vt:i4>
      </vt:variant>
      <vt:variant>
        <vt:i4>107</vt:i4>
      </vt:variant>
      <vt:variant>
        <vt:i4>0</vt:i4>
      </vt:variant>
      <vt:variant>
        <vt:i4>5</vt:i4>
      </vt:variant>
      <vt:variant>
        <vt:lpwstr/>
      </vt:variant>
      <vt:variant>
        <vt:lpwstr>_Toc178685397</vt:lpwstr>
      </vt:variant>
      <vt:variant>
        <vt:i4>1703986</vt:i4>
      </vt:variant>
      <vt:variant>
        <vt:i4>101</vt:i4>
      </vt:variant>
      <vt:variant>
        <vt:i4>0</vt:i4>
      </vt:variant>
      <vt:variant>
        <vt:i4>5</vt:i4>
      </vt:variant>
      <vt:variant>
        <vt:lpwstr/>
      </vt:variant>
      <vt:variant>
        <vt:lpwstr>_Toc178685396</vt:lpwstr>
      </vt:variant>
      <vt:variant>
        <vt:i4>1703986</vt:i4>
      </vt:variant>
      <vt:variant>
        <vt:i4>95</vt:i4>
      </vt:variant>
      <vt:variant>
        <vt:i4>0</vt:i4>
      </vt:variant>
      <vt:variant>
        <vt:i4>5</vt:i4>
      </vt:variant>
      <vt:variant>
        <vt:lpwstr/>
      </vt:variant>
      <vt:variant>
        <vt:lpwstr>_Toc178685395</vt:lpwstr>
      </vt:variant>
      <vt:variant>
        <vt:i4>1703986</vt:i4>
      </vt:variant>
      <vt:variant>
        <vt:i4>89</vt:i4>
      </vt:variant>
      <vt:variant>
        <vt:i4>0</vt:i4>
      </vt:variant>
      <vt:variant>
        <vt:i4>5</vt:i4>
      </vt:variant>
      <vt:variant>
        <vt:lpwstr/>
      </vt:variant>
      <vt:variant>
        <vt:lpwstr>_Toc178685394</vt:lpwstr>
      </vt:variant>
      <vt:variant>
        <vt:i4>1703986</vt:i4>
      </vt:variant>
      <vt:variant>
        <vt:i4>83</vt:i4>
      </vt:variant>
      <vt:variant>
        <vt:i4>0</vt:i4>
      </vt:variant>
      <vt:variant>
        <vt:i4>5</vt:i4>
      </vt:variant>
      <vt:variant>
        <vt:lpwstr/>
      </vt:variant>
      <vt:variant>
        <vt:lpwstr>_Toc178685393</vt:lpwstr>
      </vt:variant>
      <vt:variant>
        <vt:i4>1703986</vt:i4>
      </vt:variant>
      <vt:variant>
        <vt:i4>77</vt:i4>
      </vt:variant>
      <vt:variant>
        <vt:i4>0</vt:i4>
      </vt:variant>
      <vt:variant>
        <vt:i4>5</vt:i4>
      </vt:variant>
      <vt:variant>
        <vt:lpwstr/>
      </vt:variant>
      <vt:variant>
        <vt:lpwstr>_Toc178685392</vt:lpwstr>
      </vt:variant>
      <vt:variant>
        <vt:i4>1703986</vt:i4>
      </vt:variant>
      <vt:variant>
        <vt:i4>71</vt:i4>
      </vt:variant>
      <vt:variant>
        <vt:i4>0</vt:i4>
      </vt:variant>
      <vt:variant>
        <vt:i4>5</vt:i4>
      </vt:variant>
      <vt:variant>
        <vt:lpwstr/>
      </vt:variant>
      <vt:variant>
        <vt:lpwstr>_Toc178685391</vt:lpwstr>
      </vt:variant>
      <vt:variant>
        <vt:i4>1703986</vt:i4>
      </vt:variant>
      <vt:variant>
        <vt:i4>65</vt:i4>
      </vt:variant>
      <vt:variant>
        <vt:i4>0</vt:i4>
      </vt:variant>
      <vt:variant>
        <vt:i4>5</vt:i4>
      </vt:variant>
      <vt:variant>
        <vt:lpwstr/>
      </vt:variant>
      <vt:variant>
        <vt:lpwstr>_Toc178685390</vt:lpwstr>
      </vt:variant>
      <vt:variant>
        <vt:i4>1769522</vt:i4>
      </vt:variant>
      <vt:variant>
        <vt:i4>59</vt:i4>
      </vt:variant>
      <vt:variant>
        <vt:i4>0</vt:i4>
      </vt:variant>
      <vt:variant>
        <vt:i4>5</vt:i4>
      </vt:variant>
      <vt:variant>
        <vt:lpwstr/>
      </vt:variant>
      <vt:variant>
        <vt:lpwstr>_Toc178685389</vt:lpwstr>
      </vt:variant>
      <vt:variant>
        <vt:i4>1769522</vt:i4>
      </vt:variant>
      <vt:variant>
        <vt:i4>53</vt:i4>
      </vt:variant>
      <vt:variant>
        <vt:i4>0</vt:i4>
      </vt:variant>
      <vt:variant>
        <vt:i4>5</vt:i4>
      </vt:variant>
      <vt:variant>
        <vt:lpwstr/>
      </vt:variant>
      <vt:variant>
        <vt:lpwstr>_Toc178685388</vt:lpwstr>
      </vt:variant>
      <vt:variant>
        <vt:i4>1769522</vt:i4>
      </vt:variant>
      <vt:variant>
        <vt:i4>47</vt:i4>
      </vt:variant>
      <vt:variant>
        <vt:i4>0</vt:i4>
      </vt:variant>
      <vt:variant>
        <vt:i4>5</vt:i4>
      </vt:variant>
      <vt:variant>
        <vt:lpwstr/>
      </vt:variant>
      <vt:variant>
        <vt:lpwstr>_Toc178685387</vt:lpwstr>
      </vt:variant>
      <vt:variant>
        <vt:i4>1769522</vt:i4>
      </vt:variant>
      <vt:variant>
        <vt:i4>41</vt:i4>
      </vt:variant>
      <vt:variant>
        <vt:i4>0</vt:i4>
      </vt:variant>
      <vt:variant>
        <vt:i4>5</vt:i4>
      </vt:variant>
      <vt:variant>
        <vt:lpwstr/>
      </vt:variant>
      <vt:variant>
        <vt:lpwstr>_Toc178685386</vt:lpwstr>
      </vt:variant>
      <vt:variant>
        <vt:i4>1769522</vt:i4>
      </vt:variant>
      <vt:variant>
        <vt:i4>35</vt:i4>
      </vt:variant>
      <vt:variant>
        <vt:i4>0</vt:i4>
      </vt:variant>
      <vt:variant>
        <vt:i4>5</vt:i4>
      </vt:variant>
      <vt:variant>
        <vt:lpwstr/>
      </vt:variant>
      <vt:variant>
        <vt:lpwstr>_Toc178685385</vt:lpwstr>
      </vt:variant>
      <vt:variant>
        <vt:i4>1769522</vt:i4>
      </vt:variant>
      <vt:variant>
        <vt:i4>29</vt:i4>
      </vt:variant>
      <vt:variant>
        <vt:i4>0</vt:i4>
      </vt:variant>
      <vt:variant>
        <vt:i4>5</vt:i4>
      </vt:variant>
      <vt:variant>
        <vt:lpwstr/>
      </vt:variant>
      <vt:variant>
        <vt:lpwstr>_Toc178685384</vt:lpwstr>
      </vt:variant>
      <vt:variant>
        <vt:i4>1769522</vt:i4>
      </vt:variant>
      <vt:variant>
        <vt:i4>23</vt:i4>
      </vt:variant>
      <vt:variant>
        <vt:i4>0</vt:i4>
      </vt:variant>
      <vt:variant>
        <vt:i4>5</vt:i4>
      </vt:variant>
      <vt:variant>
        <vt:lpwstr/>
      </vt:variant>
      <vt:variant>
        <vt:lpwstr>_Toc178685383</vt:lpwstr>
      </vt:variant>
      <vt:variant>
        <vt:i4>1769522</vt:i4>
      </vt:variant>
      <vt:variant>
        <vt:i4>17</vt:i4>
      </vt:variant>
      <vt:variant>
        <vt:i4>0</vt:i4>
      </vt:variant>
      <vt:variant>
        <vt:i4>5</vt:i4>
      </vt:variant>
      <vt:variant>
        <vt:lpwstr/>
      </vt:variant>
      <vt:variant>
        <vt:lpwstr>_Toc178685382</vt:lpwstr>
      </vt:variant>
      <vt:variant>
        <vt:i4>1769522</vt:i4>
      </vt:variant>
      <vt:variant>
        <vt:i4>11</vt:i4>
      </vt:variant>
      <vt:variant>
        <vt:i4>0</vt:i4>
      </vt:variant>
      <vt:variant>
        <vt:i4>5</vt:i4>
      </vt:variant>
      <vt:variant>
        <vt:lpwstr/>
      </vt:variant>
      <vt:variant>
        <vt:lpwstr>_Toc178685381</vt:lpwstr>
      </vt:variant>
      <vt:variant>
        <vt:i4>1769522</vt:i4>
      </vt:variant>
      <vt:variant>
        <vt:i4>5</vt:i4>
      </vt:variant>
      <vt:variant>
        <vt:i4>0</vt:i4>
      </vt:variant>
      <vt:variant>
        <vt:i4>5</vt:i4>
      </vt:variant>
      <vt:variant>
        <vt:lpwstr/>
      </vt:variant>
      <vt:variant>
        <vt:lpwstr>_Toc178685380</vt:lpwstr>
      </vt:variant>
      <vt:variant>
        <vt:i4>1310726</vt:i4>
      </vt:variant>
      <vt:variant>
        <vt:i4>0</vt:i4>
      </vt:variant>
      <vt:variant>
        <vt:i4>0</vt:i4>
      </vt:variant>
      <vt:variant>
        <vt:i4>5</vt:i4>
      </vt:variant>
      <vt:variant>
        <vt:lpwstr>http://www.teaho.govt.nz/</vt:lpwstr>
      </vt:variant>
      <vt:variant>
        <vt:lpwstr/>
      </vt:variant>
      <vt:variant>
        <vt:i4>327711</vt:i4>
      </vt:variant>
      <vt:variant>
        <vt:i4>3</vt:i4>
      </vt:variant>
      <vt:variant>
        <vt:i4>0</vt:i4>
      </vt:variant>
      <vt:variant>
        <vt:i4>5</vt:i4>
      </vt:variant>
      <vt:variant>
        <vt:lpwstr>http://www.esmo.org/guidelines/esmo-mcbs</vt:lpwstr>
      </vt:variant>
      <vt:variant>
        <vt:lpwstr/>
      </vt:variant>
      <vt:variant>
        <vt:i4>4128825</vt:i4>
      </vt:variant>
      <vt:variant>
        <vt:i4>0</vt:i4>
      </vt:variant>
      <vt:variant>
        <vt:i4>0</vt:i4>
      </vt:variant>
      <vt:variant>
        <vt:i4>5</vt:i4>
      </vt:variant>
      <vt:variant>
        <vt:lpwstr>https://teaho.govt.nz/publications/cancer-medicines</vt:lpwstr>
      </vt:variant>
      <vt:variant>
        <vt:lpwstr/>
      </vt:variant>
      <vt:variant>
        <vt:i4>2228340</vt:i4>
      </vt:variant>
      <vt:variant>
        <vt:i4>0</vt:i4>
      </vt:variant>
      <vt:variant>
        <vt:i4>0</vt:i4>
      </vt:variant>
      <vt:variant>
        <vt:i4>5</vt:i4>
      </vt:variant>
      <vt:variant>
        <vt:lpwstr>http://www.health.govt.nz/</vt:lpwstr>
      </vt:variant>
      <vt:variant>
        <vt:lpwstr/>
      </vt:variant>
      <vt:variant>
        <vt:i4>2097250</vt:i4>
      </vt:variant>
      <vt:variant>
        <vt:i4>3</vt:i4>
      </vt:variant>
      <vt:variant>
        <vt:i4>0</vt:i4>
      </vt:variant>
      <vt:variant>
        <vt:i4>5</vt:i4>
      </vt:variant>
      <vt:variant>
        <vt:lpwstr>https://connect.pharmac.govt.nz/apptracker/s/application-public/a102P00000AaVRQ/p001599</vt:lpwstr>
      </vt:variant>
      <vt:variant>
        <vt:lpwstr/>
      </vt:variant>
      <vt:variant>
        <vt:i4>2097189</vt:i4>
      </vt:variant>
      <vt:variant>
        <vt:i4>0</vt:i4>
      </vt:variant>
      <vt:variant>
        <vt:i4>0</vt:i4>
      </vt:variant>
      <vt:variant>
        <vt:i4>5</vt:i4>
      </vt:variant>
      <vt:variant>
        <vt:lpwstr>https://connect.pharmac.govt.nz/apptracker/s/application-public/a102P00000AaVR6/p001598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Grain</dc:creator>
  <cp:keywords/>
  <cp:lastModifiedBy>Debbie Caterer</cp:lastModifiedBy>
  <cp:revision>3</cp:revision>
  <cp:lastPrinted>2024-10-17T21:35:00Z</cp:lastPrinted>
  <dcterms:created xsi:type="dcterms:W3CDTF">2024-10-22T03:21:00Z</dcterms:created>
  <dcterms:modified xsi:type="dcterms:W3CDTF">2024-10-22T03:23:00Z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0x0101001666BBFF82759F488643FBA3C49367F4</vt:lpwstr>
  </property>
  <property fmtid="{D5CDD505-2E9C-101B-9397-08002B2CF9AE}" pid="3" name="MediaServiceImageTags">
    <vt:lpwstr/>
  </property>
</Properties>
</file>