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59369" w14:textId="77777777" w:rsidR="00C86248" w:rsidRPr="00B47C82" w:rsidRDefault="00A23E54" w:rsidP="007979D9">
      <w:pPr>
        <w:pStyle w:val="Title"/>
        <w:spacing w:line="240" w:lineRule="auto"/>
        <w:ind w:right="2835"/>
      </w:pPr>
      <w:r>
        <w:t>Prostate Cancer Quality Performance Indicators</w:t>
      </w:r>
    </w:p>
    <w:p w14:paraId="7704DF89" w14:textId="77777777" w:rsidR="00D27922" w:rsidRPr="00B47C82" w:rsidRDefault="00A23E54" w:rsidP="00D27922">
      <w:pPr>
        <w:pStyle w:val="Subhead"/>
      </w:pPr>
      <w:r>
        <w:t>Descriptions</w:t>
      </w:r>
    </w:p>
    <w:p w14:paraId="1100740C" w14:textId="77777777" w:rsidR="00D27922" w:rsidRPr="00B47C82" w:rsidRDefault="00A23E54" w:rsidP="005718A6">
      <w:pPr>
        <w:pStyle w:val="Year"/>
      </w:pPr>
      <w:r>
        <w:t>2021</w:t>
      </w:r>
    </w:p>
    <w:p w14:paraId="5970ABC7" w14:textId="77777777" w:rsidR="00C05132" w:rsidRPr="00B47C82" w:rsidRDefault="00C05132" w:rsidP="00A06BE4"/>
    <w:p w14:paraId="527ACCB4" w14:textId="77777777" w:rsidR="00142954" w:rsidRPr="00B47C82" w:rsidRDefault="00142954" w:rsidP="00142954">
      <w:pPr>
        <w:sectPr w:rsidR="00142954" w:rsidRPr="00B47C82" w:rsidSect="00925892">
          <w:headerReference w:type="default" r:id="rId11"/>
          <w:footerReference w:type="default" r:id="rId12"/>
          <w:pgSz w:w="11907" w:h="16834" w:code="9"/>
          <w:pgMar w:top="5670" w:right="1134" w:bottom="1134" w:left="1134" w:header="567" w:footer="851" w:gutter="0"/>
          <w:pgNumType w:start="1"/>
          <w:cols w:space="720"/>
        </w:sectPr>
      </w:pPr>
    </w:p>
    <w:p w14:paraId="4C0C064F" w14:textId="77777777" w:rsidR="00D27922" w:rsidRDefault="00D27922" w:rsidP="00D27922">
      <w:pPr>
        <w:pStyle w:val="Heading3"/>
        <w:rPr>
          <w:sz w:val="32"/>
          <w:szCs w:val="32"/>
        </w:rPr>
      </w:pPr>
      <w:r w:rsidRPr="00A23E54">
        <w:rPr>
          <w:sz w:val="32"/>
          <w:szCs w:val="32"/>
        </w:rPr>
        <w:lastRenderedPageBreak/>
        <w:t>Acknowledgements</w:t>
      </w:r>
    </w:p>
    <w:p w14:paraId="045AD447" w14:textId="77777777" w:rsidR="000B70EC" w:rsidRDefault="000B70EC" w:rsidP="000B70EC">
      <w:r>
        <w:t>This is a supporting document for the Prostate Cancer Quality Improvement Monitoring Report (the monitoring report), which published quality performance indicator (QPI) data from the New Zealand Cancer Registry and the Ministry of Health’s national data collections for patients diagnosed with prostate cancer in New Zealand Aotearoa between 1 January 2016 and 31 December 2018.</w:t>
      </w:r>
    </w:p>
    <w:p w14:paraId="2B8E5786" w14:textId="77777777" w:rsidR="000B70EC" w:rsidRDefault="000B70EC" w:rsidP="000B70EC">
      <w:pPr>
        <w:spacing w:before="150"/>
      </w:pPr>
      <w:r>
        <w:t>This document is being released by Te Aho o Te Kahu, the Cancer Control Agency (Te Aho o Te Kahu).</w:t>
      </w:r>
    </w:p>
    <w:p w14:paraId="0EC07E35" w14:textId="77777777" w:rsidR="000B70EC" w:rsidRDefault="000B70EC" w:rsidP="000B70EC">
      <w:pPr>
        <w:spacing w:before="150"/>
      </w:pPr>
      <w:r>
        <w:t>Te Aho o Te Kahu worked with the national Urological Cancer Working Group to identify and report on the prostate cancer quality performance indicators (QPIs). The partners have worked collaboratively to develop the indicators, the indicator descriptions contained within this report, identify and access national data required to calculate the prostate cancer QPIs, and finally analyse the data and report on findings.</w:t>
      </w:r>
    </w:p>
    <w:p w14:paraId="09B67885" w14:textId="77777777" w:rsidR="000B70EC" w:rsidRDefault="000B70EC" w:rsidP="000B70EC">
      <w:pPr>
        <w:spacing w:before="150"/>
      </w:pPr>
      <w:r>
        <w:t>The development group acknowledges that each data point contained within the monitoring report reflects an individual or cluster of patients and that each prostate cancer will have significantly affected the patient and their whānau. The group acknowledge all of those involved.</w:t>
      </w:r>
    </w:p>
    <w:p w14:paraId="383A41CF" w14:textId="77777777" w:rsidR="00881873" w:rsidRPr="00881873" w:rsidRDefault="000B70EC" w:rsidP="000B70EC">
      <w:pPr>
        <w:spacing w:before="150"/>
      </w:pPr>
      <w:r>
        <w:t>For simplicity of language the terms man and men are used throughout this document but should be taken to include all patients with prostate cancer.</w:t>
      </w:r>
    </w:p>
    <w:p w14:paraId="2DFB8495" w14:textId="77777777" w:rsidR="00A23E54" w:rsidRPr="00A23E54" w:rsidRDefault="00A23E54" w:rsidP="00A23E54">
      <w:pPr>
        <w:pStyle w:val="Heading3"/>
        <w:rPr>
          <w:sz w:val="32"/>
          <w:szCs w:val="32"/>
        </w:rPr>
      </w:pPr>
      <w:r w:rsidRPr="00A23E54">
        <w:rPr>
          <w:sz w:val="32"/>
          <w:szCs w:val="32"/>
        </w:rPr>
        <w:t>Authors</w:t>
      </w:r>
    </w:p>
    <w:p w14:paraId="251A0E90" w14:textId="77777777" w:rsidR="00A23E54" w:rsidRPr="00A23E54" w:rsidRDefault="000B70EC" w:rsidP="00A23E54">
      <w:pPr>
        <w:rPr>
          <w:sz w:val="19"/>
          <w:szCs w:val="19"/>
        </w:rPr>
      </w:pPr>
      <w:r w:rsidRPr="005F45A2">
        <w:t>This report was prepared by Te Aho o Te Kahu and published as part of our quality improvement programme.</w:t>
      </w:r>
    </w:p>
    <w:p w14:paraId="73AD7A42" w14:textId="77777777" w:rsidR="00A80363" w:rsidRPr="00B47C82" w:rsidRDefault="00A80363" w:rsidP="00A23E54">
      <w:pPr>
        <w:pStyle w:val="Imprint"/>
        <w:spacing w:before="840"/>
        <w:rPr>
          <w:rFonts w:cs="Segoe UI"/>
        </w:rPr>
      </w:pPr>
      <w:r w:rsidRPr="00B47C82">
        <w:rPr>
          <w:rFonts w:cs="Segoe UI"/>
        </w:rPr>
        <w:t xml:space="preserve">Citation: </w:t>
      </w:r>
      <w:r w:rsidR="00CC6EA4">
        <w:rPr>
          <w:rFonts w:cs="Segoe UI"/>
        </w:rPr>
        <w:t>Te Aho o Te Kahu</w:t>
      </w:r>
      <w:r w:rsidR="00442C1C" w:rsidRPr="00B47C82">
        <w:rPr>
          <w:rFonts w:cs="Segoe UI"/>
        </w:rPr>
        <w:t xml:space="preserve">. </w:t>
      </w:r>
      <w:r w:rsidR="00A23E54">
        <w:rPr>
          <w:rFonts w:cs="Segoe UI"/>
        </w:rPr>
        <w:t>2021</w:t>
      </w:r>
      <w:r w:rsidR="00442C1C" w:rsidRPr="00B47C82">
        <w:rPr>
          <w:rFonts w:cs="Segoe UI"/>
        </w:rPr>
        <w:t xml:space="preserve">. </w:t>
      </w:r>
      <w:r w:rsidR="00A23E54">
        <w:rPr>
          <w:rFonts w:cs="Segoe UI"/>
          <w:i/>
        </w:rPr>
        <w:t>Prostate Cancer Quality Performance Indicators: Descriptions</w:t>
      </w:r>
      <w:r w:rsidR="00442C1C" w:rsidRPr="00B47C82">
        <w:rPr>
          <w:rFonts w:cs="Segoe UI"/>
        </w:rPr>
        <w:t xml:space="preserve">. Wellington: </w:t>
      </w:r>
      <w:r w:rsidR="00CC6EA4">
        <w:rPr>
          <w:rFonts w:cs="Segoe UI"/>
        </w:rPr>
        <w:t>Te Aho o Te Kahu</w:t>
      </w:r>
      <w:r w:rsidR="00442C1C" w:rsidRPr="00B47C82">
        <w:rPr>
          <w:rFonts w:cs="Segoe UI"/>
        </w:rPr>
        <w:t>.</w:t>
      </w:r>
    </w:p>
    <w:p w14:paraId="61382EE9" w14:textId="2A5429CC" w:rsidR="00C86248" w:rsidRPr="00B47C82" w:rsidRDefault="00C86248">
      <w:pPr>
        <w:pStyle w:val="Imprint"/>
      </w:pPr>
      <w:r w:rsidRPr="00B47C82">
        <w:t xml:space="preserve">Published in </w:t>
      </w:r>
      <w:r w:rsidR="009027F0">
        <w:t>September</w:t>
      </w:r>
      <w:r w:rsidR="00D27922" w:rsidRPr="00B47C82">
        <w:t xml:space="preserve"> </w:t>
      </w:r>
      <w:r w:rsidR="003235C6" w:rsidRPr="00B47C82">
        <w:t>20</w:t>
      </w:r>
      <w:r w:rsidR="00FB0A5B" w:rsidRPr="00B47C82">
        <w:t>2</w:t>
      </w:r>
      <w:r w:rsidR="008D10F0">
        <w:t>1</w:t>
      </w:r>
      <w:r w:rsidR="00A63DFF" w:rsidRPr="00B47C82">
        <w:t xml:space="preserve"> </w:t>
      </w:r>
      <w:r w:rsidRPr="00B47C82">
        <w:t xml:space="preserve">by </w:t>
      </w:r>
      <w:r w:rsidR="00CC6EA4">
        <w:t>Te Aho o Te Kahu</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436C8114" w14:textId="1012B319" w:rsidR="00082CD6" w:rsidRPr="00B47C82" w:rsidRDefault="00D863D0" w:rsidP="00082CD6">
      <w:pPr>
        <w:pStyle w:val="Imprint"/>
      </w:pPr>
      <w:r w:rsidRPr="00B47C82">
        <w:t>ISBN</w:t>
      </w:r>
      <w:r w:rsidR="00442C1C" w:rsidRPr="00B47C82">
        <w:t xml:space="preserve"> </w:t>
      </w:r>
      <w:r w:rsidR="00F90B20" w:rsidRPr="00F90B20">
        <w:t>978-1-99-100751-3</w:t>
      </w:r>
      <w:r w:rsidR="002B7BEC" w:rsidRPr="00B47C82">
        <w:t xml:space="preserve"> </w:t>
      </w:r>
      <w:r w:rsidRPr="00B47C82">
        <w:t>(</w:t>
      </w:r>
      <w:r w:rsidR="00442C1C" w:rsidRPr="00B47C82">
        <w:t>online</w:t>
      </w:r>
      <w:r w:rsidRPr="00B47C82">
        <w:t>)</w:t>
      </w:r>
      <w:r w:rsidR="00082CD6" w:rsidRPr="00B47C82">
        <w:br/>
        <w:t xml:space="preserve">HP </w:t>
      </w:r>
      <w:r w:rsidR="00854045">
        <w:t>7833</w:t>
      </w:r>
    </w:p>
    <w:p w14:paraId="34A0AD57" w14:textId="77777777" w:rsidR="005718A6" w:rsidRPr="00B47C82" w:rsidRDefault="005718A6" w:rsidP="00D27922">
      <w:pPr>
        <w:spacing w:before="360"/>
      </w:pPr>
      <w:r w:rsidRPr="00B47C82">
        <w:rPr>
          <w:noProof/>
          <w:lang w:eastAsia="en-NZ"/>
        </w:rPr>
        <w:drawing>
          <wp:inline distT="0" distB="0" distL="0" distR="0" wp14:anchorId="58B7BA73" wp14:editId="1092AB90">
            <wp:extent cx="1396538" cy="650613"/>
            <wp:effectExtent l="0" t="0" r="0" b="0"/>
            <wp:docPr id="7" name="Picture 7"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 Aho o Te Kahu logo"/>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1326AA9D" w14:textId="77777777" w:rsidR="00A63DFF" w:rsidRPr="00B47C82" w:rsidRDefault="00A63DFF" w:rsidP="00A63DFF">
      <w:pPr>
        <w:pStyle w:val="Imprint"/>
        <w:spacing w:before="240" w:after="480"/>
      </w:pPr>
      <w:r w:rsidRPr="00B47C82">
        <w:t xml:space="preserve">This document is available at </w:t>
      </w:r>
      <w:hyperlink r:id="rId14" w:history="1">
        <w:r w:rsidR="00B155FD" w:rsidRPr="00F76CB4">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122B6992" w14:textId="77777777" w:rsidTr="00A63DFF">
        <w:trPr>
          <w:cantSplit/>
        </w:trPr>
        <w:tc>
          <w:tcPr>
            <w:tcW w:w="1526" w:type="dxa"/>
          </w:tcPr>
          <w:p w14:paraId="4D6C11DD"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7E8C8C86" wp14:editId="70F7F201">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45F63A67"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 xml:space="preserve">You must give appropriate credit, provide a link to the </w:t>
            </w:r>
            <w:proofErr w:type="gramStart"/>
            <w:r w:rsidRPr="00B47C82">
              <w:rPr>
                <w:rFonts w:cs="Segoe UI"/>
                <w:bCs/>
                <w:sz w:val="15"/>
                <w:szCs w:val="15"/>
              </w:rPr>
              <w:t>licence</w:t>
            </w:r>
            <w:proofErr w:type="gramEnd"/>
            <w:r w:rsidRPr="00B47C82">
              <w:rPr>
                <w:rFonts w:cs="Segoe UI"/>
                <w:bCs/>
                <w:sz w:val="15"/>
                <w:szCs w:val="15"/>
              </w:rPr>
              <w:t xml:space="preserve"> and indicate if changes were made.</w:t>
            </w:r>
          </w:p>
        </w:tc>
      </w:tr>
    </w:tbl>
    <w:p w14:paraId="267DCBF3" w14:textId="77777777" w:rsidR="007E74F1" w:rsidRPr="00B47C82" w:rsidRDefault="007E74F1" w:rsidP="006E2886">
      <w:pPr>
        <w:pStyle w:val="Imprint"/>
      </w:pPr>
    </w:p>
    <w:p w14:paraId="4305EED0" w14:textId="77777777" w:rsidR="00C86248" w:rsidRPr="00B47C82" w:rsidRDefault="00C86248">
      <w:pPr>
        <w:jc w:val="center"/>
        <w:sectPr w:rsidR="00C86248" w:rsidRPr="00B47C82" w:rsidSect="000B70EC">
          <w:footerReference w:type="even" r:id="rId16"/>
          <w:footerReference w:type="default" r:id="rId17"/>
          <w:pgSz w:w="11907" w:h="16834" w:code="9"/>
          <w:pgMar w:top="1134" w:right="2268" w:bottom="1134" w:left="2268" w:header="425" w:footer="284" w:gutter="0"/>
          <w:cols w:space="720"/>
          <w:vAlign w:val="bottom"/>
        </w:sectPr>
      </w:pPr>
    </w:p>
    <w:p w14:paraId="55A76A9E"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2A85CF17" w14:textId="734535E8" w:rsidR="007074A2" w:rsidRDefault="007074A2">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82433274" w:history="1">
        <w:r w:rsidRPr="00CF318B">
          <w:rPr>
            <w:rStyle w:val="Hyperlink"/>
            <w:noProof/>
          </w:rPr>
          <w:t>Introduction</w:t>
        </w:r>
        <w:r>
          <w:rPr>
            <w:noProof/>
            <w:webHidden/>
          </w:rPr>
          <w:tab/>
        </w:r>
        <w:r>
          <w:rPr>
            <w:noProof/>
            <w:webHidden/>
          </w:rPr>
          <w:fldChar w:fldCharType="begin"/>
        </w:r>
        <w:r>
          <w:rPr>
            <w:noProof/>
            <w:webHidden/>
          </w:rPr>
          <w:instrText xml:space="preserve"> PAGEREF _Toc82433274 \h </w:instrText>
        </w:r>
        <w:r>
          <w:rPr>
            <w:noProof/>
            <w:webHidden/>
          </w:rPr>
        </w:r>
        <w:r>
          <w:rPr>
            <w:noProof/>
            <w:webHidden/>
          </w:rPr>
          <w:fldChar w:fldCharType="separate"/>
        </w:r>
        <w:r w:rsidR="007F15D2">
          <w:rPr>
            <w:noProof/>
            <w:webHidden/>
          </w:rPr>
          <w:t>1</w:t>
        </w:r>
        <w:r>
          <w:rPr>
            <w:noProof/>
            <w:webHidden/>
          </w:rPr>
          <w:fldChar w:fldCharType="end"/>
        </w:r>
      </w:hyperlink>
    </w:p>
    <w:p w14:paraId="6A667228" w14:textId="5333FBCC" w:rsidR="007074A2" w:rsidRDefault="00955EE3">
      <w:pPr>
        <w:pStyle w:val="TOC2"/>
        <w:rPr>
          <w:rFonts w:asciiTheme="minorHAnsi" w:eastAsiaTheme="minorEastAsia" w:hAnsiTheme="minorHAnsi" w:cstheme="minorBidi"/>
          <w:noProof/>
          <w:sz w:val="22"/>
          <w:szCs w:val="22"/>
          <w:lang w:eastAsia="en-NZ"/>
        </w:rPr>
      </w:pPr>
      <w:hyperlink w:anchor="_Toc82433275" w:history="1">
        <w:r w:rsidR="007074A2" w:rsidRPr="00CF318B">
          <w:rPr>
            <w:rStyle w:val="Hyperlink"/>
            <w:noProof/>
          </w:rPr>
          <w:t>Background</w:t>
        </w:r>
        <w:r w:rsidR="007074A2">
          <w:rPr>
            <w:noProof/>
            <w:webHidden/>
          </w:rPr>
          <w:tab/>
        </w:r>
        <w:r w:rsidR="007074A2">
          <w:rPr>
            <w:noProof/>
            <w:webHidden/>
          </w:rPr>
          <w:fldChar w:fldCharType="begin"/>
        </w:r>
        <w:r w:rsidR="007074A2">
          <w:rPr>
            <w:noProof/>
            <w:webHidden/>
          </w:rPr>
          <w:instrText xml:space="preserve"> PAGEREF _Toc82433275 \h </w:instrText>
        </w:r>
        <w:r w:rsidR="007074A2">
          <w:rPr>
            <w:noProof/>
            <w:webHidden/>
          </w:rPr>
        </w:r>
        <w:r w:rsidR="007074A2">
          <w:rPr>
            <w:noProof/>
            <w:webHidden/>
          </w:rPr>
          <w:fldChar w:fldCharType="separate"/>
        </w:r>
        <w:r w:rsidR="007F15D2">
          <w:rPr>
            <w:noProof/>
            <w:webHidden/>
          </w:rPr>
          <w:t>1</w:t>
        </w:r>
        <w:r w:rsidR="007074A2">
          <w:rPr>
            <w:noProof/>
            <w:webHidden/>
          </w:rPr>
          <w:fldChar w:fldCharType="end"/>
        </w:r>
      </w:hyperlink>
    </w:p>
    <w:p w14:paraId="77364956" w14:textId="65C89489" w:rsidR="007074A2" w:rsidRDefault="00955EE3">
      <w:pPr>
        <w:pStyle w:val="TOC2"/>
        <w:rPr>
          <w:rFonts w:asciiTheme="minorHAnsi" w:eastAsiaTheme="minorEastAsia" w:hAnsiTheme="minorHAnsi" w:cstheme="minorBidi"/>
          <w:noProof/>
          <w:sz w:val="22"/>
          <w:szCs w:val="22"/>
          <w:lang w:eastAsia="en-NZ"/>
        </w:rPr>
      </w:pPr>
      <w:hyperlink w:anchor="_Toc82433276" w:history="1">
        <w:r w:rsidR="007074A2" w:rsidRPr="00CF318B">
          <w:rPr>
            <w:rStyle w:val="Hyperlink"/>
            <w:noProof/>
          </w:rPr>
          <w:t>National data to calculate indicators</w:t>
        </w:r>
        <w:r w:rsidR="007074A2">
          <w:rPr>
            <w:noProof/>
            <w:webHidden/>
          </w:rPr>
          <w:tab/>
        </w:r>
        <w:r w:rsidR="007074A2">
          <w:rPr>
            <w:noProof/>
            <w:webHidden/>
          </w:rPr>
          <w:fldChar w:fldCharType="begin"/>
        </w:r>
        <w:r w:rsidR="007074A2">
          <w:rPr>
            <w:noProof/>
            <w:webHidden/>
          </w:rPr>
          <w:instrText xml:space="preserve"> PAGEREF _Toc82433276 \h </w:instrText>
        </w:r>
        <w:r w:rsidR="007074A2">
          <w:rPr>
            <w:noProof/>
            <w:webHidden/>
          </w:rPr>
        </w:r>
        <w:r w:rsidR="007074A2">
          <w:rPr>
            <w:noProof/>
            <w:webHidden/>
          </w:rPr>
          <w:fldChar w:fldCharType="separate"/>
        </w:r>
        <w:r w:rsidR="007F15D2">
          <w:rPr>
            <w:noProof/>
            <w:webHidden/>
          </w:rPr>
          <w:t>2</w:t>
        </w:r>
        <w:r w:rsidR="007074A2">
          <w:rPr>
            <w:noProof/>
            <w:webHidden/>
          </w:rPr>
          <w:fldChar w:fldCharType="end"/>
        </w:r>
      </w:hyperlink>
    </w:p>
    <w:p w14:paraId="78A85C27" w14:textId="570B9C1A" w:rsidR="007074A2" w:rsidRDefault="00955EE3">
      <w:pPr>
        <w:pStyle w:val="TOC2"/>
        <w:rPr>
          <w:rFonts w:asciiTheme="minorHAnsi" w:eastAsiaTheme="minorEastAsia" w:hAnsiTheme="minorHAnsi" w:cstheme="minorBidi"/>
          <w:noProof/>
          <w:sz w:val="22"/>
          <w:szCs w:val="22"/>
          <w:lang w:eastAsia="en-NZ"/>
        </w:rPr>
      </w:pPr>
      <w:hyperlink w:anchor="_Toc82433277" w:history="1">
        <w:r w:rsidR="007074A2" w:rsidRPr="00CF318B">
          <w:rPr>
            <w:rStyle w:val="Hyperlink"/>
            <w:noProof/>
            <w:lang w:val="en-AU"/>
          </w:rPr>
          <w:t>Prostate Cancer Outcomes Registry – Australia and New Zealand</w:t>
        </w:r>
        <w:r w:rsidR="007074A2">
          <w:rPr>
            <w:noProof/>
            <w:webHidden/>
          </w:rPr>
          <w:tab/>
        </w:r>
        <w:r w:rsidR="007074A2">
          <w:rPr>
            <w:noProof/>
            <w:webHidden/>
          </w:rPr>
          <w:fldChar w:fldCharType="begin"/>
        </w:r>
        <w:r w:rsidR="007074A2">
          <w:rPr>
            <w:noProof/>
            <w:webHidden/>
          </w:rPr>
          <w:instrText xml:space="preserve"> PAGEREF _Toc82433277 \h </w:instrText>
        </w:r>
        <w:r w:rsidR="007074A2">
          <w:rPr>
            <w:noProof/>
            <w:webHidden/>
          </w:rPr>
        </w:r>
        <w:r w:rsidR="007074A2">
          <w:rPr>
            <w:noProof/>
            <w:webHidden/>
          </w:rPr>
          <w:fldChar w:fldCharType="separate"/>
        </w:r>
        <w:r w:rsidR="007F15D2">
          <w:rPr>
            <w:noProof/>
            <w:webHidden/>
          </w:rPr>
          <w:t>3</w:t>
        </w:r>
        <w:r w:rsidR="007074A2">
          <w:rPr>
            <w:noProof/>
            <w:webHidden/>
          </w:rPr>
          <w:fldChar w:fldCharType="end"/>
        </w:r>
      </w:hyperlink>
    </w:p>
    <w:p w14:paraId="6DE4445E" w14:textId="3AA86301" w:rsidR="007074A2" w:rsidRDefault="00955EE3">
      <w:pPr>
        <w:pStyle w:val="TOC2"/>
        <w:rPr>
          <w:rFonts w:asciiTheme="minorHAnsi" w:eastAsiaTheme="minorEastAsia" w:hAnsiTheme="minorHAnsi" w:cstheme="minorBidi"/>
          <w:noProof/>
          <w:sz w:val="22"/>
          <w:szCs w:val="22"/>
          <w:lang w:eastAsia="en-NZ"/>
        </w:rPr>
      </w:pPr>
      <w:hyperlink w:anchor="_Toc82433278" w:history="1">
        <w:r w:rsidR="007074A2" w:rsidRPr="00CF318B">
          <w:rPr>
            <w:rStyle w:val="Hyperlink"/>
            <w:noProof/>
          </w:rPr>
          <w:t>Glossary and abbreviations</w:t>
        </w:r>
        <w:r w:rsidR="007074A2">
          <w:rPr>
            <w:noProof/>
            <w:webHidden/>
          </w:rPr>
          <w:tab/>
        </w:r>
        <w:r w:rsidR="007074A2">
          <w:rPr>
            <w:noProof/>
            <w:webHidden/>
          </w:rPr>
          <w:fldChar w:fldCharType="begin"/>
        </w:r>
        <w:r w:rsidR="007074A2">
          <w:rPr>
            <w:noProof/>
            <w:webHidden/>
          </w:rPr>
          <w:instrText xml:space="preserve"> PAGEREF _Toc82433278 \h </w:instrText>
        </w:r>
        <w:r w:rsidR="007074A2">
          <w:rPr>
            <w:noProof/>
            <w:webHidden/>
          </w:rPr>
        </w:r>
        <w:r w:rsidR="007074A2">
          <w:rPr>
            <w:noProof/>
            <w:webHidden/>
          </w:rPr>
          <w:fldChar w:fldCharType="separate"/>
        </w:r>
        <w:r w:rsidR="007F15D2">
          <w:rPr>
            <w:noProof/>
            <w:webHidden/>
          </w:rPr>
          <w:t>4</w:t>
        </w:r>
        <w:r w:rsidR="007074A2">
          <w:rPr>
            <w:noProof/>
            <w:webHidden/>
          </w:rPr>
          <w:fldChar w:fldCharType="end"/>
        </w:r>
      </w:hyperlink>
    </w:p>
    <w:p w14:paraId="691FC242" w14:textId="162EF931" w:rsidR="007074A2" w:rsidRDefault="00955EE3">
      <w:pPr>
        <w:pStyle w:val="TOC1"/>
        <w:rPr>
          <w:rFonts w:asciiTheme="minorHAnsi" w:eastAsiaTheme="minorEastAsia" w:hAnsiTheme="minorHAnsi" w:cstheme="minorBidi"/>
          <w:noProof/>
          <w:sz w:val="22"/>
          <w:szCs w:val="22"/>
          <w:lang w:eastAsia="en-NZ"/>
        </w:rPr>
      </w:pPr>
      <w:hyperlink w:anchor="_Toc82433279" w:history="1">
        <w:r w:rsidR="007074A2" w:rsidRPr="00CF318B">
          <w:rPr>
            <w:rStyle w:val="Hyperlink"/>
            <w:noProof/>
          </w:rPr>
          <w:t>Prostate cancer quality performance indicators</w:t>
        </w:r>
        <w:r w:rsidR="007074A2">
          <w:rPr>
            <w:noProof/>
            <w:webHidden/>
          </w:rPr>
          <w:tab/>
        </w:r>
        <w:r w:rsidR="007074A2">
          <w:rPr>
            <w:noProof/>
            <w:webHidden/>
          </w:rPr>
          <w:fldChar w:fldCharType="begin"/>
        </w:r>
        <w:r w:rsidR="007074A2">
          <w:rPr>
            <w:noProof/>
            <w:webHidden/>
          </w:rPr>
          <w:instrText xml:space="preserve"> PAGEREF _Toc82433279 \h </w:instrText>
        </w:r>
        <w:r w:rsidR="007074A2">
          <w:rPr>
            <w:noProof/>
            <w:webHidden/>
          </w:rPr>
        </w:r>
        <w:r w:rsidR="007074A2">
          <w:rPr>
            <w:noProof/>
            <w:webHidden/>
          </w:rPr>
          <w:fldChar w:fldCharType="separate"/>
        </w:r>
        <w:r w:rsidR="007F15D2">
          <w:rPr>
            <w:noProof/>
            <w:webHidden/>
          </w:rPr>
          <w:t>7</w:t>
        </w:r>
        <w:r w:rsidR="007074A2">
          <w:rPr>
            <w:noProof/>
            <w:webHidden/>
          </w:rPr>
          <w:fldChar w:fldCharType="end"/>
        </w:r>
      </w:hyperlink>
    </w:p>
    <w:p w14:paraId="026C3E6A" w14:textId="4A3F3AE5" w:rsidR="007074A2" w:rsidRDefault="00955EE3">
      <w:pPr>
        <w:pStyle w:val="TOC2"/>
        <w:rPr>
          <w:rFonts w:asciiTheme="minorHAnsi" w:eastAsiaTheme="minorEastAsia" w:hAnsiTheme="minorHAnsi" w:cstheme="minorBidi"/>
          <w:noProof/>
          <w:sz w:val="22"/>
          <w:szCs w:val="22"/>
          <w:lang w:eastAsia="en-NZ"/>
        </w:rPr>
      </w:pPr>
      <w:hyperlink w:anchor="_Toc82433280" w:history="1">
        <w:r w:rsidR="007074A2" w:rsidRPr="00CF318B">
          <w:rPr>
            <w:rStyle w:val="Hyperlink"/>
            <w:noProof/>
          </w:rPr>
          <w:t>PCQI 1. Route to diagnosis</w:t>
        </w:r>
        <w:r w:rsidR="007074A2">
          <w:rPr>
            <w:noProof/>
            <w:webHidden/>
          </w:rPr>
          <w:tab/>
        </w:r>
        <w:r w:rsidR="007074A2">
          <w:rPr>
            <w:noProof/>
            <w:webHidden/>
          </w:rPr>
          <w:fldChar w:fldCharType="begin"/>
        </w:r>
        <w:r w:rsidR="007074A2">
          <w:rPr>
            <w:noProof/>
            <w:webHidden/>
          </w:rPr>
          <w:instrText xml:space="preserve"> PAGEREF _Toc82433280 \h </w:instrText>
        </w:r>
        <w:r w:rsidR="007074A2">
          <w:rPr>
            <w:noProof/>
            <w:webHidden/>
          </w:rPr>
        </w:r>
        <w:r w:rsidR="007074A2">
          <w:rPr>
            <w:noProof/>
            <w:webHidden/>
          </w:rPr>
          <w:fldChar w:fldCharType="separate"/>
        </w:r>
        <w:r w:rsidR="007F15D2">
          <w:rPr>
            <w:noProof/>
            <w:webHidden/>
          </w:rPr>
          <w:t>9</w:t>
        </w:r>
        <w:r w:rsidR="007074A2">
          <w:rPr>
            <w:noProof/>
            <w:webHidden/>
          </w:rPr>
          <w:fldChar w:fldCharType="end"/>
        </w:r>
      </w:hyperlink>
    </w:p>
    <w:p w14:paraId="0DA31338" w14:textId="3DE90C79" w:rsidR="007074A2" w:rsidRDefault="00955EE3">
      <w:pPr>
        <w:pStyle w:val="TOC2"/>
        <w:rPr>
          <w:rFonts w:asciiTheme="minorHAnsi" w:eastAsiaTheme="minorEastAsia" w:hAnsiTheme="minorHAnsi" w:cstheme="minorBidi"/>
          <w:noProof/>
          <w:sz w:val="22"/>
          <w:szCs w:val="22"/>
          <w:lang w:eastAsia="en-NZ"/>
        </w:rPr>
      </w:pPr>
      <w:hyperlink w:anchor="_Toc82433281" w:history="1">
        <w:r w:rsidR="007074A2" w:rsidRPr="00CF318B">
          <w:rPr>
            <w:rStyle w:val="Hyperlink"/>
            <w:noProof/>
          </w:rPr>
          <w:t>PCQI 2. Risk group assigned at diagnosis</w:t>
        </w:r>
        <w:r w:rsidR="007074A2">
          <w:rPr>
            <w:noProof/>
            <w:webHidden/>
          </w:rPr>
          <w:tab/>
        </w:r>
        <w:r w:rsidR="007074A2">
          <w:rPr>
            <w:noProof/>
            <w:webHidden/>
          </w:rPr>
          <w:fldChar w:fldCharType="begin"/>
        </w:r>
        <w:r w:rsidR="007074A2">
          <w:rPr>
            <w:noProof/>
            <w:webHidden/>
          </w:rPr>
          <w:instrText xml:space="preserve"> PAGEREF _Toc82433281 \h </w:instrText>
        </w:r>
        <w:r w:rsidR="007074A2">
          <w:rPr>
            <w:noProof/>
            <w:webHidden/>
          </w:rPr>
        </w:r>
        <w:r w:rsidR="007074A2">
          <w:rPr>
            <w:noProof/>
            <w:webHidden/>
          </w:rPr>
          <w:fldChar w:fldCharType="separate"/>
        </w:r>
        <w:r w:rsidR="007F15D2">
          <w:rPr>
            <w:noProof/>
            <w:webHidden/>
          </w:rPr>
          <w:t>10</w:t>
        </w:r>
        <w:r w:rsidR="007074A2">
          <w:rPr>
            <w:noProof/>
            <w:webHidden/>
          </w:rPr>
          <w:fldChar w:fldCharType="end"/>
        </w:r>
      </w:hyperlink>
    </w:p>
    <w:p w14:paraId="4425135A" w14:textId="2999A068" w:rsidR="007074A2" w:rsidRDefault="00955EE3">
      <w:pPr>
        <w:pStyle w:val="TOC2"/>
        <w:rPr>
          <w:rFonts w:asciiTheme="minorHAnsi" w:eastAsiaTheme="minorEastAsia" w:hAnsiTheme="minorHAnsi" w:cstheme="minorBidi"/>
          <w:noProof/>
          <w:sz w:val="22"/>
          <w:szCs w:val="22"/>
          <w:lang w:eastAsia="en-NZ"/>
        </w:rPr>
      </w:pPr>
      <w:hyperlink w:anchor="_Toc82433282" w:history="1">
        <w:r w:rsidR="007074A2" w:rsidRPr="00CF318B">
          <w:rPr>
            <w:rStyle w:val="Hyperlink"/>
            <w:noProof/>
          </w:rPr>
          <w:t>PCQI 3. MRI prior to radical treatment</w:t>
        </w:r>
        <w:r w:rsidR="007074A2">
          <w:rPr>
            <w:noProof/>
            <w:webHidden/>
          </w:rPr>
          <w:tab/>
        </w:r>
        <w:r w:rsidR="007074A2">
          <w:rPr>
            <w:noProof/>
            <w:webHidden/>
          </w:rPr>
          <w:fldChar w:fldCharType="begin"/>
        </w:r>
        <w:r w:rsidR="007074A2">
          <w:rPr>
            <w:noProof/>
            <w:webHidden/>
          </w:rPr>
          <w:instrText xml:space="preserve"> PAGEREF _Toc82433282 \h </w:instrText>
        </w:r>
        <w:r w:rsidR="007074A2">
          <w:rPr>
            <w:noProof/>
            <w:webHidden/>
          </w:rPr>
        </w:r>
        <w:r w:rsidR="007074A2">
          <w:rPr>
            <w:noProof/>
            <w:webHidden/>
          </w:rPr>
          <w:fldChar w:fldCharType="separate"/>
        </w:r>
        <w:r w:rsidR="007F15D2">
          <w:rPr>
            <w:noProof/>
            <w:webHidden/>
          </w:rPr>
          <w:t>11</w:t>
        </w:r>
        <w:r w:rsidR="007074A2">
          <w:rPr>
            <w:noProof/>
            <w:webHidden/>
          </w:rPr>
          <w:fldChar w:fldCharType="end"/>
        </w:r>
      </w:hyperlink>
    </w:p>
    <w:p w14:paraId="5D644387" w14:textId="2138DDDE" w:rsidR="007074A2" w:rsidRDefault="00955EE3">
      <w:pPr>
        <w:pStyle w:val="TOC2"/>
        <w:rPr>
          <w:rFonts w:asciiTheme="minorHAnsi" w:eastAsiaTheme="minorEastAsia" w:hAnsiTheme="minorHAnsi" w:cstheme="minorBidi"/>
          <w:noProof/>
          <w:sz w:val="22"/>
          <w:szCs w:val="22"/>
          <w:lang w:eastAsia="en-NZ"/>
        </w:rPr>
      </w:pPr>
      <w:hyperlink w:anchor="_Toc82433283" w:history="1">
        <w:r w:rsidR="007074A2" w:rsidRPr="00CF318B">
          <w:rPr>
            <w:rStyle w:val="Hyperlink"/>
            <w:noProof/>
          </w:rPr>
          <w:t>PCQI 4. PSMA scan</w:t>
        </w:r>
        <w:r w:rsidR="007074A2">
          <w:rPr>
            <w:noProof/>
            <w:webHidden/>
          </w:rPr>
          <w:tab/>
        </w:r>
        <w:r w:rsidR="007074A2">
          <w:rPr>
            <w:noProof/>
            <w:webHidden/>
          </w:rPr>
          <w:fldChar w:fldCharType="begin"/>
        </w:r>
        <w:r w:rsidR="007074A2">
          <w:rPr>
            <w:noProof/>
            <w:webHidden/>
          </w:rPr>
          <w:instrText xml:space="preserve"> PAGEREF _Toc82433283 \h </w:instrText>
        </w:r>
        <w:r w:rsidR="007074A2">
          <w:rPr>
            <w:noProof/>
            <w:webHidden/>
          </w:rPr>
        </w:r>
        <w:r w:rsidR="007074A2">
          <w:rPr>
            <w:noProof/>
            <w:webHidden/>
          </w:rPr>
          <w:fldChar w:fldCharType="separate"/>
        </w:r>
        <w:r w:rsidR="007F15D2">
          <w:rPr>
            <w:noProof/>
            <w:webHidden/>
          </w:rPr>
          <w:t>12</w:t>
        </w:r>
        <w:r w:rsidR="007074A2">
          <w:rPr>
            <w:noProof/>
            <w:webHidden/>
          </w:rPr>
          <w:fldChar w:fldCharType="end"/>
        </w:r>
      </w:hyperlink>
    </w:p>
    <w:p w14:paraId="6A7F7818" w14:textId="44431931" w:rsidR="007074A2" w:rsidRDefault="00955EE3">
      <w:pPr>
        <w:pStyle w:val="TOC2"/>
        <w:rPr>
          <w:rFonts w:asciiTheme="minorHAnsi" w:eastAsiaTheme="minorEastAsia" w:hAnsiTheme="minorHAnsi" w:cstheme="minorBidi"/>
          <w:noProof/>
          <w:sz w:val="22"/>
          <w:szCs w:val="22"/>
          <w:lang w:eastAsia="en-NZ"/>
        </w:rPr>
      </w:pPr>
      <w:hyperlink w:anchor="_Toc82433284" w:history="1">
        <w:r w:rsidR="007074A2" w:rsidRPr="00CF318B">
          <w:rPr>
            <w:rStyle w:val="Hyperlink"/>
            <w:noProof/>
          </w:rPr>
          <w:t>PCQI 5. Discussion with radiation oncologist before radical prostatectomy</w:t>
        </w:r>
        <w:r w:rsidR="007074A2">
          <w:rPr>
            <w:noProof/>
            <w:webHidden/>
          </w:rPr>
          <w:tab/>
        </w:r>
        <w:r w:rsidR="007074A2">
          <w:rPr>
            <w:noProof/>
            <w:webHidden/>
          </w:rPr>
          <w:fldChar w:fldCharType="begin"/>
        </w:r>
        <w:r w:rsidR="007074A2">
          <w:rPr>
            <w:noProof/>
            <w:webHidden/>
          </w:rPr>
          <w:instrText xml:space="preserve"> PAGEREF _Toc82433284 \h </w:instrText>
        </w:r>
        <w:r w:rsidR="007074A2">
          <w:rPr>
            <w:noProof/>
            <w:webHidden/>
          </w:rPr>
        </w:r>
        <w:r w:rsidR="007074A2">
          <w:rPr>
            <w:noProof/>
            <w:webHidden/>
          </w:rPr>
          <w:fldChar w:fldCharType="separate"/>
        </w:r>
        <w:r w:rsidR="007F15D2">
          <w:rPr>
            <w:noProof/>
            <w:webHidden/>
          </w:rPr>
          <w:t>13</w:t>
        </w:r>
        <w:r w:rsidR="007074A2">
          <w:rPr>
            <w:noProof/>
            <w:webHidden/>
          </w:rPr>
          <w:fldChar w:fldCharType="end"/>
        </w:r>
      </w:hyperlink>
    </w:p>
    <w:p w14:paraId="372F19B2" w14:textId="36F3B522" w:rsidR="007074A2" w:rsidRDefault="00955EE3">
      <w:pPr>
        <w:pStyle w:val="TOC2"/>
        <w:rPr>
          <w:rFonts w:asciiTheme="minorHAnsi" w:eastAsiaTheme="minorEastAsia" w:hAnsiTheme="minorHAnsi" w:cstheme="minorBidi"/>
          <w:noProof/>
          <w:sz w:val="22"/>
          <w:szCs w:val="22"/>
          <w:lang w:eastAsia="en-NZ"/>
        </w:rPr>
      </w:pPr>
      <w:hyperlink w:anchor="_Toc82433285" w:history="1">
        <w:r w:rsidR="007074A2" w:rsidRPr="00CF318B">
          <w:rPr>
            <w:rStyle w:val="Hyperlink"/>
            <w:noProof/>
          </w:rPr>
          <w:t>PCQI 6. Medical oncology review of patients with advanced disease</w:t>
        </w:r>
        <w:r w:rsidR="007074A2">
          <w:rPr>
            <w:noProof/>
            <w:webHidden/>
          </w:rPr>
          <w:tab/>
        </w:r>
        <w:r w:rsidR="007074A2">
          <w:rPr>
            <w:noProof/>
            <w:webHidden/>
          </w:rPr>
          <w:fldChar w:fldCharType="begin"/>
        </w:r>
        <w:r w:rsidR="007074A2">
          <w:rPr>
            <w:noProof/>
            <w:webHidden/>
          </w:rPr>
          <w:instrText xml:space="preserve"> PAGEREF _Toc82433285 \h </w:instrText>
        </w:r>
        <w:r w:rsidR="007074A2">
          <w:rPr>
            <w:noProof/>
            <w:webHidden/>
          </w:rPr>
        </w:r>
        <w:r w:rsidR="007074A2">
          <w:rPr>
            <w:noProof/>
            <w:webHidden/>
          </w:rPr>
          <w:fldChar w:fldCharType="separate"/>
        </w:r>
        <w:r w:rsidR="007F15D2">
          <w:rPr>
            <w:noProof/>
            <w:webHidden/>
          </w:rPr>
          <w:t>14</w:t>
        </w:r>
        <w:r w:rsidR="007074A2">
          <w:rPr>
            <w:noProof/>
            <w:webHidden/>
          </w:rPr>
          <w:fldChar w:fldCharType="end"/>
        </w:r>
      </w:hyperlink>
    </w:p>
    <w:p w14:paraId="24F98780" w14:textId="3842A7AE" w:rsidR="007074A2" w:rsidRDefault="00955EE3">
      <w:pPr>
        <w:pStyle w:val="TOC2"/>
        <w:rPr>
          <w:rFonts w:asciiTheme="minorHAnsi" w:eastAsiaTheme="minorEastAsia" w:hAnsiTheme="minorHAnsi" w:cstheme="minorBidi"/>
          <w:noProof/>
          <w:sz w:val="22"/>
          <w:szCs w:val="22"/>
          <w:lang w:eastAsia="en-NZ"/>
        </w:rPr>
      </w:pPr>
      <w:hyperlink w:anchor="_Toc82433286" w:history="1">
        <w:r w:rsidR="007074A2" w:rsidRPr="00CF318B">
          <w:rPr>
            <w:rStyle w:val="Hyperlink"/>
            <w:noProof/>
          </w:rPr>
          <w:t>PCQI 7. Surgical margin status of pT2 stage disease</w:t>
        </w:r>
        <w:r w:rsidR="007074A2">
          <w:rPr>
            <w:noProof/>
            <w:webHidden/>
          </w:rPr>
          <w:tab/>
        </w:r>
        <w:r w:rsidR="007074A2">
          <w:rPr>
            <w:noProof/>
            <w:webHidden/>
          </w:rPr>
          <w:fldChar w:fldCharType="begin"/>
        </w:r>
        <w:r w:rsidR="007074A2">
          <w:rPr>
            <w:noProof/>
            <w:webHidden/>
          </w:rPr>
          <w:instrText xml:space="preserve"> PAGEREF _Toc82433286 \h </w:instrText>
        </w:r>
        <w:r w:rsidR="007074A2">
          <w:rPr>
            <w:noProof/>
            <w:webHidden/>
          </w:rPr>
        </w:r>
        <w:r w:rsidR="007074A2">
          <w:rPr>
            <w:noProof/>
            <w:webHidden/>
          </w:rPr>
          <w:fldChar w:fldCharType="separate"/>
        </w:r>
        <w:r w:rsidR="007F15D2">
          <w:rPr>
            <w:noProof/>
            <w:webHidden/>
          </w:rPr>
          <w:t>15</w:t>
        </w:r>
        <w:r w:rsidR="007074A2">
          <w:rPr>
            <w:noProof/>
            <w:webHidden/>
          </w:rPr>
          <w:fldChar w:fldCharType="end"/>
        </w:r>
      </w:hyperlink>
    </w:p>
    <w:p w14:paraId="13CFF811" w14:textId="382F5159" w:rsidR="007074A2" w:rsidRDefault="00955EE3">
      <w:pPr>
        <w:pStyle w:val="TOC2"/>
        <w:rPr>
          <w:rFonts w:asciiTheme="minorHAnsi" w:eastAsiaTheme="minorEastAsia" w:hAnsiTheme="minorHAnsi" w:cstheme="minorBidi"/>
          <w:noProof/>
          <w:sz w:val="22"/>
          <w:szCs w:val="22"/>
          <w:lang w:eastAsia="en-NZ"/>
        </w:rPr>
      </w:pPr>
      <w:hyperlink w:anchor="_Toc82433287" w:history="1">
        <w:r w:rsidR="007074A2" w:rsidRPr="00CF318B">
          <w:rPr>
            <w:rStyle w:val="Hyperlink"/>
            <w:noProof/>
          </w:rPr>
          <w:t>PCQI 8. Length of stay after surgery</w:t>
        </w:r>
        <w:r w:rsidR="007074A2">
          <w:rPr>
            <w:noProof/>
            <w:webHidden/>
          </w:rPr>
          <w:tab/>
        </w:r>
        <w:r w:rsidR="007074A2">
          <w:rPr>
            <w:noProof/>
            <w:webHidden/>
          </w:rPr>
          <w:fldChar w:fldCharType="begin"/>
        </w:r>
        <w:r w:rsidR="007074A2">
          <w:rPr>
            <w:noProof/>
            <w:webHidden/>
          </w:rPr>
          <w:instrText xml:space="preserve"> PAGEREF _Toc82433287 \h </w:instrText>
        </w:r>
        <w:r w:rsidR="007074A2">
          <w:rPr>
            <w:noProof/>
            <w:webHidden/>
          </w:rPr>
        </w:r>
        <w:r w:rsidR="007074A2">
          <w:rPr>
            <w:noProof/>
            <w:webHidden/>
          </w:rPr>
          <w:fldChar w:fldCharType="separate"/>
        </w:r>
        <w:r w:rsidR="007F15D2">
          <w:rPr>
            <w:noProof/>
            <w:webHidden/>
          </w:rPr>
          <w:t>16</w:t>
        </w:r>
        <w:r w:rsidR="007074A2">
          <w:rPr>
            <w:noProof/>
            <w:webHidden/>
          </w:rPr>
          <w:fldChar w:fldCharType="end"/>
        </w:r>
      </w:hyperlink>
    </w:p>
    <w:p w14:paraId="2C6C715A" w14:textId="4E299B01" w:rsidR="007074A2" w:rsidRDefault="00955EE3">
      <w:pPr>
        <w:pStyle w:val="TOC2"/>
        <w:rPr>
          <w:rFonts w:asciiTheme="minorHAnsi" w:eastAsiaTheme="minorEastAsia" w:hAnsiTheme="minorHAnsi" w:cstheme="minorBidi"/>
          <w:noProof/>
          <w:sz w:val="22"/>
          <w:szCs w:val="22"/>
          <w:lang w:eastAsia="en-NZ"/>
        </w:rPr>
      </w:pPr>
      <w:hyperlink w:anchor="_Toc82433288" w:history="1">
        <w:r w:rsidR="007074A2" w:rsidRPr="00CF318B">
          <w:rPr>
            <w:rStyle w:val="Hyperlink"/>
            <w:noProof/>
          </w:rPr>
          <w:t>PCQI 9. Equitable access to treatment</w:t>
        </w:r>
        <w:r w:rsidR="007074A2">
          <w:rPr>
            <w:noProof/>
            <w:webHidden/>
          </w:rPr>
          <w:tab/>
        </w:r>
        <w:r w:rsidR="007074A2">
          <w:rPr>
            <w:noProof/>
            <w:webHidden/>
          </w:rPr>
          <w:fldChar w:fldCharType="begin"/>
        </w:r>
        <w:r w:rsidR="007074A2">
          <w:rPr>
            <w:noProof/>
            <w:webHidden/>
          </w:rPr>
          <w:instrText xml:space="preserve"> PAGEREF _Toc82433288 \h </w:instrText>
        </w:r>
        <w:r w:rsidR="007074A2">
          <w:rPr>
            <w:noProof/>
            <w:webHidden/>
          </w:rPr>
        </w:r>
        <w:r w:rsidR="007074A2">
          <w:rPr>
            <w:noProof/>
            <w:webHidden/>
          </w:rPr>
          <w:fldChar w:fldCharType="separate"/>
        </w:r>
        <w:r w:rsidR="007F15D2">
          <w:rPr>
            <w:noProof/>
            <w:webHidden/>
          </w:rPr>
          <w:t>17</w:t>
        </w:r>
        <w:r w:rsidR="007074A2">
          <w:rPr>
            <w:noProof/>
            <w:webHidden/>
          </w:rPr>
          <w:fldChar w:fldCharType="end"/>
        </w:r>
      </w:hyperlink>
    </w:p>
    <w:p w14:paraId="574566FB" w14:textId="1ACCEE33" w:rsidR="007074A2" w:rsidRDefault="00955EE3">
      <w:pPr>
        <w:pStyle w:val="TOC2"/>
        <w:rPr>
          <w:rFonts w:asciiTheme="minorHAnsi" w:eastAsiaTheme="minorEastAsia" w:hAnsiTheme="minorHAnsi" w:cstheme="minorBidi"/>
          <w:noProof/>
          <w:sz w:val="22"/>
          <w:szCs w:val="22"/>
          <w:lang w:eastAsia="en-NZ"/>
        </w:rPr>
      </w:pPr>
      <w:hyperlink w:anchor="_Toc82433289" w:history="1">
        <w:r w:rsidR="007074A2" w:rsidRPr="00CF318B">
          <w:rPr>
            <w:rStyle w:val="Hyperlink"/>
            <w:noProof/>
          </w:rPr>
          <w:t>PCQI 10. Timeliness of treatment pathway</w:t>
        </w:r>
        <w:r w:rsidR="007074A2">
          <w:rPr>
            <w:noProof/>
            <w:webHidden/>
          </w:rPr>
          <w:tab/>
        </w:r>
        <w:r w:rsidR="007074A2">
          <w:rPr>
            <w:noProof/>
            <w:webHidden/>
          </w:rPr>
          <w:fldChar w:fldCharType="begin"/>
        </w:r>
        <w:r w:rsidR="007074A2">
          <w:rPr>
            <w:noProof/>
            <w:webHidden/>
          </w:rPr>
          <w:instrText xml:space="preserve"> PAGEREF _Toc82433289 \h </w:instrText>
        </w:r>
        <w:r w:rsidR="007074A2">
          <w:rPr>
            <w:noProof/>
            <w:webHidden/>
          </w:rPr>
        </w:r>
        <w:r w:rsidR="007074A2">
          <w:rPr>
            <w:noProof/>
            <w:webHidden/>
          </w:rPr>
          <w:fldChar w:fldCharType="separate"/>
        </w:r>
        <w:r w:rsidR="007F15D2">
          <w:rPr>
            <w:noProof/>
            <w:webHidden/>
          </w:rPr>
          <w:t>18</w:t>
        </w:r>
        <w:r w:rsidR="007074A2">
          <w:rPr>
            <w:noProof/>
            <w:webHidden/>
          </w:rPr>
          <w:fldChar w:fldCharType="end"/>
        </w:r>
      </w:hyperlink>
    </w:p>
    <w:p w14:paraId="1C8C8A7F" w14:textId="60B03BEE" w:rsidR="007074A2" w:rsidRDefault="00955EE3">
      <w:pPr>
        <w:pStyle w:val="TOC2"/>
        <w:rPr>
          <w:rFonts w:asciiTheme="minorHAnsi" w:eastAsiaTheme="minorEastAsia" w:hAnsiTheme="minorHAnsi" w:cstheme="minorBidi"/>
          <w:noProof/>
          <w:sz w:val="22"/>
          <w:szCs w:val="22"/>
          <w:lang w:eastAsia="en-NZ"/>
        </w:rPr>
      </w:pPr>
      <w:hyperlink w:anchor="_Toc82433290" w:history="1">
        <w:r w:rsidR="007074A2" w:rsidRPr="00CF318B">
          <w:rPr>
            <w:rStyle w:val="Hyperlink"/>
            <w:noProof/>
          </w:rPr>
          <w:t>PCQI 11. Quality of life</w:t>
        </w:r>
        <w:r w:rsidR="007074A2">
          <w:rPr>
            <w:noProof/>
            <w:webHidden/>
          </w:rPr>
          <w:tab/>
        </w:r>
        <w:r w:rsidR="007074A2">
          <w:rPr>
            <w:noProof/>
            <w:webHidden/>
          </w:rPr>
          <w:fldChar w:fldCharType="begin"/>
        </w:r>
        <w:r w:rsidR="007074A2">
          <w:rPr>
            <w:noProof/>
            <w:webHidden/>
          </w:rPr>
          <w:instrText xml:space="preserve"> PAGEREF _Toc82433290 \h </w:instrText>
        </w:r>
        <w:r w:rsidR="007074A2">
          <w:rPr>
            <w:noProof/>
            <w:webHidden/>
          </w:rPr>
        </w:r>
        <w:r w:rsidR="007074A2">
          <w:rPr>
            <w:noProof/>
            <w:webHidden/>
          </w:rPr>
          <w:fldChar w:fldCharType="separate"/>
        </w:r>
        <w:r w:rsidR="007F15D2">
          <w:rPr>
            <w:noProof/>
            <w:webHidden/>
          </w:rPr>
          <w:t>19</w:t>
        </w:r>
        <w:r w:rsidR="007074A2">
          <w:rPr>
            <w:noProof/>
            <w:webHidden/>
          </w:rPr>
          <w:fldChar w:fldCharType="end"/>
        </w:r>
      </w:hyperlink>
    </w:p>
    <w:p w14:paraId="56A9DF69" w14:textId="39F2E602" w:rsidR="007074A2" w:rsidRDefault="00955EE3">
      <w:pPr>
        <w:pStyle w:val="TOC2"/>
        <w:rPr>
          <w:rFonts w:asciiTheme="minorHAnsi" w:eastAsiaTheme="minorEastAsia" w:hAnsiTheme="minorHAnsi" w:cstheme="minorBidi"/>
          <w:noProof/>
          <w:sz w:val="22"/>
          <w:szCs w:val="22"/>
          <w:lang w:eastAsia="en-NZ"/>
        </w:rPr>
      </w:pPr>
      <w:hyperlink w:anchor="_Toc82433291" w:history="1">
        <w:r w:rsidR="007074A2" w:rsidRPr="00CF318B">
          <w:rPr>
            <w:rStyle w:val="Hyperlink"/>
            <w:noProof/>
          </w:rPr>
          <w:t>PCQI 12. Progression-free survival</w:t>
        </w:r>
        <w:r w:rsidR="007074A2">
          <w:rPr>
            <w:noProof/>
            <w:webHidden/>
          </w:rPr>
          <w:tab/>
        </w:r>
        <w:r w:rsidR="007074A2">
          <w:rPr>
            <w:noProof/>
            <w:webHidden/>
          </w:rPr>
          <w:fldChar w:fldCharType="begin"/>
        </w:r>
        <w:r w:rsidR="007074A2">
          <w:rPr>
            <w:noProof/>
            <w:webHidden/>
          </w:rPr>
          <w:instrText xml:space="preserve"> PAGEREF _Toc82433291 \h </w:instrText>
        </w:r>
        <w:r w:rsidR="007074A2">
          <w:rPr>
            <w:noProof/>
            <w:webHidden/>
          </w:rPr>
        </w:r>
        <w:r w:rsidR="007074A2">
          <w:rPr>
            <w:noProof/>
            <w:webHidden/>
          </w:rPr>
          <w:fldChar w:fldCharType="separate"/>
        </w:r>
        <w:r w:rsidR="007F15D2">
          <w:rPr>
            <w:noProof/>
            <w:webHidden/>
          </w:rPr>
          <w:t>20</w:t>
        </w:r>
        <w:r w:rsidR="007074A2">
          <w:rPr>
            <w:noProof/>
            <w:webHidden/>
          </w:rPr>
          <w:fldChar w:fldCharType="end"/>
        </w:r>
      </w:hyperlink>
    </w:p>
    <w:p w14:paraId="4DEC9E9A" w14:textId="4ECFFED5" w:rsidR="007074A2" w:rsidRDefault="00955EE3">
      <w:pPr>
        <w:pStyle w:val="TOC2"/>
        <w:rPr>
          <w:rFonts w:asciiTheme="minorHAnsi" w:eastAsiaTheme="minorEastAsia" w:hAnsiTheme="minorHAnsi" w:cstheme="minorBidi"/>
          <w:noProof/>
          <w:sz w:val="22"/>
          <w:szCs w:val="22"/>
          <w:lang w:eastAsia="en-NZ"/>
        </w:rPr>
      </w:pPr>
      <w:hyperlink w:anchor="_Toc82433292" w:history="1">
        <w:r w:rsidR="007074A2" w:rsidRPr="00CF318B">
          <w:rPr>
            <w:rStyle w:val="Hyperlink"/>
            <w:noProof/>
          </w:rPr>
          <w:t>PCQI 13. Overall survival</w:t>
        </w:r>
        <w:r w:rsidR="007074A2">
          <w:rPr>
            <w:noProof/>
            <w:webHidden/>
          </w:rPr>
          <w:tab/>
        </w:r>
        <w:r w:rsidR="007074A2">
          <w:rPr>
            <w:noProof/>
            <w:webHidden/>
          </w:rPr>
          <w:fldChar w:fldCharType="begin"/>
        </w:r>
        <w:r w:rsidR="007074A2">
          <w:rPr>
            <w:noProof/>
            <w:webHidden/>
          </w:rPr>
          <w:instrText xml:space="preserve"> PAGEREF _Toc82433292 \h </w:instrText>
        </w:r>
        <w:r w:rsidR="007074A2">
          <w:rPr>
            <w:noProof/>
            <w:webHidden/>
          </w:rPr>
        </w:r>
        <w:r w:rsidR="007074A2">
          <w:rPr>
            <w:noProof/>
            <w:webHidden/>
          </w:rPr>
          <w:fldChar w:fldCharType="separate"/>
        </w:r>
        <w:r w:rsidR="007F15D2">
          <w:rPr>
            <w:noProof/>
            <w:webHidden/>
          </w:rPr>
          <w:t>21</w:t>
        </w:r>
        <w:r w:rsidR="007074A2">
          <w:rPr>
            <w:noProof/>
            <w:webHidden/>
          </w:rPr>
          <w:fldChar w:fldCharType="end"/>
        </w:r>
      </w:hyperlink>
    </w:p>
    <w:p w14:paraId="098D6386" w14:textId="1187F3BA" w:rsidR="007074A2" w:rsidRDefault="00955EE3">
      <w:pPr>
        <w:pStyle w:val="TOC1"/>
        <w:rPr>
          <w:rFonts w:asciiTheme="minorHAnsi" w:eastAsiaTheme="minorEastAsia" w:hAnsiTheme="minorHAnsi" w:cstheme="minorBidi"/>
          <w:noProof/>
          <w:sz w:val="22"/>
          <w:szCs w:val="22"/>
          <w:lang w:eastAsia="en-NZ"/>
        </w:rPr>
      </w:pPr>
      <w:hyperlink w:anchor="_Toc82433293" w:history="1">
        <w:r w:rsidR="007074A2" w:rsidRPr="00CF318B">
          <w:rPr>
            <w:rStyle w:val="Hyperlink"/>
            <w:noProof/>
          </w:rPr>
          <w:t>Appendix 1: Working Group members</w:t>
        </w:r>
        <w:r w:rsidR="007074A2">
          <w:rPr>
            <w:noProof/>
            <w:webHidden/>
          </w:rPr>
          <w:tab/>
        </w:r>
        <w:r w:rsidR="007074A2">
          <w:rPr>
            <w:noProof/>
            <w:webHidden/>
          </w:rPr>
          <w:fldChar w:fldCharType="begin"/>
        </w:r>
        <w:r w:rsidR="007074A2">
          <w:rPr>
            <w:noProof/>
            <w:webHidden/>
          </w:rPr>
          <w:instrText xml:space="preserve"> PAGEREF _Toc82433293 \h </w:instrText>
        </w:r>
        <w:r w:rsidR="007074A2">
          <w:rPr>
            <w:noProof/>
            <w:webHidden/>
          </w:rPr>
        </w:r>
        <w:r w:rsidR="007074A2">
          <w:rPr>
            <w:noProof/>
            <w:webHidden/>
          </w:rPr>
          <w:fldChar w:fldCharType="separate"/>
        </w:r>
        <w:r w:rsidR="007F15D2">
          <w:rPr>
            <w:noProof/>
            <w:webHidden/>
          </w:rPr>
          <w:t>22</w:t>
        </w:r>
        <w:r w:rsidR="007074A2">
          <w:rPr>
            <w:noProof/>
            <w:webHidden/>
          </w:rPr>
          <w:fldChar w:fldCharType="end"/>
        </w:r>
      </w:hyperlink>
    </w:p>
    <w:p w14:paraId="102FBC89" w14:textId="6D4455B8" w:rsidR="007074A2" w:rsidRDefault="00955EE3">
      <w:pPr>
        <w:pStyle w:val="TOC1"/>
        <w:rPr>
          <w:rFonts w:asciiTheme="minorHAnsi" w:eastAsiaTheme="minorEastAsia" w:hAnsiTheme="minorHAnsi" w:cstheme="minorBidi"/>
          <w:noProof/>
          <w:sz w:val="22"/>
          <w:szCs w:val="22"/>
          <w:lang w:eastAsia="en-NZ"/>
        </w:rPr>
      </w:pPr>
      <w:hyperlink w:anchor="_Toc82433294" w:history="1">
        <w:r w:rsidR="007074A2" w:rsidRPr="00CF318B">
          <w:rPr>
            <w:rStyle w:val="Hyperlink"/>
            <w:noProof/>
          </w:rPr>
          <w:t>Appendix 2: Stratifying variables</w:t>
        </w:r>
        <w:r w:rsidR="007074A2">
          <w:rPr>
            <w:noProof/>
            <w:webHidden/>
          </w:rPr>
          <w:tab/>
        </w:r>
        <w:r w:rsidR="007074A2">
          <w:rPr>
            <w:noProof/>
            <w:webHidden/>
          </w:rPr>
          <w:fldChar w:fldCharType="begin"/>
        </w:r>
        <w:r w:rsidR="007074A2">
          <w:rPr>
            <w:noProof/>
            <w:webHidden/>
          </w:rPr>
          <w:instrText xml:space="preserve"> PAGEREF _Toc82433294 \h </w:instrText>
        </w:r>
        <w:r w:rsidR="007074A2">
          <w:rPr>
            <w:noProof/>
            <w:webHidden/>
          </w:rPr>
        </w:r>
        <w:r w:rsidR="007074A2">
          <w:rPr>
            <w:noProof/>
            <w:webHidden/>
          </w:rPr>
          <w:fldChar w:fldCharType="separate"/>
        </w:r>
        <w:r w:rsidR="007F15D2">
          <w:rPr>
            <w:noProof/>
            <w:webHidden/>
          </w:rPr>
          <w:t>23</w:t>
        </w:r>
        <w:r w:rsidR="007074A2">
          <w:rPr>
            <w:noProof/>
            <w:webHidden/>
          </w:rPr>
          <w:fldChar w:fldCharType="end"/>
        </w:r>
      </w:hyperlink>
    </w:p>
    <w:p w14:paraId="126097BC" w14:textId="256214FD" w:rsidR="007074A2" w:rsidRDefault="00955EE3">
      <w:pPr>
        <w:pStyle w:val="TOC1"/>
        <w:rPr>
          <w:rFonts w:asciiTheme="minorHAnsi" w:eastAsiaTheme="minorEastAsia" w:hAnsiTheme="minorHAnsi" w:cstheme="minorBidi"/>
          <w:noProof/>
          <w:sz w:val="22"/>
          <w:szCs w:val="22"/>
          <w:lang w:eastAsia="en-NZ"/>
        </w:rPr>
      </w:pPr>
      <w:hyperlink w:anchor="_Toc82433295" w:history="1">
        <w:r w:rsidR="007074A2" w:rsidRPr="00CF318B">
          <w:rPr>
            <w:rStyle w:val="Hyperlink"/>
            <w:noProof/>
          </w:rPr>
          <w:t>References</w:t>
        </w:r>
        <w:r w:rsidR="007074A2">
          <w:rPr>
            <w:noProof/>
            <w:webHidden/>
          </w:rPr>
          <w:tab/>
        </w:r>
        <w:r w:rsidR="007074A2">
          <w:rPr>
            <w:noProof/>
            <w:webHidden/>
          </w:rPr>
          <w:fldChar w:fldCharType="begin"/>
        </w:r>
        <w:r w:rsidR="007074A2">
          <w:rPr>
            <w:noProof/>
            <w:webHidden/>
          </w:rPr>
          <w:instrText xml:space="preserve"> PAGEREF _Toc82433295 \h </w:instrText>
        </w:r>
        <w:r w:rsidR="007074A2">
          <w:rPr>
            <w:noProof/>
            <w:webHidden/>
          </w:rPr>
        </w:r>
        <w:r w:rsidR="007074A2">
          <w:rPr>
            <w:noProof/>
            <w:webHidden/>
          </w:rPr>
          <w:fldChar w:fldCharType="separate"/>
        </w:r>
        <w:r w:rsidR="007F15D2">
          <w:rPr>
            <w:noProof/>
            <w:webHidden/>
          </w:rPr>
          <w:t>24</w:t>
        </w:r>
        <w:r w:rsidR="007074A2">
          <w:rPr>
            <w:noProof/>
            <w:webHidden/>
          </w:rPr>
          <w:fldChar w:fldCharType="end"/>
        </w:r>
      </w:hyperlink>
    </w:p>
    <w:p w14:paraId="535CF151" w14:textId="1EA9B11C" w:rsidR="00C86248" w:rsidRPr="00B47C82" w:rsidRDefault="007074A2">
      <w:r>
        <w:rPr>
          <w:rFonts w:ascii="Segoe UI Semibold" w:hAnsi="Segoe UI Semibold"/>
          <w:b/>
          <w:sz w:val="24"/>
        </w:rPr>
        <w:fldChar w:fldCharType="end"/>
      </w:r>
    </w:p>
    <w:p w14:paraId="2FA288FE" w14:textId="77777777" w:rsidR="00852C5D" w:rsidRPr="00B47C82" w:rsidRDefault="00852C5D" w:rsidP="003A5FEA"/>
    <w:p w14:paraId="096E4694" w14:textId="77777777" w:rsidR="001D3E4E" w:rsidRPr="00B47C82" w:rsidRDefault="001D3E4E" w:rsidP="003A5FEA">
      <w:pPr>
        <w:sectPr w:rsidR="001D3E4E" w:rsidRPr="00B47C82"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6696481F" w14:textId="77777777" w:rsidR="00A23E54" w:rsidRPr="00C71161" w:rsidRDefault="00A23E54" w:rsidP="00A63C3E">
      <w:pPr>
        <w:pStyle w:val="Heading1"/>
      </w:pPr>
      <w:bookmarkStart w:id="2" w:name="_Toc12254819"/>
      <w:bookmarkStart w:id="3" w:name="_Toc12461597"/>
      <w:bookmarkStart w:id="4" w:name="_Toc12461972"/>
      <w:bookmarkStart w:id="5" w:name="_Toc13561048"/>
      <w:bookmarkStart w:id="6" w:name="_Toc18056763"/>
      <w:bookmarkStart w:id="7" w:name="_Toc79501554"/>
      <w:bookmarkStart w:id="8" w:name="_Toc82433274"/>
      <w:bookmarkStart w:id="9" w:name="_Toc3791478"/>
      <w:bookmarkStart w:id="10" w:name="_Toc3817776"/>
      <w:bookmarkStart w:id="11" w:name="_Toc8116705"/>
      <w:bookmarkStart w:id="12" w:name="_Ref535937798"/>
      <w:r w:rsidRPr="00C71161">
        <w:lastRenderedPageBreak/>
        <w:t>Introduction</w:t>
      </w:r>
      <w:bookmarkEnd w:id="2"/>
      <w:bookmarkEnd w:id="3"/>
      <w:bookmarkEnd w:id="4"/>
      <w:bookmarkEnd w:id="5"/>
      <w:bookmarkEnd w:id="6"/>
      <w:bookmarkEnd w:id="7"/>
      <w:bookmarkEnd w:id="8"/>
    </w:p>
    <w:p w14:paraId="2E59BB7C" w14:textId="77777777" w:rsidR="000B70EC" w:rsidRPr="00C71161" w:rsidRDefault="000B70EC" w:rsidP="000B70EC">
      <w:r w:rsidRPr="00C71161">
        <w:t>Te Aho o Te Kahu</w:t>
      </w:r>
      <w:r>
        <w:t>, the</w:t>
      </w:r>
      <w:r w:rsidRPr="00C71161">
        <w:t xml:space="preserve"> Cancer Control Agency</w:t>
      </w:r>
      <w:r>
        <w:t xml:space="preserve"> (Te Aho o Te Kahu)</w:t>
      </w:r>
      <w:r w:rsidRPr="00C71161">
        <w:t xml:space="preserve"> and the National </w:t>
      </w:r>
      <w:r>
        <w:t xml:space="preserve">Urological </w:t>
      </w:r>
      <w:r w:rsidRPr="00C71161">
        <w:t xml:space="preserve">Cancer Working Group (the </w:t>
      </w:r>
      <w:r>
        <w:t>w</w:t>
      </w:r>
      <w:r w:rsidRPr="00C71161">
        <w:t xml:space="preserve">orking </w:t>
      </w:r>
      <w:r>
        <w:t>g</w:t>
      </w:r>
      <w:r w:rsidRPr="00C71161">
        <w:t xml:space="preserve">roup) have worked together to identify a set of </w:t>
      </w:r>
      <w:r>
        <w:t xml:space="preserve">13 </w:t>
      </w:r>
      <w:r w:rsidRPr="00C71161">
        <w:t>proposed quality performance indicators (QPIs) for prostate cancer.</w:t>
      </w:r>
    </w:p>
    <w:p w14:paraId="437A3EF1" w14:textId="77777777" w:rsidR="000B70EC" w:rsidRDefault="000B70EC" w:rsidP="000B70EC"/>
    <w:p w14:paraId="43CD748C" w14:textId="77777777" w:rsidR="000B70EC" w:rsidRPr="00C71161" w:rsidRDefault="000B70EC" w:rsidP="000B70EC">
      <w:r w:rsidRPr="00C71161">
        <w:t xml:space="preserve">The proposed indicators </w:t>
      </w:r>
      <w:r>
        <w:t xml:space="preserve">will allow us </w:t>
      </w:r>
      <w:r w:rsidRPr="00C71161">
        <w:t xml:space="preserve">to measure performance and drive quality improvement in prostate cancer diagnosis and treatment services. </w:t>
      </w:r>
      <w:r>
        <w:t>The five QPIs that were able to be calculated using the Ministry of Health’s national collections are presented in the associated Prostate Cancer Quality Improvement Monitoring Report (the monitoring report).</w:t>
      </w:r>
    </w:p>
    <w:p w14:paraId="3BFD0643" w14:textId="77777777" w:rsidR="000B70EC" w:rsidRDefault="000B70EC" w:rsidP="000B70EC"/>
    <w:p w14:paraId="74E6054A" w14:textId="77777777" w:rsidR="000B70EC" w:rsidRDefault="000B70EC" w:rsidP="000B70EC">
      <w:r>
        <w:t xml:space="preserve">This document sets out </w:t>
      </w:r>
      <w:r w:rsidRPr="00C71161">
        <w:t>descriptions</w:t>
      </w:r>
      <w:r>
        <w:t xml:space="preserve"> of</w:t>
      </w:r>
      <w:r w:rsidRPr="00C71161">
        <w:t xml:space="preserve"> </w:t>
      </w:r>
      <w:r>
        <w:t xml:space="preserve">and the </w:t>
      </w:r>
      <w:r w:rsidRPr="00C71161">
        <w:t xml:space="preserve">evidence and rationale for </w:t>
      </w:r>
      <w:r>
        <w:t>the full set of 13 QPIs</w:t>
      </w:r>
      <w:r w:rsidRPr="00C71161">
        <w:t>.</w:t>
      </w:r>
    </w:p>
    <w:p w14:paraId="3765D6A1" w14:textId="77777777" w:rsidR="000B70EC" w:rsidRDefault="000B70EC" w:rsidP="000B70EC"/>
    <w:p w14:paraId="58E7A3F2" w14:textId="77777777" w:rsidR="000B70EC" w:rsidRDefault="000B70EC" w:rsidP="000B70EC">
      <w:r>
        <w:t>In some instances, the original QPI required altering prior to calculation due to availability of data.</w:t>
      </w:r>
    </w:p>
    <w:p w14:paraId="4989635D" w14:textId="77777777" w:rsidR="000B70EC" w:rsidRDefault="000B70EC" w:rsidP="000B70EC"/>
    <w:p w14:paraId="36B5C891" w14:textId="77777777" w:rsidR="000B70EC" w:rsidRDefault="000B70EC" w:rsidP="000B70EC">
      <w:r>
        <w:t>This document should be read in conjunction with the monitoring report.</w:t>
      </w:r>
    </w:p>
    <w:p w14:paraId="76DC3E16" w14:textId="77777777" w:rsidR="000B70EC" w:rsidRPr="00C71161" w:rsidRDefault="000B70EC" w:rsidP="000B70EC"/>
    <w:p w14:paraId="7A46C2E8" w14:textId="77777777" w:rsidR="000B70EC" w:rsidRPr="00C71161" w:rsidRDefault="000B70EC" w:rsidP="000B70EC">
      <w:pPr>
        <w:pStyle w:val="Heading2"/>
      </w:pPr>
      <w:bookmarkStart w:id="13" w:name="_Toc13561049"/>
      <w:bookmarkStart w:id="14" w:name="_Toc18056764"/>
      <w:bookmarkStart w:id="15" w:name="_Toc79501555"/>
      <w:bookmarkStart w:id="16" w:name="_Toc82433275"/>
      <w:r w:rsidRPr="00C71161">
        <w:t>Background</w:t>
      </w:r>
      <w:bookmarkEnd w:id="13"/>
      <w:bookmarkEnd w:id="14"/>
      <w:bookmarkEnd w:id="15"/>
      <w:bookmarkEnd w:id="16"/>
    </w:p>
    <w:p w14:paraId="07B0344C" w14:textId="77777777" w:rsidR="000B70EC" w:rsidRPr="00C71161" w:rsidRDefault="000B70EC" w:rsidP="000B70EC">
      <w:pPr>
        <w:pStyle w:val="Heading3"/>
      </w:pPr>
      <w:r w:rsidRPr="00C71161">
        <w:t>What is the prostate cancer quality performance indicator project about?</w:t>
      </w:r>
    </w:p>
    <w:p w14:paraId="0DD2FE63" w14:textId="77777777" w:rsidR="000B70EC" w:rsidRPr="00C71161" w:rsidRDefault="000B70EC" w:rsidP="000B70EC">
      <w:r w:rsidRPr="00C71161">
        <w:t>High</w:t>
      </w:r>
      <w:r>
        <w:t>-</w:t>
      </w:r>
      <w:r w:rsidRPr="00C71161">
        <w:t xml:space="preserve">quality cancer care in New Zealand requires a nationally consistent, coordinated approach that advances equity and is structured to enable </w:t>
      </w:r>
      <w:r>
        <w:t>district health boards (</w:t>
      </w:r>
      <w:r w:rsidRPr="00C71161">
        <w:t>DHBs</w:t>
      </w:r>
      <w:r>
        <w:t>) and hospitals</w:t>
      </w:r>
      <w:r w:rsidRPr="00C71161">
        <w:t xml:space="preserve"> to deliver quality improvement.</w:t>
      </w:r>
    </w:p>
    <w:p w14:paraId="7275C6F9" w14:textId="77777777" w:rsidR="000B70EC" w:rsidRDefault="000B70EC" w:rsidP="000B70EC"/>
    <w:p w14:paraId="2B5F2257" w14:textId="77777777" w:rsidR="000B70EC" w:rsidRPr="00C71161" w:rsidRDefault="000B70EC" w:rsidP="000B70EC">
      <w:r w:rsidRPr="00C71161">
        <w:t xml:space="preserve">Addressing variation in the quality of cancer services is pivotal to delivering quality improvements. </w:t>
      </w:r>
      <w:r>
        <w:t xml:space="preserve">We can </w:t>
      </w:r>
      <w:r w:rsidRPr="00C71161">
        <w:t>achieve</w:t>
      </w:r>
      <w:r>
        <w:t xml:space="preserve"> this by establishing </w:t>
      </w:r>
      <w:r w:rsidRPr="00C71161">
        <w:t>consensus</w:t>
      </w:r>
      <w:r>
        <w:t xml:space="preserve">, including through </w:t>
      </w:r>
      <w:r w:rsidRPr="00C71161">
        <w:t xml:space="preserve">clear </w:t>
      </w:r>
      <w:r>
        <w:t xml:space="preserve">performance </w:t>
      </w:r>
      <w:r w:rsidRPr="00C71161">
        <w:t>indicators</w:t>
      </w:r>
      <w:r>
        <w:t>, of</w:t>
      </w:r>
      <w:r w:rsidRPr="00C71161">
        <w:t xml:space="preserve"> what good cancer care looks like. Developing QPIs to quantitatively measure processes and outcomes is an internationally accepted approach to driving quality improvement in cancer care.</w:t>
      </w:r>
    </w:p>
    <w:p w14:paraId="7BB51C06" w14:textId="77777777" w:rsidR="000B70EC" w:rsidRDefault="000B70EC" w:rsidP="000B70EC"/>
    <w:p w14:paraId="6E0109C3" w14:textId="77777777" w:rsidR="000B70EC" w:rsidRPr="00C71161" w:rsidRDefault="000B70EC" w:rsidP="000B70EC">
      <w:r>
        <w:t>Te Aho o Te Kahu is developing n</w:t>
      </w:r>
      <w:r w:rsidRPr="00C71161">
        <w:t>ational tumour</w:t>
      </w:r>
      <w:r>
        <w:t>-</w:t>
      </w:r>
      <w:r w:rsidRPr="00C71161">
        <w:t>specific QPIs in partnership with sector-led working groups.</w:t>
      </w:r>
    </w:p>
    <w:p w14:paraId="38E07A26" w14:textId="77777777" w:rsidR="000B70EC" w:rsidRDefault="000B70EC" w:rsidP="000B70EC"/>
    <w:p w14:paraId="16BAC478" w14:textId="77777777" w:rsidR="000B70EC" w:rsidRPr="00C71161" w:rsidRDefault="000B70EC" w:rsidP="000B70EC">
      <w:r w:rsidRPr="00C71161">
        <w:t xml:space="preserve">Key principles of the </w:t>
      </w:r>
      <w:r>
        <w:t xml:space="preserve">QPI development </w:t>
      </w:r>
      <w:r w:rsidRPr="00C71161">
        <w:t xml:space="preserve">process are clinical engagement, </w:t>
      </w:r>
      <w:proofErr w:type="gramStart"/>
      <w:r w:rsidRPr="00C71161">
        <w:t>consultation</w:t>
      </w:r>
      <w:proofErr w:type="gramEnd"/>
      <w:r w:rsidRPr="00C71161">
        <w:t xml:space="preserve"> and consensus.</w:t>
      </w:r>
    </w:p>
    <w:p w14:paraId="16100012" w14:textId="77777777" w:rsidR="000B70EC" w:rsidRDefault="000B70EC" w:rsidP="000B70EC"/>
    <w:p w14:paraId="7EDF6929" w14:textId="77777777" w:rsidR="000B70EC" w:rsidRPr="00C71161" w:rsidRDefault="000B70EC" w:rsidP="000B70EC">
      <w:pPr>
        <w:keepNext/>
      </w:pPr>
      <w:r>
        <w:lastRenderedPageBreak/>
        <w:t xml:space="preserve">The </w:t>
      </w:r>
      <w:r w:rsidRPr="00C71161">
        <w:t xml:space="preserve">QPIs </w:t>
      </w:r>
      <w:r>
        <w:t xml:space="preserve">Te Aho o Te Kahu calculates </w:t>
      </w:r>
      <w:r w:rsidRPr="00C71161">
        <w:t>are:</w:t>
      </w:r>
    </w:p>
    <w:p w14:paraId="5BD233B1" w14:textId="77777777" w:rsidR="000B70EC" w:rsidRPr="00C71161" w:rsidRDefault="000B70EC" w:rsidP="000B70EC">
      <w:pPr>
        <w:pStyle w:val="Bullet"/>
        <w:keepNext/>
      </w:pPr>
      <w:r>
        <w:t>e</w:t>
      </w:r>
      <w:r w:rsidRPr="00C71161">
        <w:t>vidence-based (</w:t>
      </w:r>
      <w:r>
        <w:t>that is</w:t>
      </w:r>
      <w:r w:rsidRPr="00C71161">
        <w:t>, supported by sound, current evidence that the indicator can drive quality improvement)</w:t>
      </w:r>
    </w:p>
    <w:p w14:paraId="2A15F96D" w14:textId="77777777" w:rsidR="000B70EC" w:rsidRPr="00C71161" w:rsidRDefault="000B70EC" w:rsidP="000B70EC">
      <w:pPr>
        <w:pStyle w:val="Bullet"/>
      </w:pPr>
      <w:r>
        <w:t>i</w:t>
      </w:r>
      <w:r w:rsidRPr="00C71161">
        <w:t>mportant (</w:t>
      </w:r>
      <w:r>
        <w:t>that is</w:t>
      </w:r>
      <w:r w:rsidRPr="00C71161">
        <w:t xml:space="preserve">, </w:t>
      </w:r>
      <w:r>
        <w:t xml:space="preserve">they </w:t>
      </w:r>
      <w:r w:rsidRPr="00C71161">
        <w:t xml:space="preserve">address an area of clinical importance that could significantly </w:t>
      </w:r>
      <w:r>
        <w:t xml:space="preserve">affect </w:t>
      </w:r>
      <w:r w:rsidRPr="00C71161">
        <w:t>the quality and outcome of care delivered)</w:t>
      </w:r>
    </w:p>
    <w:p w14:paraId="280E8232" w14:textId="77777777" w:rsidR="000B70EC" w:rsidRPr="00C71161" w:rsidRDefault="000B70EC" w:rsidP="000B70EC">
      <w:pPr>
        <w:pStyle w:val="Bullet"/>
      </w:pPr>
      <w:r>
        <w:t>s</w:t>
      </w:r>
      <w:r w:rsidRPr="00C71161">
        <w:t xml:space="preserve">upportive of the goals of achieving Māori health gain, </w:t>
      </w:r>
      <w:proofErr w:type="gramStart"/>
      <w:r w:rsidRPr="00C71161">
        <w:t>equity</w:t>
      </w:r>
      <w:proofErr w:type="gramEnd"/>
      <w:r w:rsidRPr="00C71161">
        <w:t xml:space="preserve"> and national consistency</w:t>
      </w:r>
    </w:p>
    <w:p w14:paraId="4FA58976" w14:textId="77777777" w:rsidR="000B70EC" w:rsidRDefault="000B70EC" w:rsidP="000B70EC">
      <w:pPr>
        <w:pStyle w:val="Bullet"/>
      </w:pPr>
      <w:r>
        <w:t>m</w:t>
      </w:r>
      <w:r w:rsidRPr="00C71161">
        <w:t xml:space="preserve">easurable </w:t>
      </w:r>
      <w:r>
        <w:t>using complete, robust data from national collections</w:t>
      </w:r>
      <w:r w:rsidRPr="00C71161">
        <w:t>.</w:t>
      </w:r>
    </w:p>
    <w:p w14:paraId="1C9750C8" w14:textId="77777777" w:rsidR="000B70EC" w:rsidRPr="00C71161" w:rsidRDefault="000B70EC" w:rsidP="000B70EC"/>
    <w:p w14:paraId="7402C51F" w14:textId="77777777" w:rsidR="000B70EC" w:rsidRPr="00C71161" w:rsidRDefault="000B70EC" w:rsidP="000B70EC">
      <w:pPr>
        <w:pStyle w:val="Heading3"/>
      </w:pPr>
      <w:r w:rsidRPr="00C71161">
        <w:t>How did we come up with these indicators?</w:t>
      </w:r>
    </w:p>
    <w:p w14:paraId="29512682" w14:textId="77777777" w:rsidR="000B70EC" w:rsidRDefault="000B70EC" w:rsidP="000B70EC">
      <w:r>
        <w:t>The working group first identified a</w:t>
      </w:r>
      <w:r w:rsidRPr="00C71161">
        <w:t xml:space="preserve"> ‘long list’ of 221 potential prostate cancer </w:t>
      </w:r>
      <w:r>
        <w:t>QPIs</w:t>
      </w:r>
      <w:r w:rsidRPr="00C71161">
        <w:t xml:space="preserve"> from literature </w:t>
      </w:r>
      <w:r>
        <w:t xml:space="preserve">and evidence </w:t>
      </w:r>
      <w:r w:rsidRPr="00C71161">
        <w:t>search</w:t>
      </w:r>
      <w:r>
        <w:t>es</w:t>
      </w:r>
      <w:r w:rsidRPr="00C71161">
        <w:t xml:space="preserve">. The </w:t>
      </w:r>
      <w:r>
        <w:t>g</w:t>
      </w:r>
      <w:r w:rsidRPr="00C71161">
        <w:t xml:space="preserve">roup reviewed these indicators at a meeting in August 2018 and considered which were </w:t>
      </w:r>
      <w:r>
        <w:t xml:space="preserve">potentially </w:t>
      </w:r>
      <w:r w:rsidRPr="00C71161">
        <w:t xml:space="preserve">most valuable. </w:t>
      </w:r>
      <w:r>
        <w:t xml:space="preserve">It identified a </w:t>
      </w:r>
      <w:r w:rsidRPr="00C71161">
        <w:t xml:space="preserve">‘short list’ of 19 </w:t>
      </w:r>
      <w:r>
        <w:t xml:space="preserve">QPIs, which sub-work groups then </w:t>
      </w:r>
      <w:r w:rsidRPr="00C71161">
        <w:t>further discussed</w:t>
      </w:r>
      <w:r>
        <w:t xml:space="preserve"> and refined</w:t>
      </w:r>
      <w:r w:rsidRPr="00C71161">
        <w:t>.</w:t>
      </w:r>
    </w:p>
    <w:p w14:paraId="293F009A" w14:textId="77777777" w:rsidR="000B70EC" w:rsidRDefault="000B70EC" w:rsidP="000B70EC"/>
    <w:p w14:paraId="7106D056" w14:textId="77777777" w:rsidR="000B70EC" w:rsidRPr="00C71161" w:rsidRDefault="000B70EC" w:rsidP="000B70EC">
      <w:r w:rsidRPr="00C71161">
        <w:t xml:space="preserve">The </w:t>
      </w:r>
      <w:r>
        <w:t xml:space="preserve">group sent out a </w:t>
      </w:r>
      <w:r w:rsidRPr="00C71161">
        <w:t xml:space="preserve">reduced list of 15 </w:t>
      </w:r>
      <w:r>
        <w:t xml:space="preserve">QPIs </w:t>
      </w:r>
      <w:r w:rsidRPr="00C71161">
        <w:t>for sector feedback in May 2019.</w:t>
      </w:r>
    </w:p>
    <w:p w14:paraId="2D735C85" w14:textId="77777777" w:rsidR="000B70EC" w:rsidRDefault="000B70EC" w:rsidP="000B70EC"/>
    <w:p w14:paraId="3DB115BC" w14:textId="77777777" w:rsidR="000B70EC" w:rsidRDefault="000B70EC" w:rsidP="000B70EC">
      <w:r w:rsidRPr="00C71161">
        <w:t xml:space="preserve">After incorporating feedback from the sector, the </w:t>
      </w:r>
      <w:r>
        <w:t>w</w:t>
      </w:r>
      <w:r w:rsidRPr="00C71161">
        <w:t xml:space="preserve">orking </w:t>
      </w:r>
      <w:r>
        <w:t>g</w:t>
      </w:r>
      <w:r w:rsidRPr="00C71161">
        <w:t>roup further refined the list</w:t>
      </w:r>
      <w:r>
        <w:t>,</w:t>
      </w:r>
      <w:r w:rsidRPr="00C71161">
        <w:t xml:space="preserve"> resulting in the set of 13 QPIs </w:t>
      </w:r>
      <w:r>
        <w:t>described</w:t>
      </w:r>
      <w:r w:rsidRPr="00C71161">
        <w:t xml:space="preserve"> in this report.</w:t>
      </w:r>
      <w:r>
        <w:t xml:space="preserve"> Of the 13, five can currently be calculated using Ministry of Health national collections. These five are presented in the associated monitoring report.</w:t>
      </w:r>
    </w:p>
    <w:p w14:paraId="4D9BA8B5" w14:textId="77777777" w:rsidR="000B70EC" w:rsidRPr="00C71161" w:rsidRDefault="000B70EC" w:rsidP="000B70EC"/>
    <w:p w14:paraId="67A418AB" w14:textId="77777777" w:rsidR="000B70EC" w:rsidRPr="00C71161" w:rsidRDefault="000B70EC" w:rsidP="000B70EC">
      <w:pPr>
        <w:pStyle w:val="Heading2"/>
      </w:pPr>
      <w:bookmarkStart w:id="17" w:name="_Toc12461599"/>
      <w:bookmarkStart w:id="18" w:name="_Toc12461974"/>
      <w:bookmarkStart w:id="19" w:name="_Toc13561050"/>
      <w:bookmarkStart w:id="20" w:name="_Toc18056765"/>
      <w:bookmarkStart w:id="21" w:name="_Toc79501556"/>
      <w:bookmarkStart w:id="22" w:name="_Toc82433276"/>
      <w:r w:rsidRPr="00C71161">
        <w:t>National data to calculate indicators</w:t>
      </w:r>
      <w:bookmarkEnd w:id="17"/>
      <w:bookmarkEnd w:id="18"/>
      <w:bookmarkEnd w:id="19"/>
      <w:bookmarkEnd w:id="20"/>
      <w:bookmarkEnd w:id="21"/>
      <w:bookmarkEnd w:id="22"/>
    </w:p>
    <w:p w14:paraId="1D534E10" w14:textId="77777777" w:rsidR="000B70EC" w:rsidRPr="00C71161" w:rsidRDefault="000B70EC" w:rsidP="000B70EC">
      <w:bookmarkStart w:id="23" w:name="_Toc1738348"/>
      <w:r>
        <w:t>We have considered the d</w:t>
      </w:r>
      <w:r w:rsidRPr="00C71161">
        <w:t xml:space="preserve">ata requirements for each indicator. If national data to measure the indicator </w:t>
      </w:r>
      <w:r>
        <w:t>is</w:t>
      </w:r>
      <w:r w:rsidRPr="00C71161">
        <w:t xml:space="preserve"> available </w:t>
      </w:r>
      <w:r>
        <w:t>from</w:t>
      </w:r>
      <w:r w:rsidRPr="00C71161">
        <w:t xml:space="preserve"> the Ministry of Health</w:t>
      </w:r>
      <w:r>
        <w:t>’s national data collections</w:t>
      </w:r>
      <w:r w:rsidRPr="00C71161">
        <w:t xml:space="preserve">, </w:t>
      </w:r>
      <w:r>
        <w:t>we can</w:t>
      </w:r>
      <w:r w:rsidRPr="00C71161">
        <w:t xml:space="preserve"> use </w:t>
      </w:r>
      <w:r>
        <w:t xml:space="preserve">it </w:t>
      </w:r>
      <w:r w:rsidRPr="00C71161">
        <w:t xml:space="preserve">to calculate and report </w:t>
      </w:r>
      <w:r>
        <w:t xml:space="preserve">on </w:t>
      </w:r>
      <w:r w:rsidRPr="00C71161">
        <w:t>the indicator.</w:t>
      </w:r>
    </w:p>
    <w:p w14:paraId="1FE66B8B" w14:textId="77777777" w:rsidR="000B70EC" w:rsidRDefault="000B70EC" w:rsidP="000B70EC"/>
    <w:p w14:paraId="65B88205" w14:textId="77777777" w:rsidR="000B70EC" w:rsidRPr="00C71161" w:rsidRDefault="000B70EC" w:rsidP="000B70EC">
      <w:r>
        <w:t xml:space="preserve">We have designated </w:t>
      </w:r>
      <w:r w:rsidRPr="00C71161">
        <w:t xml:space="preserve">QPIs and stratifying variables identified as important but </w:t>
      </w:r>
      <w:r>
        <w:t xml:space="preserve">for which data is </w:t>
      </w:r>
      <w:r w:rsidRPr="00C71161">
        <w:t xml:space="preserve">not currently available in a national data collection as </w:t>
      </w:r>
      <w:r>
        <w:t>‘</w:t>
      </w:r>
      <w:r w:rsidRPr="00C71161">
        <w:t>aspirational</w:t>
      </w:r>
      <w:r>
        <w:t>’ – indicated by the terms ‘yes’, ‘no’ and ‘partially’</w:t>
      </w:r>
      <w:r w:rsidRPr="00C71161">
        <w:t xml:space="preserve">. Where </w:t>
      </w:r>
      <w:r>
        <w:t>a QPI cannot be calculated, Te Aho o Te Kahu will consider options to ensure that, if possible, it can be measured in future.</w:t>
      </w:r>
    </w:p>
    <w:p w14:paraId="7260E171" w14:textId="77777777" w:rsidR="000B70EC" w:rsidRDefault="000B70EC" w:rsidP="000B70EC"/>
    <w:p w14:paraId="09B58DE9" w14:textId="77777777" w:rsidR="000B70EC" w:rsidRPr="00C71161" w:rsidRDefault="000B70EC" w:rsidP="000B70EC">
      <w:r w:rsidRPr="00C71161">
        <w:t>This document refers to the following national data sources</w:t>
      </w:r>
      <w:r>
        <w:t>:</w:t>
      </w:r>
    </w:p>
    <w:p w14:paraId="1511DFD1" w14:textId="77777777" w:rsidR="000B70EC" w:rsidRPr="00C71161" w:rsidRDefault="000B70EC" w:rsidP="000B70EC">
      <w:pPr>
        <w:pStyle w:val="Bullet"/>
      </w:pPr>
      <w:r w:rsidRPr="00C71161">
        <w:rPr>
          <w:b/>
        </w:rPr>
        <w:t>Mortality Collection</w:t>
      </w:r>
      <w:r w:rsidRPr="00C71161">
        <w:t xml:space="preserve"> – </w:t>
      </w:r>
      <w:r>
        <w:t xml:space="preserve">this </w:t>
      </w:r>
      <w:r w:rsidRPr="00C71161">
        <w:t>classifies the underlying cause of death for all deaths registered in New Zealand</w:t>
      </w:r>
    </w:p>
    <w:p w14:paraId="69C402EE" w14:textId="77777777" w:rsidR="000B70EC" w:rsidRPr="00C71161" w:rsidRDefault="000B70EC" w:rsidP="000B70EC">
      <w:pPr>
        <w:pStyle w:val="Bullet"/>
      </w:pPr>
      <w:r w:rsidRPr="00C71161">
        <w:rPr>
          <w:b/>
        </w:rPr>
        <w:t>New Zealand Cancer Registry (NZCR)</w:t>
      </w:r>
      <w:r w:rsidRPr="00C71161">
        <w:t xml:space="preserve"> – </w:t>
      </w:r>
      <w:r>
        <w:t xml:space="preserve">this is </w:t>
      </w:r>
      <w:r w:rsidRPr="00C71161">
        <w:t>a population-based register of all primary malignant diseases diagnosed in New Zealand, excluding squamous and basal cell skin cancers</w:t>
      </w:r>
    </w:p>
    <w:p w14:paraId="1FB15288" w14:textId="77777777" w:rsidR="000B70EC" w:rsidRPr="00C71161" w:rsidRDefault="000B70EC" w:rsidP="000B70EC">
      <w:pPr>
        <w:pStyle w:val="Bullet"/>
        <w:keepNext/>
      </w:pPr>
      <w:r w:rsidRPr="00C71161">
        <w:rPr>
          <w:b/>
        </w:rPr>
        <w:lastRenderedPageBreak/>
        <w:t>National Minimum Dataset (NMDS)</w:t>
      </w:r>
      <w:r w:rsidRPr="00C71161">
        <w:t xml:space="preserve"> – </w:t>
      </w:r>
      <w:r>
        <w:t xml:space="preserve">this is </w:t>
      </w:r>
      <w:r w:rsidRPr="00C71161">
        <w:t>a collection of public and private hospital discharge information, including coded clinical data for inpatients and day patients</w:t>
      </w:r>
    </w:p>
    <w:p w14:paraId="70B7FEB9" w14:textId="77777777" w:rsidR="000B70EC" w:rsidRPr="00C71161" w:rsidRDefault="000B70EC" w:rsidP="000B70EC">
      <w:pPr>
        <w:pStyle w:val="Bullet"/>
      </w:pPr>
      <w:r w:rsidRPr="00C71161">
        <w:rPr>
          <w:b/>
        </w:rPr>
        <w:t>National Non-Admitted Patients Collection (NNPAC)</w:t>
      </w:r>
      <w:r w:rsidRPr="00C71161">
        <w:t xml:space="preserve"> – </w:t>
      </w:r>
      <w:r>
        <w:t xml:space="preserve">this </w:t>
      </w:r>
      <w:r w:rsidRPr="00C71161">
        <w:t>includes event-based purchase units that relate to medical and surgical outpatient events and emergency department events</w:t>
      </w:r>
    </w:p>
    <w:p w14:paraId="5DB3FECF" w14:textId="77777777" w:rsidR="000B70EC" w:rsidRPr="00C71161" w:rsidRDefault="000B70EC" w:rsidP="000B70EC">
      <w:pPr>
        <w:pStyle w:val="Bullet"/>
      </w:pPr>
      <w:r w:rsidRPr="00C71161">
        <w:rPr>
          <w:b/>
        </w:rPr>
        <w:t>Pharmaceutical Collection (PHARMS)</w:t>
      </w:r>
      <w:r w:rsidRPr="00C71161">
        <w:t xml:space="preserve"> – </w:t>
      </w:r>
      <w:r>
        <w:t xml:space="preserve">this is </w:t>
      </w:r>
      <w:r w:rsidRPr="00C71161">
        <w:t>a data warehouse that supports the management of pharmaceutical subsidies and contains claim and payment information from pharmacists for subsidised dispensings</w:t>
      </w:r>
      <w:r>
        <w:t>.</w:t>
      </w:r>
    </w:p>
    <w:p w14:paraId="5D4331ED" w14:textId="77777777" w:rsidR="000B70EC" w:rsidRDefault="000B70EC" w:rsidP="000B70EC"/>
    <w:p w14:paraId="75DF2C0F" w14:textId="77777777" w:rsidR="000B70EC" w:rsidRDefault="000B70EC" w:rsidP="000B70EC">
      <w:r>
        <w:t xml:space="preserve">Other data sources, such as the Radiation Oncology Collection (ROC), the Faster Cancer Treatment (FCT) dataset and the Prostate Cancer Outcomes Registry – Australia and New Zealand (PCOR – ANZ) are mentioned in this report. However, when it came to calculating the QPIs these sources were not used because, as explained for PCOR below, for the </w:t>
      </w:r>
      <w:proofErr w:type="gramStart"/>
      <w:r>
        <w:t>time period</w:t>
      </w:r>
      <w:proofErr w:type="gramEnd"/>
      <w:r>
        <w:t xml:space="preserve"> in question they did not meet the criteria of being a robust, complete national data collections.</w:t>
      </w:r>
    </w:p>
    <w:p w14:paraId="0DAA28EC" w14:textId="77777777" w:rsidR="000B70EC" w:rsidRDefault="000B70EC" w:rsidP="000B70EC"/>
    <w:p w14:paraId="53F0A7BF" w14:textId="77777777" w:rsidR="000B70EC" w:rsidRDefault="000B70EC" w:rsidP="000B70EC">
      <w:r w:rsidRPr="00C71161">
        <w:t xml:space="preserve">More information on these data sources can be found on the Ministry of Health’s website: </w:t>
      </w:r>
      <w:hyperlink r:id="rId22" w:history="1">
        <w:r w:rsidRPr="000B70EC">
          <w:rPr>
            <w:rStyle w:val="Hyperlink"/>
          </w:rPr>
          <w:t>www.health.govt.nz</w:t>
        </w:r>
      </w:hyperlink>
      <w:r w:rsidRPr="00C71161">
        <w:t>.</w:t>
      </w:r>
    </w:p>
    <w:p w14:paraId="52602533" w14:textId="77777777" w:rsidR="000B70EC" w:rsidRPr="00C71161" w:rsidRDefault="000B70EC" w:rsidP="000B70EC"/>
    <w:p w14:paraId="4D7FF50F" w14:textId="77777777" w:rsidR="000B70EC" w:rsidRPr="00C71161" w:rsidRDefault="000B70EC" w:rsidP="000B70EC">
      <w:pPr>
        <w:pStyle w:val="Heading2"/>
      </w:pPr>
      <w:bookmarkStart w:id="24" w:name="_Toc79501557"/>
      <w:bookmarkStart w:id="25" w:name="_Toc82433277"/>
      <w:bookmarkEnd w:id="23"/>
      <w:r w:rsidRPr="00C71161">
        <w:rPr>
          <w:lang w:val="en-AU"/>
        </w:rPr>
        <w:t>Prostate Cancer Outcomes Registry – Australia and New</w:t>
      </w:r>
      <w:r>
        <w:rPr>
          <w:lang w:val="en-AU"/>
        </w:rPr>
        <w:t> </w:t>
      </w:r>
      <w:r w:rsidRPr="00C71161">
        <w:rPr>
          <w:lang w:val="en-AU"/>
        </w:rPr>
        <w:t>Zealand</w:t>
      </w:r>
      <w:bookmarkEnd w:id="24"/>
      <w:bookmarkEnd w:id="25"/>
    </w:p>
    <w:p w14:paraId="40E930FE" w14:textId="77777777" w:rsidR="000B70EC" w:rsidRPr="00A400CF" w:rsidRDefault="000B70EC" w:rsidP="000B70EC">
      <w:r w:rsidRPr="00C71161">
        <w:t>PCOR-ANZ holds clinical and patient-reported data on key measures of prostate cancer diagnosis, management and outcomes for men diagnosed with prostate cancer in Australia and</w:t>
      </w:r>
      <w:r>
        <w:t xml:space="preserve"> Aotearoa</w:t>
      </w:r>
      <w:r w:rsidRPr="00C71161">
        <w:t xml:space="preserve"> New </w:t>
      </w:r>
      <w:r w:rsidRPr="00A400CF">
        <w:t>Zealand.</w:t>
      </w:r>
    </w:p>
    <w:p w14:paraId="4D09535E" w14:textId="77777777" w:rsidR="000B70EC" w:rsidRDefault="000B70EC" w:rsidP="000B70EC"/>
    <w:p w14:paraId="79D027D8" w14:textId="77777777" w:rsidR="000B70EC" w:rsidRPr="00A400CF" w:rsidRDefault="000B70EC" w:rsidP="000B70EC">
      <w:r w:rsidRPr="00A400CF">
        <w:t>Since 2016, DHBs have progressively joined PCOR-</w:t>
      </w:r>
      <w:r>
        <w:t>A</w:t>
      </w:r>
      <w:r w:rsidRPr="00A400CF">
        <w:t>NZ and begun to contribute data</w:t>
      </w:r>
      <w:r>
        <w:t xml:space="preserve"> to it</w:t>
      </w:r>
      <w:r w:rsidRPr="00A400CF">
        <w:t xml:space="preserve">. As </w:t>
      </w:r>
      <w:proofErr w:type="gramStart"/>
      <w:r w:rsidRPr="00A400CF">
        <w:t>at</w:t>
      </w:r>
      <w:proofErr w:type="gramEnd"/>
      <w:r w:rsidRPr="00A400CF">
        <w:t xml:space="preserve"> Jan</w:t>
      </w:r>
      <w:r>
        <w:t>uary</w:t>
      </w:r>
      <w:r w:rsidRPr="00A400CF">
        <w:t xml:space="preserve"> 2021, 100</w:t>
      </w:r>
      <w:r>
        <w:t> percent</w:t>
      </w:r>
      <w:r w:rsidRPr="00A400CF">
        <w:t xml:space="preserve"> of DHBs are now actively participating, </w:t>
      </w:r>
      <w:r>
        <w:t xml:space="preserve">and </w:t>
      </w:r>
      <w:r w:rsidRPr="00A400CF">
        <w:t>an estimated 98</w:t>
      </w:r>
      <w:r>
        <w:t> percent</w:t>
      </w:r>
      <w:r w:rsidRPr="00A400CF">
        <w:t xml:space="preserve"> of all cases diagnosed in the public system </w:t>
      </w:r>
      <w:r>
        <w:t xml:space="preserve">are </w:t>
      </w:r>
      <w:r w:rsidRPr="00A400CF">
        <w:t>being notified to PCOR-</w:t>
      </w:r>
      <w:r>
        <w:t>ANZ.</w:t>
      </w:r>
    </w:p>
    <w:p w14:paraId="41957C7C" w14:textId="77777777" w:rsidR="000B70EC" w:rsidRDefault="000B70EC" w:rsidP="000B70EC"/>
    <w:p w14:paraId="1ED573FF" w14:textId="77777777" w:rsidR="000B70EC" w:rsidRPr="00C71161" w:rsidRDefault="000B70EC" w:rsidP="000B70EC">
      <w:r w:rsidRPr="00956F58">
        <w:t xml:space="preserve">DHB coverage was incomplete in the </w:t>
      </w:r>
      <w:proofErr w:type="gramStart"/>
      <w:r w:rsidRPr="00956F58">
        <w:t>time period</w:t>
      </w:r>
      <w:proofErr w:type="gramEnd"/>
      <w:r w:rsidRPr="00956F58">
        <w:t xml:space="preserve"> (2016–18) used for analysis in the Prostate Cancer Quality Monitoring Report, so the data has not been included. However, the PCOR-ANZ registry data set will contribute to the measurability of further QPIs in the future.</w:t>
      </w:r>
    </w:p>
    <w:p w14:paraId="7DCFB408" w14:textId="77777777" w:rsidR="00A63C3E" w:rsidRPr="00C71161" w:rsidRDefault="00A63C3E" w:rsidP="000B70EC"/>
    <w:p w14:paraId="243A922A" w14:textId="77777777" w:rsidR="00A23E54" w:rsidRPr="00C71161" w:rsidRDefault="00A23E54" w:rsidP="008158F5">
      <w:pPr>
        <w:pStyle w:val="Heading2"/>
      </w:pPr>
      <w:bookmarkStart w:id="26" w:name="_Toc45525005"/>
      <w:bookmarkStart w:id="27" w:name="_Toc64389638"/>
      <w:bookmarkStart w:id="28" w:name="_Toc64557750"/>
      <w:bookmarkStart w:id="29" w:name="_Toc79501558"/>
      <w:bookmarkStart w:id="30" w:name="_Toc82433278"/>
      <w:r w:rsidRPr="00C71161">
        <w:lastRenderedPageBreak/>
        <w:t>Glossary and abbreviations</w:t>
      </w:r>
      <w:bookmarkEnd w:id="26"/>
      <w:bookmarkEnd w:id="27"/>
      <w:bookmarkEnd w:id="28"/>
      <w:bookmarkEnd w:id="29"/>
      <w:bookmarkEnd w:id="30"/>
    </w:p>
    <w:p w14:paraId="76062774" w14:textId="77777777" w:rsidR="00A23E54" w:rsidRDefault="009C7A79" w:rsidP="008158F5">
      <w:pPr>
        <w:keepNext/>
      </w:pPr>
      <w:r w:rsidRPr="009C7A79">
        <w:t>The following terms are used in the body of this report.</w:t>
      </w:r>
    </w:p>
    <w:p w14:paraId="652470F1" w14:textId="77777777" w:rsidR="008158F5" w:rsidRPr="00C71161" w:rsidRDefault="008158F5" w:rsidP="008158F5">
      <w:pPr>
        <w:keepNext/>
      </w:pPr>
    </w:p>
    <w:tbl>
      <w:tblPr>
        <w:tblW w:w="4931" w:type="pct"/>
        <w:tblInd w:w="57" w:type="dxa"/>
        <w:tblLayout w:type="fixed"/>
        <w:tblCellMar>
          <w:left w:w="57" w:type="dxa"/>
          <w:right w:w="57" w:type="dxa"/>
        </w:tblCellMar>
        <w:tblLook w:val="04A0" w:firstRow="1" w:lastRow="0" w:firstColumn="1" w:lastColumn="0" w:noHBand="0" w:noVBand="1"/>
      </w:tblPr>
      <w:tblGrid>
        <w:gridCol w:w="2378"/>
        <w:gridCol w:w="5702"/>
      </w:tblGrid>
      <w:tr w:rsidR="00A23E54" w:rsidRPr="008158F5" w14:paraId="1BDE0179" w14:textId="77777777" w:rsidTr="00F329CB">
        <w:trPr>
          <w:cantSplit/>
          <w:tblHeader/>
        </w:trPr>
        <w:tc>
          <w:tcPr>
            <w:tcW w:w="2378" w:type="dxa"/>
            <w:tcBorders>
              <w:bottom w:val="single" w:sz="4" w:space="0" w:color="C2D9BA"/>
            </w:tcBorders>
            <w:shd w:val="clear" w:color="auto" w:fill="C2D9BA"/>
          </w:tcPr>
          <w:p w14:paraId="420DCBA8" w14:textId="77777777" w:rsidR="00A23E54" w:rsidRPr="008158F5" w:rsidRDefault="00A23E54" w:rsidP="008158F5">
            <w:pPr>
              <w:pStyle w:val="TableText"/>
              <w:keepNext/>
              <w:ind w:right="57"/>
              <w:rPr>
                <w:b/>
              </w:rPr>
            </w:pPr>
            <w:r w:rsidRPr="008158F5">
              <w:rPr>
                <w:b/>
              </w:rPr>
              <w:t>Term</w:t>
            </w:r>
          </w:p>
        </w:tc>
        <w:tc>
          <w:tcPr>
            <w:tcW w:w="5702" w:type="dxa"/>
            <w:tcBorders>
              <w:bottom w:val="single" w:sz="4" w:space="0" w:color="C2D9BA"/>
            </w:tcBorders>
            <w:shd w:val="clear" w:color="auto" w:fill="C2D9BA"/>
          </w:tcPr>
          <w:p w14:paraId="264ABA68" w14:textId="77777777" w:rsidR="00A23E54" w:rsidRPr="008158F5" w:rsidRDefault="00A23E54" w:rsidP="008158F5">
            <w:pPr>
              <w:pStyle w:val="TableText"/>
              <w:keepNext/>
              <w:rPr>
                <w:b/>
              </w:rPr>
            </w:pPr>
            <w:r w:rsidRPr="008158F5">
              <w:rPr>
                <w:b/>
              </w:rPr>
              <w:t>Description</w:t>
            </w:r>
          </w:p>
        </w:tc>
      </w:tr>
      <w:tr w:rsidR="00F329CB" w:rsidRPr="00C71161" w14:paraId="163BDB4E" w14:textId="77777777" w:rsidTr="00F329CB">
        <w:trPr>
          <w:cantSplit/>
        </w:trPr>
        <w:tc>
          <w:tcPr>
            <w:tcW w:w="2378" w:type="dxa"/>
            <w:tcBorders>
              <w:top w:val="single" w:sz="4" w:space="0" w:color="C2D9BA"/>
              <w:bottom w:val="single" w:sz="4" w:space="0" w:color="C2D9BA"/>
            </w:tcBorders>
          </w:tcPr>
          <w:p w14:paraId="2EEB42B2" w14:textId="77777777" w:rsidR="00F329CB" w:rsidRPr="00C71161" w:rsidRDefault="00F329CB" w:rsidP="00F329CB">
            <w:pPr>
              <w:pStyle w:val="TableText"/>
              <w:ind w:right="113"/>
            </w:pPr>
            <w:r w:rsidRPr="00C71161">
              <w:t>Androgen deprivation therapy (ADT)</w:t>
            </w:r>
          </w:p>
        </w:tc>
        <w:tc>
          <w:tcPr>
            <w:tcW w:w="5702" w:type="dxa"/>
            <w:tcBorders>
              <w:top w:val="single" w:sz="4" w:space="0" w:color="C2D9BA"/>
              <w:bottom w:val="single" w:sz="4" w:space="0" w:color="C2D9BA"/>
            </w:tcBorders>
          </w:tcPr>
          <w:p w14:paraId="126A61EF" w14:textId="77777777" w:rsidR="00F329CB" w:rsidRPr="00C71161" w:rsidRDefault="00F329CB" w:rsidP="00F329CB">
            <w:pPr>
              <w:pStyle w:val="TableText"/>
            </w:pPr>
            <w:r>
              <w:t>A</w:t>
            </w:r>
            <w:r w:rsidRPr="00C71161">
              <w:t>n antihormone therapy whose main use is in treating prostate cancer. Prostate cancer cells usually require androgen hormones, such as testosterone, to grow. ADT reduces levels of androgen hormones, with drugs or surgery, to prevent the prostate cancer cells from growing.</w:t>
            </w:r>
          </w:p>
        </w:tc>
      </w:tr>
      <w:tr w:rsidR="00F329CB" w:rsidRPr="00C71161" w14:paraId="5B43E076" w14:textId="77777777" w:rsidTr="00F329CB">
        <w:trPr>
          <w:cantSplit/>
        </w:trPr>
        <w:tc>
          <w:tcPr>
            <w:tcW w:w="2378" w:type="dxa"/>
            <w:tcBorders>
              <w:top w:val="single" w:sz="4" w:space="0" w:color="C2D9BA"/>
              <w:bottom w:val="single" w:sz="4" w:space="0" w:color="C2D9BA"/>
            </w:tcBorders>
          </w:tcPr>
          <w:p w14:paraId="1158EBC6" w14:textId="77777777" w:rsidR="00F329CB" w:rsidRPr="00C71161" w:rsidRDefault="00F329CB" w:rsidP="00F329CB">
            <w:pPr>
              <w:pStyle w:val="TableText"/>
              <w:ind w:right="113"/>
              <w:rPr>
                <w:bCs/>
              </w:rPr>
            </w:pPr>
            <w:r w:rsidRPr="00C71161">
              <w:t>Computed tomography (CT)</w:t>
            </w:r>
          </w:p>
        </w:tc>
        <w:tc>
          <w:tcPr>
            <w:tcW w:w="5702" w:type="dxa"/>
            <w:tcBorders>
              <w:top w:val="single" w:sz="4" w:space="0" w:color="C2D9BA"/>
              <w:bottom w:val="single" w:sz="4" w:space="0" w:color="C2D9BA"/>
            </w:tcBorders>
          </w:tcPr>
          <w:p w14:paraId="1B59B365" w14:textId="77777777" w:rsidR="00F329CB" w:rsidRPr="00C71161" w:rsidRDefault="00F329CB" w:rsidP="00F329CB">
            <w:pPr>
              <w:pStyle w:val="TableText"/>
            </w:pPr>
            <w:r w:rsidRPr="00C71161">
              <w:t xml:space="preserve">A procedure that uses a computer linked to an </w:t>
            </w:r>
            <w:r>
              <w:t>X</w:t>
            </w:r>
            <w:r w:rsidRPr="00C71161">
              <w:t xml:space="preserve">-ray machine to make a series of detailed pictures of areas inside the body. It may be used to diagnose cancer, plan </w:t>
            </w:r>
            <w:proofErr w:type="gramStart"/>
            <w:r w:rsidRPr="00C71161">
              <w:t>treatment</w:t>
            </w:r>
            <w:proofErr w:type="gramEnd"/>
            <w:r w:rsidRPr="00C71161">
              <w:t xml:space="preserve"> or find out how well treatment is working.</w:t>
            </w:r>
          </w:p>
        </w:tc>
      </w:tr>
      <w:tr w:rsidR="00F329CB" w:rsidRPr="00C71161" w14:paraId="02D8EE5E" w14:textId="77777777" w:rsidTr="00F329CB">
        <w:trPr>
          <w:cantSplit/>
        </w:trPr>
        <w:tc>
          <w:tcPr>
            <w:tcW w:w="2378" w:type="dxa"/>
            <w:tcBorders>
              <w:top w:val="single" w:sz="4" w:space="0" w:color="C2D9BA"/>
              <w:bottom w:val="single" w:sz="4" w:space="0" w:color="C2D9BA"/>
            </w:tcBorders>
          </w:tcPr>
          <w:p w14:paraId="5607069A" w14:textId="77777777" w:rsidR="00F329CB" w:rsidRPr="00C71161" w:rsidRDefault="00F329CB" w:rsidP="00F329CB">
            <w:pPr>
              <w:pStyle w:val="TableText"/>
              <w:ind w:right="113"/>
            </w:pPr>
            <w:r w:rsidRPr="00C71161">
              <w:t>Expanded Prostate Cancer Index Composite (EPIC)</w:t>
            </w:r>
          </w:p>
        </w:tc>
        <w:tc>
          <w:tcPr>
            <w:tcW w:w="5702" w:type="dxa"/>
            <w:tcBorders>
              <w:top w:val="single" w:sz="4" w:space="0" w:color="C2D9BA"/>
              <w:bottom w:val="single" w:sz="4" w:space="0" w:color="C2D9BA"/>
            </w:tcBorders>
          </w:tcPr>
          <w:p w14:paraId="669525D3" w14:textId="77777777" w:rsidR="00F329CB" w:rsidRPr="008D0BCF" w:rsidRDefault="00F329CB" w:rsidP="00F329CB">
            <w:pPr>
              <w:pStyle w:val="TableText"/>
            </w:pPr>
            <w:r w:rsidRPr="008D0BCF">
              <w:t>A comprehensive instrument designed to evaluate patient function and bother after prostate cancer treatment.</w:t>
            </w:r>
          </w:p>
        </w:tc>
      </w:tr>
      <w:tr w:rsidR="00F329CB" w:rsidRPr="00C71161" w14:paraId="0C0EAF3F" w14:textId="77777777" w:rsidTr="00F329CB">
        <w:trPr>
          <w:cantSplit/>
        </w:trPr>
        <w:tc>
          <w:tcPr>
            <w:tcW w:w="2378" w:type="dxa"/>
            <w:tcBorders>
              <w:top w:val="single" w:sz="4" w:space="0" w:color="C2D9BA"/>
              <w:bottom w:val="single" w:sz="4" w:space="0" w:color="C2D9BA"/>
            </w:tcBorders>
          </w:tcPr>
          <w:p w14:paraId="573D300A" w14:textId="77777777" w:rsidR="00F329CB" w:rsidRPr="00C71161" w:rsidRDefault="00F329CB" w:rsidP="00F329CB">
            <w:pPr>
              <w:pStyle w:val="TableText"/>
              <w:ind w:right="113"/>
            </w:pPr>
            <w:r>
              <w:t>Faster Cancer Treatment (FCT)</w:t>
            </w:r>
          </w:p>
        </w:tc>
        <w:tc>
          <w:tcPr>
            <w:tcW w:w="5702" w:type="dxa"/>
            <w:tcBorders>
              <w:top w:val="single" w:sz="4" w:space="0" w:color="C2D9BA"/>
              <w:bottom w:val="single" w:sz="4" w:space="0" w:color="C2D9BA"/>
            </w:tcBorders>
          </w:tcPr>
          <w:p w14:paraId="6168C9B2" w14:textId="77777777" w:rsidR="00F329CB" w:rsidRPr="00B81386" w:rsidRDefault="00F329CB" w:rsidP="00F329CB">
            <w:pPr>
              <w:pStyle w:val="TableText"/>
            </w:pPr>
            <w:r>
              <w:t>Indicators that require district health boards to collect and report information on the times taken between referral with a high suspicion of cancer to diagnosis and treatment.</w:t>
            </w:r>
          </w:p>
        </w:tc>
      </w:tr>
      <w:tr w:rsidR="00F329CB" w:rsidRPr="00C71161" w14:paraId="1BF72DD7" w14:textId="77777777" w:rsidTr="00F329CB">
        <w:trPr>
          <w:cantSplit/>
        </w:trPr>
        <w:tc>
          <w:tcPr>
            <w:tcW w:w="2378" w:type="dxa"/>
            <w:tcBorders>
              <w:top w:val="single" w:sz="4" w:space="0" w:color="C2D9BA"/>
              <w:bottom w:val="single" w:sz="4" w:space="0" w:color="C2D9BA"/>
            </w:tcBorders>
          </w:tcPr>
          <w:p w14:paraId="2A65C7D9" w14:textId="77777777" w:rsidR="00F329CB" w:rsidRPr="00C71161" w:rsidRDefault="00F329CB" w:rsidP="00F329CB">
            <w:pPr>
              <w:pStyle w:val="TableText"/>
              <w:ind w:right="113"/>
            </w:pPr>
            <w:r>
              <w:t>First Specialist Appointment (FSA)</w:t>
            </w:r>
          </w:p>
        </w:tc>
        <w:tc>
          <w:tcPr>
            <w:tcW w:w="5702" w:type="dxa"/>
            <w:tcBorders>
              <w:top w:val="single" w:sz="4" w:space="0" w:color="C2D9BA"/>
              <w:bottom w:val="single" w:sz="4" w:space="0" w:color="C2D9BA"/>
            </w:tcBorders>
          </w:tcPr>
          <w:p w14:paraId="1DB0A002" w14:textId="77777777" w:rsidR="00F329CB" w:rsidRPr="00C71161" w:rsidRDefault="00F329CB" w:rsidP="00F329CB">
            <w:pPr>
              <w:pStyle w:val="TableText"/>
            </w:pPr>
            <w:r>
              <w:t>A person’s first appointment with a hospital based medical specialist.</w:t>
            </w:r>
          </w:p>
        </w:tc>
      </w:tr>
      <w:tr w:rsidR="00F329CB" w:rsidRPr="00C71161" w14:paraId="46468198" w14:textId="77777777" w:rsidTr="00F329CB">
        <w:trPr>
          <w:cantSplit/>
        </w:trPr>
        <w:tc>
          <w:tcPr>
            <w:tcW w:w="2378" w:type="dxa"/>
            <w:tcBorders>
              <w:top w:val="single" w:sz="4" w:space="0" w:color="C2D9BA"/>
              <w:bottom w:val="single" w:sz="4" w:space="0" w:color="C2D9BA"/>
            </w:tcBorders>
          </w:tcPr>
          <w:p w14:paraId="74A66506" w14:textId="77777777" w:rsidR="00F329CB" w:rsidRPr="00C71161" w:rsidRDefault="00F329CB" w:rsidP="00F329CB">
            <w:pPr>
              <w:pStyle w:val="TableText"/>
              <w:ind w:right="113"/>
            </w:pPr>
            <w:r w:rsidRPr="00C71161">
              <w:t>Gleason grade</w:t>
            </w:r>
          </w:p>
        </w:tc>
        <w:tc>
          <w:tcPr>
            <w:tcW w:w="5702" w:type="dxa"/>
            <w:tcBorders>
              <w:top w:val="single" w:sz="4" w:space="0" w:color="C2D9BA"/>
              <w:bottom w:val="single" w:sz="4" w:space="0" w:color="C2D9BA"/>
            </w:tcBorders>
          </w:tcPr>
          <w:p w14:paraId="2E7E81CE" w14:textId="77777777" w:rsidR="00F329CB" w:rsidRPr="00C71161" w:rsidRDefault="00F329CB" w:rsidP="00F329CB">
            <w:pPr>
              <w:pStyle w:val="TableText"/>
            </w:pPr>
            <w:r w:rsidRPr="00C71161">
              <w:t xml:space="preserve">A grading system that helps evaluate the prognosis of men with prostate cancer using samples from a prostate biopsy. Pathologists assess </w:t>
            </w:r>
            <w:r>
              <w:t xml:space="preserve">the extent to which </w:t>
            </w:r>
            <w:r w:rsidRPr="00C71161">
              <w:t>the cells in the cancerous tissue look like normal prostate tissue under the microscope. They will then assign one</w:t>
            </w:r>
            <w:r>
              <w:t xml:space="preserve"> </w:t>
            </w:r>
            <w:r w:rsidRPr="00C71161">
              <w:t>Gleason grade</w:t>
            </w:r>
            <w:r>
              <w:t xml:space="preserve"> </w:t>
            </w:r>
            <w:r w:rsidRPr="00C71161">
              <w:t xml:space="preserve">to the most predominant pattern in the biopsy and a second Gleason grade to the second most predominant pattern. The </w:t>
            </w:r>
            <w:r>
              <w:t xml:space="preserve">sum of the </w:t>
            </w:r>
            <w:r w:rsidRPr="00C71161">
              <w:t>two</w:t>
            </w:r>
            <w:r>
              <w:t xml:space="preserve"> </w:t>
            </w:r>
            <w:r w:rsidRPr="00C71161">
              <w:t>grades determine</w:t>
            </w:r>
            <w:r>
              <w:t>s</w:t>
            </w:r>
            <w:r w:rsidRPr="00C71161">
              <w:t xml:space="preserve"> the</w:t>
            </w:r>
            <w:r>
              <w:t xml:space="preserve"> </w:t>
            </w:r>
            <w:r w:rsidRPr="00C71161">
              <w:t>Gleason score.</w:t>
            </w:r>
          </w:p>
        </w:tc>
      </w:tr>
      <w:tr w:rsidR="00F329CB" w:rsidRPr="00C71161" w14:paraId="39EBA50C" w14:textId="77777777" w:rsidTr="00F329CB">
        <w:trPr>
          <w:cantSplit/>
        </w:trPr>
        <w:tc>
          <w:tcPr>
            <w:tcW w:w="2378" w:type="dxa"/>
            <w:tcBorders>
              <w:top w:val="single" w:sz="4" w:space="0" w:color="C2D9BA"/>
              <w:bottom w:val="single" w:sz="4" w:space="0" w:color="C2D9BA"/>
            </w:tcBorders>
          </w:tcPr>
          <w:p w14:paraId="19E6822E" w14:textId="77777777" w:rsidR="00F329CB" w:rsidRPr="00C71161" w:rsidRDefault="00F329CB" w:rsidP="00F329CB">
            <w:pPr>
              <w:pStyle w:val="TableText"/>
              <w:ind w:right="113"/>
            </w:pPr>
            <w:r w:rsidRPr="00C71161">
              <w:t>Gleason score</w:t>
            </w:r>
          </w:p>
        </w:tc>
        <w:tc>
          <w:tcPr>
            <w:tcW w:w="5702" w:type="dxa"/>
            <w:tcBorders>
              <w:top w:val="single" w:sz="4" w:space="0" w:color="C2D9BA"/>
              <w:bottom w:val="single" w:sz="4" w:space="0" w:color="C2D9BA"/>
            </w:tcBorders>
          </w:tcPr>
          <w:p w14:paraId="3B1CF002" w14:textId="77777777" w:rsidR="00F329CB" w:rsidRPr="00C71161" w:rsidRDefault="00F329CB" w:rsidP="00F329CB">
            <w:pPr>
              <w:pStyle w:val="TableText"/>
            </w:pPr>
            <w:r>
              <w:t>T</w:t>
            </w:r>
            <w:r w:rsidRPr="00C71161">
              <w:t xml:space="preserve">he sum of the </w:t>
            </w:r>
            <w:r>
              <w:t xml:space="preserve">two </w:t>
            </w:r>
            <w:r w:rsidRPr="00C71161">
              <w:t xml:space="preserve">predominant Gleason grades </w:t>
            </w:r>
            <w:r>
              <w:t xml:space="preserve">(see above); this </w:t>
            </w:r>
            <w:r w:rsidRPr="00C71161">
              <w:t xml:space="preserve">has been the main way of describing how aggressive prostate cancer looks under the microscope and how it is likely to behave. For example: Gleason grades 3 + 4 give a Gleason </w:t>
            </w:r>
            <w:r>
              <w:t>s</w:t>
            </w:r>
            <w:r w:rsidRPr="00C71161">
              <w:t>core of 7</w:t>
            </w:r>
            <w:r>
              <w:t>.</w:t>
            </w:r>
          </w:p>
          <w:p w14:paraId="603059A3" w14:textId="77777777" w:rsidR="00F329CB" w:rsidRPr="00C71161" w:rsidRDefault="00F329CB" w:rsidP="00F329CB">
            <w:pPr>
              <w:pStyle w:val="TableText"/>
            </w:pPr>
            <w:r w:rsidRPr="00C71161">
              <w:t xml:space="preserve">A Gleason score of 6 is low grade, </w:t>
            </w:r>
            <w:r>
              <w:t xml:space="preserve">a score of </w:t>
            </w:r>
            <w:r w:rsidRPr="00C71161">
              <w:t>7 is intermediate grade and a score of 8 to 10 is high grade.</w:t>
            </w:r>
          </w:p>
        </w:tc>
      </w:tr>
      <w:tr w:rsidR="00F329CB" w:rsidRPr="00C71161" w14:paraId="1B6E714F" w14:textId="77777777" w:rsidTr="00F329CB">
        <w:trPr>
          <w:cantSplit/>
        </w:trPr>
        <w:tc>
          <w:tcPr>
            <w:tcW w:w="2378" w:type="dxa"/>
            <w:tcBorders>
              <w:top w:val="single" w:sz="4" w:space="0" w:color="C2D9BA"/>
              <w:bottom w:val="single" w:sz="4" w:space="0" w:color="C2D9BA"/>
            </w:tcBorders>
          </w:tcPr>
          <w:p w14:paraId="2027873E" w14:textId="77777777" w:rsidR="00F329CB" w:rsidRPr="00C71161" w:rsidRDefault="00F329CB" w:rsidP="00F329CB">
            <w:pPr>
              <w:pStyle w:val="TableText"/>
              <w:ind w:right="113"/>
            </w:pPr>
            <w:r w:rsidRPr="00C71161">
              <w:t xml:space="preserve">International Society of Urological Pathology </w:t>
            </w:r>
            <w:r>
              <w:t>(</w:t>
            </w:r>
            <w:r w:rsidRPr="00C71161">
              <w:t>ISUP</w:t>
            </w:r>
            <w:r>
              <w:t>)</w:t>
            </w:r>
            <w:r w:rsidRPr="00C71161">
              <w:t xml:space="preserve"> grade group</w:t>
            </w:r>
          </w:p>
        </w:tc>
        <w:tc>
          <w:tcPr>
            <w:tcW w:w="5702" w:type="dxa"/>
            <w:tcBorders>
              <w:top w:val="single" w:sz="4" w:space="0" w:color="C2D9BA"/>
              <w:bottom w:val="single" w:sz="4" w:space="0" w:color="C2D9BA"/>
            </w:tcBorders>
          </w:tcPr>
          <w:p w14:paraId="277C0CBF" w14:textId="77777777" w:rsidR="00F329CB" w:rsidRDefault="00F329CB" w:rsidP="00F329CB">
            <w:pPr>
              <w:pStyle w:val="TableText"/>
            </w:pPr>
            <w:r w:rsidRPr="00C71161">
              <w:t xml:space="preserve">A revised prostate cancer grading system </w:t>
            </w:r>
            <w:r>
              <w:t xml:space="preserve">ISUP </w:t>
            </w:r>
            <w:r w:rsidRPr="00C71161">
              <w:t xml:space="preserve">released in 2014. This system is also referred to as </w:t>
            </w:r>
            <w:r>
              <w:t>g</w:t>
            </w:r>
            <w:r w:rsidRPr="00C71161">
              <w:t xml:space="preserve">rade </w:t>
            </w:r>
            <w:r>
              <w:t>g</w:t>
            </w:r>
            <w:r w:rsidRPr="00C71161">
              <w:t xml:space="preserve">roups. </w:t>
            </w:r>
            <w:r>
              <w:t xml:space="preserve">It comprises </w:t>
            </w:r>
            <w:r w:rsidRPr="00C71161">
              <w:t>five grades</w:t>
            </w:r>
            <w:r>
              <w:t xml:space="preserve"> as follows.</w:t>
            </w:r>
          </w:p>
          <w:tbl>
            <w:tblPr>
              <w:tblStyle w:val="TableGrid"/>
              <w:tblW w:w="0" w:type="auto"/>
              <w:tblBorders>
                <w:top w:val="single" w:sz="4" w:space="0" w:color="C2D9BA"/>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1818"/>
              <w:gridCol w:w="1559"/>
            </w:tblGrid>
            <w:tr w:rsidR="00F329CB" w:rsidRPr="00C71161" w14:paraId="128912BE" w14:textId="77777777" w:rsidTr="00F329CB">
              <w:tc>
                <w:tcPr>
                  <w:tcW w:w="1818" w:type="dxa"/>
                  <w:shd w:val="clear" w:color="auto" w:fill="C2D9BA"/>
                </w:tcPr>
                <w:p w14:paraId="5D01D034" w14:textId="77777777" w:rsidR="00F329CB" w:rsidRPr="00F329CB" w:rsidRDefault="00F329CB" w:rsidP="006E2EB8">
                  <w:pPr>
                    <w:pStyle w:val="TableText"/>
                    <w:rPr>
                      <w:b/>
                    </w:rPr>
                  </w:pPr>
                  <w:r w:rsidRPr="00F329CB">
                    <w:rPr>
                      <w:b/>
                    </w:rPr>
                    <w:t>Grade group</w:t>
                  </w:r>
                </w:p>
              </w:tc>
              <w:tc>
                <w:tcPr>
                  <w:tcW w:w="1559" w:type="dxa"/>
                  <w:shd w:val="clear" w:color="auto" w:fill="C2D9BA"/>
                </w:tcPr>
                <w:p w14:paraId="299D4C69" w14:textId="77777777" w:rsidR="00F329CB" w:rsidRPr="00F329CB" w:rsidRDefault="00F329CB" w:rsidP="006E2EB8">
                  <w:pPr>
                    <w:pStyle w:val="TableText"/>
                    <w:rPr>
                      <w:b/>
                    </w:rPr>
                  </w:pPr>
                  <w:r w:rsidRPr="00F329CB">
                    <w:rPr>
                      <w:b/>
                    </w:rPr>
                    <w:t>Gleason score</w:t>
                  </w:r>
                </w:p>
              </w:tc>
            </w:tr>
            <w:tr w:rsidR="00F329CB" w:rsidRPr="00C71161" w14:paraId="054D70F9" w14:textId="77777777" w:rsidTr="00F329CB">
              <w:tc>
                <w:tcPr>
                  <w:tcW w:w="1818" w:type="dxa"/>
                </w:tcPr>
                <w:p w14:paraId="2FA0B826" w14:textId="77777777" w:rsidR="00F329CB" w:rsidRPr="00C71161" w:rsidRDefault="00F329CB" w:rsidP="006E2EB8">
                  <w:pPr>
                    <w:pStyle w:val="TableText"/>
                  </w:pPr>
                  <w:r w:rsidRPr="00C71161">
                    <w:t xml:space="preserve">Grade </w:t>
                  </w:r>
                  <w:r>
                    <w:t>g</w:t>
                  </w:r>
                  <w:r w:rsidRPr="00C71161">
                    <w:t>roup 1</w:t>
                  </w:r>
                </w:p>
              </w:tc>
              <w:tc>
                <w:tcPr>
                  <w:tcW w:w="1559" w:type="dxa"/>
                </w:tcPr>
                <w:p w14:paraId="43C55B54" w14:textId="77777777" w:rsidR="00F329CB" w:rsidRPr="00C71161" w:rsidRDefault="00F329CB" w:rsidP="006E2EB8">
                  <w:pPr>
                    <w:pStyle w:val="TableText"/>
                  </w:pPr>
                  <w:r w:rsidRPr="00C71161">
                    <w:rPr>
                      <w:rFonts w:cstheme="minorHAnsi"/>
                    </w:rPr>
                    <w:t>≤</w:t>
                  </w:r>
                  <w:r w:rsidRPr="00C71161">
                    <w:t xml:space="preserve"> 6 </w:t>
                  </w:r>
                </w:p>
              </w:tc>
            </w:tr>
            <w:tr w:rsidR="00F329CB" w:rsidRPr="00C71161" w14:paraId="3EF4A972" w14:textId="77777777" w:rsidTr="00F329CB">
              <w:tc>
                <w:tcPr>
                  <w:tcW w:w="1818" w:type="dxa"/>
                </w:tcPr>
                <w:p w14:paraId="06F3B091" w14:textId="77777777" w:rsidR="00F329CB" w:rsidRPr="00C71161" w:rsidRDefault="00F329CB" w:rsidP="006E2EB8">
                  <w:pPr>
                    <w:pStyle w:val="TableText"/>
                  </w:pPr>
                  <w:r w:rsidRPr="00C71161">
                    <w:t xml:space="preserve">Grade </w:t>
                  </w:r>
                  <w:r>
                    <w:t>g</w:t>
                  </w:r>
                  <w:r w:rsidRPr="00C71161">
                    <w:t>roup 2</w:t>
                  </w:r>
                </w:p>
              </w:tc>
              <w:tc>
                <w:tcPr>
                  <w:tcW w:w="1559" w:type="dxa"/>
                </w:tcPr>
                <w:p w14:paraId="4DC94F51" w14:textId="77777777" w:rsidR="00F329CB" w:rsidRPr="00C71161" w:rsidRDefault="00F329CB" w:rsidP="006E2EB8">
                  <w:pPr>
                    <w:pStyle w:val="TableText"/>
                  </w:pPr>
                  <w:r w:rsidRPr="00C71161">
                    <w:t>7 (3 + 4)</w:t>
                  </w:r>
                </w:p>
              </w:tc>
            </w:tr>
            <w:tr w:rsidR="00F329CB" w:rsidRPr="00C71161" w14:paraId="06954A7B" w14:textId="77777777" w:rsidTr="00F329CB">
              <w:tc>
                <w:tcPr>
                  <w:tcW w:w="1818" w:type="dxa"/>
                </w:tcPr>
                <w:p w14:paraId="4B155E25" w14:textId="77777777" w:rsidR="00F329CB" w:rsidRPr="00C71161" w:rsidRDefault="00F329CB" w:rsidP="006E2EB8">
                  <w:pPr>
                    <w:pStyle w:val="TableText"/>
                  </w:pPr>
                  <w:r w:rsidRPr="00C71161">
                    <w:t xml:space="preserve">Grade </w:t>
                  </w:r>
                  <w:r>
                    <w:t>g</w:t>
                  </w:r>
                  <w:r w:rsidRPr="00C71161">
                    <w:t>roup 3</w:t>
                  </w:r>
                </w:p>
              </w:tc>
              <w:tc>
                <w:tcPr>
                  <w:tcW w:w="1559" w:type="dxa"/>
                </w:tcPr>
                <w:p w14:paraId="0DC98238" w14:textId="77777777" w:rsidR="00F329CB" w:rsidRPr="00C71161" w:rsidRDefault="00F329CB" w:rsidP="006E2EB8">
                  <w:pPr>
                    <w:pStyle w:val="TableText"/>
                  </w:pPr>
                  <w:r w:rsidRPr="00C71161">
                    <w:t>7 (4 + 3)</w:t>
                  </w:r>
                </w:p>
              </w:tc>
            </w:tr>
            <w:tr w:rsidR="00F329CB" w:rsidRPr="00C71161" w14:paraId="23E330D5" w14:textId="77777777" w:rsidTr="00F329CB">
              <w:tc>
                <w:tcPr>
                  <w:tcW w:w="1818" w:type="dxa"/>
                </w:tcPr>
                <w:p w14:paraId="285703A3" w14:textId="77777777" w:rsidR="00F329CB" w:rsidRPr="00C71161" w:rsidRDefault="00F329CB" w:rsidP="006E2EB8">
                  <w:pPr>
                    <w:pStyle w:val="TableText"/>
                  </w:pPr>
                  <w:r w:rsidRPr="00C71161">
                    <w:t xml:space="preserve">Grade </w:t>
                  </w:r>
                  <w:r>
                    <w:t>g</w:t>
                  </w:r>
                  <w:r w:rsidRPr="00C71161">
                    <w:t>roup 4</w:t>
                  </w:r>
                </w:p>
              </w:tc>
              <w:tc>
                <w:tcPr>
                  <w:tcW w:w="1559" w:type="dxa"/>
                </w:tcPr>
                <w:p w14:paraId="2D334B79" w14:textId="77777777" w:rsidR="00F329CB" w:rsidRPr="00C71161" w:rsidRDefault="00F329CB" w:rsidP="006E2EB8">
                  <w:pPr>
                    <w:pStyle w:val="TableText"/>
                  </w:pPr>
                  <w:r w:rsidRPr="00C71161">
                    <w:t>8</w:t>
                  </w:r>
                </w:p>
              </w:tc>
            </w:tr>
            <w:tr w:rsidR="00F329CB" w:rsidRPr="00C71161" w14:paraId="5F0B169D" w14:textId="77777777" w:rsidTr="00F329CB">
              <w:tc>
                <w:tcPr>
                  <w:tcW w:w="1818" w:type="dxa"/>
                </w:tcPr>
                <w:p w14:paraId="5DD526FB" w14:textId="77777777" w:rsidR="00F329CB" w:rsidRPr="00C71161" w:rsidRDefault="00F329CB" w:rsidP="006E2EB8">
                  <w:pPr>
                    <w:pStyle w:val="TableText"/>
                  </w:pPr>
                  <w:r w:rsidRPr="00C71161">
                    <w:t xml:space="preserve">Grade </w:t>
                  </w:r>
                  <w:r>
                    <w:t>g</w:t>
                  </w:r>
                  <w:r w:rsidRPr="00C71161">
                    <w:t>roup 5</w:t>
                  </w:r>
                </w:p>
              </w:tc>
              <w:tc>
                <w:tcPr>
                  <w:tcW w:w="1559" w:type="dxa"/>
                </w:tcPr>
                <w:p w14:paraId="55454F96" w14:textId="77777777" w:rsidR="00F329CB" w:rsidRPr="00C71161" w:rsidRDefault="00F329CB" w:rsidP="006E2EB8">
                  <w:pPr>
                    <w:pStyle w:val="TableText"/>
                  </w:pPr>
                  <w:r w:rsidRPr="00C71161">
                    <w:t>9</w:t>
                  </w:r>
                  <w:r>
                    <w:t>–</w:t>
                  </w:r>
                  <w:r w:rsidRPr="00C71161">
                    <w:t>10</w:t>
                  </w:r>
                </w:p>
              </w:tc>
            </w:tr>
          </w:tbl>
          <w:p w14:paraId="476F7F2B" w14:textId="77777777" w:rsidR="00F329CB" w:rsidRPr="00C71161" w:rsidRDefault="00F329CB" w:rsidP="00F329CB">
            <w:pPr>
              <w:pStyle w:val="TableText"/>
            </w:pPr>
            <w:r w:rsidRPr="00C71161">
              <w:t xml:space="preserve">ISUP grade group is another measure of how aggressive </w:t>
            </w:r>
            <w:r>
              <w:t>prostate</w:t>
            </w:r>
            <w:r w:rsidRPr="00C71161">
              <w:t xml:space="preserve"> cancer looks and is likely to behave.</w:t>
            </w:r>
          </w:p>
        </w:tc>
      </w:tr>
      <w:tr w:rsidR="00F329CB" w:rsidRPr="00C71161" w14:paraId="36377BB0" w14:textId="77777777" w:rsidTr="00F329CB">
        <w:trPr>
          <w:cantSplit/>
        </w:trPr>
        <w:tc>
          <w:tcPr>
            <w:tcW w:w="2378" w:type="dxa"/>
            <w:tcBorders>
              <w:top w:val="single" w:sz="4" w:space="0" w:color="C2D9BA"/>
              <w:bottom w:val="single" w:sz="4" w:space="0" w:color="C2D9BA"/>
            </w:tcBorders>
          </w:tcPr>
          <w:p w14:paraId="76FDB19F" w14:textId="77777777" w:rsidR="00F329CB" w:rsidRPr="00C71161" w:rsidRDefault="00F329CB" w:rsidP="00F329CB">
            <w:pPr>
              <w:pStyle w:val="TableText"/>
              <w:ind w:right="113"/>
            </w:pPr>
            <w:r w:rsidRPr="00C71161">
              <w:lastRenderedPageBreak/>
              <w:t>Magnetic resonance imaging (MRI)</w:t>
            </w:r>
          </w:p>
        </w:tc>
        <w:tc>
          <w:tcPr>
            <w:tcW w:w="5702" w:type="dxa"/>
            <w:tcBorders>
              <w:top w:val="single" w:sz="4" w:space="0" w:color="C2D9BA"/>
              <w:bottom w:val="single" w:sz="4" w:space="0" w:color="C2D9BA"/>
            </w:tcBorders>
          </w:tcPr>
          <w:p w14:paraId="7D941D5D" w14:textId="77777777" w:rsidR="00F329CB" w:rsidRPr="00C71161" w:rsidRDefault="00F329CB" w:rsidP="00F329CB">
            <w:pPr>
              <w:pStyle w:val="TableText"/>
            </w:pPr>
            <w:r w:rsidRPr="00C71161">
              <w:t>A procedure in which radio waves and a powerful magnet linked to a computer are used to create detailed pictures of areas inside the body</w:t>
            </w:r>
            <w:r>
              <w:t>.</w:t>
            </w:r>
            <w:r w:rsidRPr="00C71161">
              <w:t xml:space="preserve"> Sagittal MRI describes an anatomical plane which divides the body into right and left parts.</w:t>
            </w:r>
            <w:r>
              <w:t xml:space="preserve"> Multiparametric MRI describes a method of obtaining a detailed three-dimensional image of the prostate by using several different MRI techniques.</w:t>
            </w:r>
          </w:p>
        </w:tc>
      </w:tr>
      <w:tr w:rsidR="00F329CB" w:rsidRPr="00C71161" w14:paraId="3550F1BC" w14:textId="77777777" w:rsidTr="00F329CB">
        <w:trPr>
          <w:cantSplit/>
        </w:trPr>
        <w:tc>
          <w:tcPr>
            <w:tcW w:w="2378" w:type="dxa"/>
            <w:tcBorders>
              <w:top w:val="single" w:sz="4" w:space="0" w:color="C2D9BA"/>
              <w:bottom w:val="single" w:sz="4" w:space="0" w:color="C2D9BA"/>
            </w:tcBorders>
          </w:tcPr>
          <w:p w14:paraId="0990CF01" w14:textId="77777777" w:rsidR="00F329CB" w:rsidRPr="00C71161" w:rsidRDefault="00F329CB" w:rsidP="00F329CB">
            <w:pPr>
              <w:pStyle w:val="TableText"/>
              <w:ind w:right="113"/>
              <w:rPr>
                <w:iCs/>
              </w:rPr>
            </w:pPr>
            <w:r w:rsidRPr="00C71161">
              <w:t>Multidisciplinary meeting (MDM)</w:t>
            </w:r>
          </w:p>
        </w:tc>
        <w:tc>
          <w:tcPr>
            <w:tcW w:w="5702" w:type="dxa"/>
            <w:tcBorders>
              <w:top w:val="single" w:sz="4" w:space="0" w:color="C2D9BA"/>
              <w:bottom w:val="single" w:sz="4" w:space="0" w:color="C2D9BA"/>
            </w:tcBorders>
          </w:tcPr>
          <w:p w14:paraId="13621875" w14:textId="77777777" w:rsidR="00F329CB" w:rsidRPr="00C71161" w:rsidRDefault="00F329CB" w:rsidP="00F329CB">
            <w:pPr>
              <w:pStyle w:val="TableText"/>
              <w:rPr>
                <w:iCs/>
              </w:rPr>
            </w:pPr>
            <w:r w:rsidRPr="00C71161">
              <w:t xml:space="preserve">A treatment planning approach in which </w:t>
            </w:r>
            <w:r>
              <w:t xml:space="preserve">a </w:t>
            </w:r>
            <w:r w:rsidRPr="00C71161">
              <w:t>m</w:t>
            </w:r>
            <w:r w:rsidRPr="00C71161">
              <w:rPr>
                <w:bCs/>
              </w:rPr>
              <w:t>ultidisciplinary team</w:t>
            </w:r>
            <w:r w:rsidRPr="00C71161">
              <w:t xml:space="preserve"> review</w:t>
            </w:r>
            <w:r>
              <w:t>s</w:t>
            </w:r>
            <w:r w:rsidRPr="00C71161">
              <w:t xml:space="preserve"> and discuss</w:t>
            </w:r>
            <w:r>
              <w:t>es</w:t>
            </w:r>
            <w:r w:rsidRPr="00C71161">
              <w:t xml:space="preserve"> the medical condition and treatment options of a </w:t>
            </w:r>
            <w:r>
              <w:t xml:space="preserve">particular </w:t>
            </w:r>
            <w:r w:rsidRPr="00C71161">
              <w:t>patient</w:t>
            </w:r>
            <w:r>
              <w:t>.</w:t>
            </w:r>
          </w:p>
        </w:tc>
      </w:tr>
      <w:tr w:rsidR="00F329CB" w:rsidRPr="00C71161" w14:paraId="184DB17F" w14:textId="77777777" w:rsidTr="00F329CB">
        <w:trPr>
          <w:cantSplit/>
        </w:trPr>
        <w:tc>
          <w:tcPr>
            <w:tcW w:w="2378" w:type="dxa"/>
            <w:tcBorders>
              <w:top w:val="single" w:sz="4" w:space="0" w:color="C2D9BA"/>
              <w:bottom w:val="single" w:sz="4" w:space="0" w:color="C2D9BA"/>
            </w:tcBorders>
          </w:tcPr>
          <w:p w14:paraId="7D5679BB" w14:textId="77777777" w:rsidR="00F329CB" w:rsidRPr="00C71161" w:rsidRDefault="00F329CB" w:rsidP="00F329CB">
            <w:pPr>
              <w:pStyle w:val="TableText"/>
              <w:ind w:right="113"/>
              <w:rPr>
                <w:bCs/>
              </w:rPr>
            </w:pPr>
            <w:r w:rsidRPr="00C71161">
              <w:t>Multidisciplinary team (MDT)</w:t>
            </w:r>
          </w:p>
        </w:tc>
        <w:tc>
          <w:tcPr>
            <w:tcW w:w="5702" w:type="dxa"/>
            <w:tcBorders>
              <w:top w:val="single" w:sz="4" w:space="0" w:color="C2D9BA"/>
              <w:bottom w:val="single" w:sz="4" w:space="0" w:color="C2D9BA"/>
            </w:tcBorders>
          </w:tcPr>
          <w:p w14:paraId="7989033A" w14:textId="77777777" w:rsidR="00F329CB" w:rsidRPr="00C71161" w:rsidRDefault="00F329CB" w:rsidP="00F329CB">
            <w:pPr>
              <w:pStyle w:val="TableText"/>
              <w:rPr>
                <w:iCs/>
              </w:rPr>
            </w:pPr>
            <w:r w:rsidRPr="00C71161">
              <w:t xml:space="preserve">A team that includes several doctors and other health care professionals who are experts in different specialties (disciplines). In cancer treatment, the primary disciplines </w:t>
            </w:r>
            <w:r>
              <w:t xml:space="preserve">in a multidisciplinary team </w:t>
            </w:r>
            <w:r w:rsidRPr="00C71161">
              <w:t>are medical oncology (treatment with drugs), surgical oncology (treatment with surgery) and radiation oncology (treatment with radiation).</w:t>
            </w:r>
          </w:p>
        </w:tc>
      </w:tr>
      <w:tr w:rsidR="00F329CB" w:rsidRPr="00C71161" w14:paraId="7182015D" w14:textId="77777777" w:rsidTr="00F329CB">
        <w:trPr>
          <w:cantSplit/>
        </w:trPr>
        <w:tc>
          <w:tcPr>
            <w:tcW w:w="2378" w:type="dxa"/>
            <w:tcBorders>
              <w:top w:val="single" w:sz="4" w:space="0" w:color="C2D9BA"/>
              <w:bottom w:val="single" w:sz="4" w:space="0" w:color="C2D9BA"/>
            </w:tcBorders>
          </w:tcPr>
          <w:p w14:paraId="779F1E7D" w14:textId="77777777" w:rsidR="00F329CB" w:rsidRPr="00C71161" w:rsidRDefault="00F329CB" w:rsidP="00F329CB">
            <w:pPr>
              <w:pStyle w:val="TableText"/>
              <w:ind w:right="113"/>
            </w:pPr>
            <w:r>
              <w:t>Pathological T2 (pT2) prostate cancer</w:t>
            </w:r>
          </w:p>
        </w:tc>
        <w:tc>
          <w:tcPr>
            <w:tcW w:w="5702" w:type="dxa"/>
            <w:tcBorders>
              <w:top w:val="single" w:sz="4" w:space="0" w:color="C2D9BA"/>
              <w:bottom w:val="single" w:sz="4" w:space="0" w:color="C2D9BA"/>
            </w:tcBorders>
          </w:tcPr>
          <w:p w14:paraId="2E619AF2" w14:textId="77777777" w:rsidR="00F329CB" w:rsidRPr="00C71161" w:rsidRDefault="00F329CB" w:rsidP="00F329CB">
            <w:pPr>
              <w:pStyle w:val="TableText"/>
            </w:pPr>
            <w:r>
              <w:t>There are several components of the TNM (Tumour – Node – Metastasis) staging system for prostate cancer. The pT component is determined by examining the prostate histologically after surgery is performed. pT2 tumours are those confined to the prostate.</w:t>
            </w:r>
          </w:p>
        </w:tc>
      </w:tr>
      <w:tr w:rsidR="00F329CB" w:rsidRPr="00C71161" w14:paraId="38E2EB2E" w14:textId="77777777" w:rsidTr="00F329CB">
        <w:trPr>
          <w:cantSplit/>
        </w:trPr>
        <w:tc>
          <w:tcPr>
            <w:tcW w:w="2378" w:type="dxa"/>
            <w:tcBorders>
              <w:top w:val="single" w:sz="4" w:space="0" w:color="C2D9BA"/>
              <w:bottom w:val="single" w:sz="4" w:space="0" w:color="C2D9BA"/>
            </w:tcBorders>
          </w:tcPr>
          <w:p w14:paraId="237B499E" w14:textId="77777777" w:rsidR="00F329CB" w:rsidRPr="00C71161" w:rsidRDefault="00F329CB" w:rsidP="00F329CB">
            <w:pPr>
              <w:pStyle w:val="TableText"/>
              <w:ind w:right="113"/>
            </w:pPr>
            <w:r w:rsidRPr="00C71161">
              <w:t>Positron emission tomography (PET)</w:t>
            </w:r>
          </w:p>
        </w:tc>
        <w:tc>
          <w:tcPr>
            <w:tcW w:w="5702" w:type="dxa"/>
            <w:tcBorders>
              <w:top w:val="single" w:sz="4" w:space="0" w:color="C2D9BA"/>
              <w:bottom w:val="single" w:sz="4" w:space="0" w:color="C2D9BA"/>
            </w:tcBorders>
          </w:tcPr>
          <w:p w14:paraId="4BC3FD8D" w14:textId="77777777" w:rsidR="00F329CB" w:rsidRPr="00C71161" w:rsidRDefault="00F329CB" w:rsidP="00F329CB">
            <w:pPr>
              <w:pStyle w:val="TableText"/>
            </w:pPr>
            <w:r w:rsidRPr="00C71161">
              <w:t>A procedure in which a small amount of radioactive glucose (sugar) is injected into a vein and a scanner is used to make detailed, computerised pictures of areas inside the body where the glucose is taken up. Because cancer cells often take up more glucose than normal cells, the pictures can be used to find cancer cells in the body.</w:t>
            </w:r>
          </w:p>
        </w:tc>
      </w:tr>
      <w:tr w:rsidR="00F329CB" w:rsidRPr="00C71161" w14:paraId="2749F32D" w14:textId="77777777" w:rsidTr="00F329CB">
        <w:trPr>
          <w:cantSplit/>
        </w:trPr>
        <w:tc>
          <w:tcPr>
            <w:tcW w:w="2378" w:type="dxa"/>
            <w:tcBorders>
              <w:top w:val="single" w:sz="4" w:space="0" w:color="C2D9BA"/>
              <w:bottom w:val="single" w:sz="4" w:space="0" w:color="C2D9BA"/>
            </w:tcBorders>
          </w:tcPr>
          <w:p w14:paraId="74651F32" w14:textId="77777777" w:rsidR="00F329CB" w:rsidRPr="00C71161" w:rsidRDefault="00955EE3" w:rsidP="00F329CB">
            <w:pPr>
              <w:pStyle w:val="TableText"/>
              <w:ind w:right="113"/>
              <w:rPr>
                <w:bCs/>
              </w:rPr>
            </w:pPr>
            <w:hyperlink r:id="rId23" w:history="1">
              <w:r w:rsidR="00F329CB" w:rsidRPr="00C71161">
                <w:rPr>
                  <w:bdr w:val="none" w:sz="0" w:space="0" w:color="auto" w:frame="1"/>
                  <w:lang w:eastAsia="en-NZ"/>
                </w:rPr>
                <w:t xml:space="preserve">Positron emission tomography-computed tomography </w:t>
              </w:r>
            </w:hyperlink>
            <w:r w:rsidR="00F329CB" w:rsidRPr="00C71161">
              <w:rPr>
                <w:bdr w:val="none" w:sz="0" w:space="0" w:color="auto" w:frame="1"/>
                <w:lang w:eastAsia="en-NZ"/>
              </w:rPr>
              <w:t>(PET-CT)</w:t>
            </w:r>
          </w:p>
        </w:tc>
        <w:tc>
          <w:tcPr>
            <w:tcW w:w="5702" w:type="dxa"/>
            <w:tcBorders>
              <w:top w:val="single" w:sz="4" w:space="0" w:color="C2D9BA"/>
              <w:bottom w:val="single" w:sz="4" w:space="0" w:color="C2D9BA"/>
            </w:tcBorders>
          </w:tcPr>
          <w:p w14:paraId="666AB90C" w14:textId="77777777" w:rsidR="00F329CB" w:rsidRPr="00C71161" w:rsidRDefault="00F329CB" w:rsidP="00F329CB">
            <w:pPr>
              <w:pStyle w:val="TableText"/>
            </w:pPr>
            <w:r w:rsidRPr="00C71161">
              <w:t>A procedure that combines the pictures from a PET scan and a CT scan</w:t>
            </w:r>
            <w:r>
              <w:t xml:space="preserve">, performed </w:t>
            </w:r>
            <w:r w:rsidRPr="00C71161">
              <w:t>at the same time with the same machine. The combined scans give more detailed pictures of areas inside the body than either scan gives by itself.</w:t>
            </w:r>
          </w:p>
        </w:tc>
      </w:tr>
      <w:tr w:rsidR="00F329CB" w:rsidRPr="00C71161" w14:paraId="7C4B9C7A" w14:textId="77777777" w:rsidTr="00F329CB">
        <w:trPr>
          <w:cantSplit/>
        </w:trPr>
        <w:tc>
          <w:tcPr>
            <w:tcW w:w="2378" w:type="dxa"/>
            <w:tcBorders>
              <w:top w:val="single" w:sz="4" w:space="0" w:color="C2D9BA"/>
              <w:bottom w:val="single" w:sz="4" w:space="0" w:color="C2D9BA"/>
            </w:tcBorders>
          </w:tcPr>
          <w:p w14:paraId="5B02DBD0" w14:textId="77777777" w:rsidR="00F329CB" w:rsidRPr="00C71161" w:rsidRDefault="00F329CB" w:rsidP="00F329CB">
            <w:pPr>
              <w:pStyle w:val="TableText"/>
              <w:ind w:right="113"/>
            </w:pPr>
            <w:r w:rsidRPr="00C71161">
              <w:t>Prostatectomy</w:t>
            </w:r>
          </w:p>
        </w:tc>
        <w:tc>
          <w:tcPr>
            <w:tcW w:w="5702" w:type="dxa"/>
            <w:tcBorders>
              <w:top w:val="single" w:sz="4" w:space="0" w:color="C2D9BA"/>
              <w:bottom w:val="single" w:sz="4" w:space="0" w:color="C2D9BA"/>
            </w:tcBorders>
          </w:tcPr>
          <w:p w14:paraId="17B7ABEF" w14:textId="77777777" w:rsidR="00F329CB" w:rsidRPr="00C71161" w:rsidRDefault="00F329CB" w:rsidP="00F329CB">
            <w:pPr>
              <w:pStyle w:val="TableText"/>
            </w:pPr>
            <w:r w:rsidRPr="00C71161">
              <w:t>A surgical procedure for the partial or complete removal of the prostate.</w:t>
            </w:r>
          </w:p>
        </w:tc>
      </w:tr>
      <w:tr w:rsidR="00F329CB" w:rsidRPr="00C71161" w14:paraId="6394F199" w14:textId="77777777" w:rsidTr="00F329CB">
        <w:trPr>
          <w:cantSplit/>
        </w:trPr>
        <w:tc>
          <w:tcPr>
            <w:tcW w:w="2378" w:type="dxa"/>
            <w:tcBorders>
              <w:top w:val="single" w:sz="4" w:space="0" w:color="C2D9BA"/>
              <w:bottom w:val="single" w:sz="4" w:space="0" w:color="C2D9BA"/>
            </w:tcBorders>
          </w:tcPr>
          <w:p w14:paraId="7BBEFE69" w14:textId="77777777" w:rsidR="00F329CB" w:rsidRPr="00C71161" w:rsidRDefault="00F329CB" w:rsidP="00F329CB">
            <w:pPr>
              <w:pStyle w:val="TableText"/>
              <w:ind w:right="113"/>
              <w:rPr>
                <w:szCs w:val="18"/>
              </w:rPr>
            </w:pPr>
            <w:r w:rsidRPr="00C71161">
              <w:rPr>
                <w:szCs w:val="18"/>
              </w:rPr>
              <w:t>Prostate-specific antigen (PSA)</w:t>
            </w:r>
          </w:p>
        </w:tc>
        <w:tc>
          <w:tcPr>
            <w:tcW w:w="5702" w:type="dxa"/>
            <w:tcBorders>
              <w:top w:val="single" w:sz="4" w:space="0" w:color="C2D9BA"/>
              <w:bottom w:val="single" w:sz="4" w:space="0" w:color="C2D9BA"/>
            </w:tcBorders>
          </w:tcPr>
          <w:p w14:paraId="6932F95A" w14:textId="77777777" w:rsidR="00F329CB" w:rsidRPr="00C71161" w:rsidRDefault="00F329CB" w:rsidP="00F329CB">
            <w:pPr>
              <w:pStyle w:val="TableText"/>
            </w:pPr>
            <w:r w:rsidRPr="00C71161">
              <w:t>A protein made by the prostate gland and found in the blood. PSA blood levels may be higher than normal in men who have prostate cancer, benign prostatic hyperplasia or infection or infl</w:t>
            </w:r>
            <w:r>
              <w:t>ammation of the prostate gland.</w:t>
            </w:r>
          </w:p>
        </w:tc>
      </w:tr>
      <w:tr w:rsidR="00F329CB" w:rsidRPr="00C71161" w14:paraId="40726448" w14:textId="77777777" w:rsidTr="00F329CB">
        <w:trPr>
          <w:cantSplit/>
        </w:trPr>
        <w:tc>
          <w:tcPr>
            <w:tcW w:w="2378" w:type="dxa"/>
            <w:tcBorders>
              <w:top w:val="single" w:sz="4" w:space="0" w:color="C2D9BA"/>
              <w:bottom w:val="single" w:sz="4" w:space="0" w:color="C2D9BA"/>
            </w:tcBorders>
          </w:tcPr>
          <w:p w14:paraId="640556BE" w14:textId="77777777" w:rsidR="00F329CB" w:rsidRPr="00C71161" w:rsidRDefault="00F329CB" w:rsidP="00F329CB">
            <w:pPr>
              <w:pStyle w:val="TableText"/>
              <w:ind w:right="113"/>
              <w:rPr>
                <w:szCs w:val="18"/>
              </w:rPr>
            </w:pPr>
            <w:r w:rsidRPr="00C71161">
              <w:rPr>
                <w:szCs w:val="18"/>
              </w:rPr>
              <w:t>Prostate-specific membrane antigen (PSMA)</w:t>
            </w:r>
          </w:p>
        </w:tc>
        <w:tc>
          <w:tcPr>
            <w:tcW w:w="5702" w:type="dxa"/>
            <w:tcBorders>
              <w:top w:val="single" w:sz="4" w:space="0" w:color="C2D9BA"/>
              <w:bottom w:val="single" w:sz="4" w:space="0" w:color="C2D9BA"/>
            </w:tcBorders>
          </w:tcPr>
          <w:p w14:paraId="3BDDA0E6" w14:textId="77777777" w:rsidR="00F329CB" w:rsidRPr="00C71161" w:rsidRDefault="00F329CB" w:rsidP="00F329CB">
            <w:pPr>
              <w:pStyle w:val="TableText"/>
            </w:pPr>
            <w:r w:rsidRPr="00C71161">
              <w:t xml:space="preserve">A protein anchored in the cell membrane of prostate epithelial cells. PSMA is highly expressed on prostate epithelial cells and strongly </w:t>
            </w:r>
            <w:proofErr w:type="gramStart"/>
            <w:r w:rsidRPr="00C71161">
              <w:t>up-regulated</w:t>
            </w:r>
            <w:proofErr w:type="gramEnd"/>
            <w:r w:rsidRPr="00C71161">
              <w:t xml:space="preserve"> in prostate cancer. Therefore, it is an appropriate target for diagno</w:t>
            </w:r>
            <w:r>
              <w:t>s</w:t>
            </w:r>
            <w:r w:rsidRPr="00C71161">
              <w:t>i</w:t>
            </w:r>
            <w:r>
              <w:t>s</w:t>
            </w:r>
            <w:r w:rsidRPr="00C71161">
              <w:t xml:space="preserve"> and therapy of prostate cancer and its metastases.</w:t>
            </w:r>
          </w:p>
        </w:tc>
      </w:tr>
      <w:tr w:rsidR="00F329CB" w:rsidRPr="00C71161" w14:paraId="7214873C" w14:textId="77777777" w:rsidTr="00F329CB">
        <w:trPr>
          <w:cantSplit/>
        </w:trPr>
        <w:tc>
          <w:tcPr>
            <w:tcW w:w="2378" w:type="dxa"/>
            <w:tcBorders>
              <w:top w:val="single" w:sz="4" w:space="0" w:color="C2D9BA"/>
              <w:bottom w:val="single" w:sz="4" w:space="0" w:color="C2D9BA"/>
            </w:tcBorders>
          </w:tcPr>
          <w:p w14:paraId="7F7DF7FE" w14:textId="77777777" w:rsidR="00F329CB" w:rsidRPr="00C71161" w:rsidRDefault="00F329CB" w:rsidP="00F329CB">
            <w:pPr>
              <w:pStyle w:val="TableText"/>
              <w:ind w:right="113"/>
              <w:rPr>
                <w:szCs w:val="18"/>
              </w:rPr>
            </w:pPr>
            <w:r w:rsidRPr="00C71161">
              <w:rPr>
                <w:szCs w:val="18"/>
              </w:rPr>
              <w:t>Prostate-specific membrane antigen-positron emission tomography (PSMA-PET)</w:t>
            </w:r>
          </w:p>
        </w:tc>
        <w:tc>
          <w:tcPr>
            <w:tcW w:w="5702" w:type="dxa"/>
            <w:tcBorders>
              <w:top w:val="single" w:sz="4" w:space="0" w:color="C2D9BA"/>
              <w:bottom w:val="single" w:sz="4" w:space="0" w:color="C2D9BA"/>
            </w:tcBorders>
          </w:tcPr>
          <w:p w14:paraId="1E9FC350" w14:textId="77777777" w:rsidR="00F329CB" w:rsidRPr="00C71161" w:rsidRDefault="00F329CB" w:rsidP="00F329CB">
            <w:pPr>
              <w:pStyle w:val="TableText"/>
            </w:pPr>
            <w:r w:rsidRPr="00C71161">
              <w:t xml:space="preserve">A type of PET scan used to image </w:t>
            </w:r>
            <w:r>
              <w:t>p</w:t>
            </w:r>
            <w:r w:rsidRPr="00C71161">
              <w:t xml:space="preserve">rostate </w:t>
            </w:r>
            <w:r>
              <w:t>c</w:t>
            </w:r>
            <w:r w:rsidRPr="00C71161">
              <w:t>ancer. The test is routinely performed with a contrast CT scan of the body to assist in localisation of lesions.</w:t>
            </w:r>
          </w:p>
        </w:tc>
      </w:tr>
      <w:tr w:rsidR="00F329CB" w:rsidRPr="00C71161" w14:paraId="3C0A303A" w14:textId="77777777" w:rsidTr="00F329CB">
        <w:trPr>
          <w:cantSplit/>
        </w:trPr>
        <w:tc>
          <w:tcPr>
            <w:tcW w:w="2378" w:type="dxa"/>
            <w:tcBorders>
              <w:top w:val="single" w:sz="4" w:space="0" w:color="C2D9BA"/>
              <w:bottom w:val="single" w:sz="4" w:space="0" w:color="C2D9BA"/>
            </w:tcBorders>
          </w:tcPr>
          <w:p w14:paraId="18950B53" w14:textId="77777777" w:rsidR="00F329CB" w:rsidRPr="00C71161" w:rsidRDefault="00F329CB" w:rsidP="00F329CB">
            <w:pPr>
              <w:pStyle w:val="TableText"/>
              <w:ind w:right="113"/>
              <w:rPr>
                <w:bCs/>
                <w:szCs w:val="18"/>
              </w:rPr>
            </w:pPr>
            <w:r w:rsidRPr="00C71161">
              <w:rPr>
                <w:szCs w:val="18"/>
              </w:rPr>
              <w:t>Radical treatment</w:t>
            </w:r>
          </w:p>
        </w:tc>
        <w:tc>
          <w:tcPr>
            <w:tcW w:w="5702" w:type="dxa"/>
            <w:tcBorders>
              <w:top w:val="single" w:sz="4" w:space="0" w:color="C2D9BA"/>
              <w:bottom w:val="single" w:sz="4" w:space="0" w:color="C2D9BA"/>
            </w:tcBorders>
          </w:tcPr>
          <w:p w14:paraId="28E032D0" w14:textId="77777777" w:rsidR="00F329CB" w:rsidRPr="00C71161" w:rsidRDefault="00F329CB" w:rsidP="00F329CB">
            <w:pPr>
              <w:pStyle w:val="TableText"/>
            </w:pPr>
            <w:r w:rsidRPr="00C71161">
              <w:t xml:space="preserve">A treatment given with the aim of destroying cancer cells to </w:t>
            </w:r>
            <w:r>
              <w:t>achieve</w:t>
            </w:r>
            <w:r w:rsidRPr="00C71161">
              <w:t xml:space="preserve"> cure.</w:t>
            </w:r>
          </w:p>
        </w:tc>
      </w:tr>
      <w:tr w:rsidR="00F329CB" w:rsidRPr="00C71161" w14:paraId="019512D9" w14:textId="77777777" w:rsidTr="00F329CB">
        <w:trPr>
          <w:cantSplit/>
        </w:trPr>
        <w:tc>
          <w:tcPr>
            <w:tcW w:w="2378" w:type="dxa"/>
            <w:tcBorders>
              <w:top w:val="single" w:sz="4" w:space="0" w:color="C2D9BA"/>
              <w:bottom w:val="single" w:sz="4" w:space="0" w:color="C2D9BA"/>
            </w:tcBorders>
          </w:tcPr>
          <w:p w14:paraId="6DE8F2AA" w14:textId="77777777" w:rsidR="00F329CB" w:rsidRPr="00C71161" w:rsidRDefault="00F329CB" w:rsidP="00F329CB">
            <w:pPr>
              <w:pStyle w:val="TableText"/>
              <w:ind w:right="113"/>
              <w:rPr>
                <w:szCs w:val="18"/>
              </w:rPr>
            </w:pPr>
            <w:r w:rsidRPr="00C71161">
              <w:rPr>
                <w:szCs w:val="18"/>
              </w:rPr>
              <w:lastRenderedPageBreak/>
              <w:t>Risk group</w:t>
            </w:r>
          </w:p>
        </w:tc>
        <w:tc>
          <w:tcPr>
            <w:tcW w:w="5702" w:type="dxa"/>
            <w:tcBorders>
              <w:top w:val="single" w:sz="4" w:space="0" w:color="C2D9BA"/>
              <w:bottom w:val="single" w:sz="4" w:space="0" w:color="C2D9BA"/>
            </w:tcBorders>
          </w:tcPr>
          <w:p w14:paraId="1CB25C8B" w14:textId="77777777" w:rsidR="00F329CB" w:rsidRPr="00C71161" w:rsidRDefault="00F329CB" w:rsidP="00F329CB">
            <w:pPr>
              <w:pStyle w:val="TableText"/>
            </w:pPr>
            <w:r>
              <w:t>A</w:t>
            </w:r>
            <w:r w:rsidRPr="00C71161">
              <w:t xml:space="preserve">n initial risk stratification and staging </w:t>
            </w:r>
            <w:r>
              <w:t>system</w:t>
            </w:r>
            <w:r w:rsidRPr="00C71161">
              <w:t xml:space="preserve"> for clinically localised disease. It was developed by </w:t>
            </w:r>
            <w:r>
              <w:t xml:space="preserve">the </w:t>
            </w:r>
            <w:r w:rsidRPr="00C71161">
              <w:t xml:space="preserve">National Comprehensive Cancer Network (NCCN) to provide the bases for initial management and treatment decisions of men with newly diagnosed prostate cancer. This evaluation should include clinical staging based on a digital rectal examination to assess the extent of disease, the serum PSA, the Gleason score/grade group in the initial biopsy and the number and extent of cancer involvement in the biopsy cores. This allows the stratification of men into risk categories (low, </w:t>
            </w:r>
            <w:proofErr w:type="gramStart"/>
            <w:r w:rsidRPr="00C71161">
              <w:t>intermediate</w:t>
            </w:r>
            <w:proofErr w:type="gramEnd"/>
            <w:r w:rsidRPr="00C71161">
              <w:t xml:space="preserve"> or high) according to the primary tumour.</w:t>
            </w:r>
          </w:p>
        </w:tc>
      </w:tr>
      <w:tr w:rsidR="00F329CB" w:rsidRPr="00C71161" w14:paraId="4DBCA677" w14:textId="77777777" w:rsidTr="00F329CB">
        <w:trPr>
          <w:cantSplit/>
        </w:trPr>
        <w:tc>
          <w:tcPr>
            <w:tcW w:w="2378" w:type="dxa"/>
            <w:tcBorders>
              <w:top w:val="single" w:sz="4" w:space="0" w:color="C2D9BA"/>
              <w:bottom w:val="single" w:sz="4" w:space="0" w:color="C2D9BA"/>
            </w:tcBorders>
          </w:tcPr>
          <w:p w14:paraId="4F00B3D9" w14:textId="77777777" w:rsidR="00F329CB" w:rsidRPr="00C71161" w:rsidRDefault="00F329CB" w:rsidP="00F329CB">
            <w:pPr>
              <w:pStyle w:val="TableText"/>
              <w:ind w:right="113"/>
              <w:rPr>
                <w:szCs w:val="18"/>
              </w:rPr>
            </w:pPr>
            <w:r w:rsidRPr="00C71161">
              <w:rPr>
                <w:szCs w:val="18"/>
              </w:rPr>
              <w:t>TNM staging system</w:t>
            </w:r>
          </w:p>
        </w:tc>
        <w:tc>
          <w:tcPr>
            <w:tcW w:w="5702" w:type="dxa"/>
            <w:tcBorders>
              <w:top w:val="single" w:sz="4" w:space="0" w:color="C2D9BA"/>
              <w:bottom w:val="single" w:sz="4" w:space="0" w:color="C2D9BA"/>
            </w:tcBorders>
          </w:tcPr>
          <w:p w14:paraId="69005B54" w14:textId="77777777" w:rsidR="00F329CB" w:rsidRPr="00C71161" w:rsidRDefault="00F329CB" w:rsidP="00F329CB">
            <w:pPr>
              <w:pStyle w:val="TableText"/>
              <w:rPr>
                <w:rFonts w:eastAsiaTheme="minorHAnsi"/>
                <w:lang w:eastAsia="en-US"/>
              </w:rPr>
            </w:pPr>
            <w:r w:rsidRPr="00C71161">
              <w:rPr>
                <w:rFonts w:eastAsiaTheme="minorHAnsi"/>
                <w:lang w:eastAsia="en-US"/>
              </w:rPr>
              <w:t>A</w:t>
            </w:r>
            <w:r>
              <w:rPr>
                <w:rFonts w:eastAsiaTheme="minorHAnsi"/>
                <w:lang w:eastAsia="en-US"/>
              </w:rPr>
              <w:t xml:space="preserve"> term that refers to tumour, </w:t>
            </w:r>
            <w:proofErr w:type="gramStart"/>
            <w:r>
              <w:rPr>
                <w:rFonts w:eastAsiaTheme="minorHAnsi"/>
                <w:lang w:eastAsia="en-US"/>
              </w:rPr>
              <w:t>node</w:t>
            </w:r>
            <w:proofErr w:type="gramEnd"/>
            <w:r>
              <w:rPr>
                <w:rFonts w:eastAsiaTheme="minorHAnsi"/>
                <w:lang w:eastAsia="en-US"/>
              </w:rPr>
              <w:t xml:space="preserve"> and metastases (TNM)</w:t>
            </w:r>
            <w:r w:rsidRPr="00C71161">
              <w:rPr>
                <w:rFonts w:eastAsiaTheme="minorHAnsi"/>
                <w:lang w:eastAsia="en-US"/>
              </w:rPr>
              <w:t xml:space="preserve"> to describe the amount and spread of cancer in a patient’s body. </w:t>
            </w:r>
            <w:r>
              <w:rPr>
                <w:rFonts w:eastAsiaTheme="minorHAnsi"/>
                <w:lang w:eastAsia="en-US"/>
              </w:rPr>
              <w:t>‘</w:t>
            </w:r>
            <w:r w:rsidRPr="00C71161">
              <w:rPr>
                <w:rFonts w:eastAsiaTheme="minorHAnsi"/>
                <w:lang w:eastAsia="en-US"/>
              </w:rPr>
              <w:t>T</w:t>
            </w:r>
            <w:r>
              <w:rPr>
                <w:rFonts w:eastAsiaTheme="minorHAnsi"/>
                <w:lang w:eastAsia="en-US"/>
              </w:rPr>
              <w:t>’</w:t>
            </w:r>
            <w:r w:rsidRPr="00C71161">
              <w:rPr>
                <w:rFonts w:eastAsiaTheme="minorHAnsi"/>
                <w:lang w:eastAsia="en-US"/>
              </w:rPr>
              <w:t xml:space="preserve"> describes the size of the tumour and any spread of cancer into nearby tissue; </w:t>
            </w:r>
            <w:r>
              <w:rPr>
                <w:rFonts w:eastAsiaTheme="minorHAnsi"/>
                <w:lang w:eastAsia="en-US"/>
              </w:rPr>
              <w:t>‘</w:t>
            </w:r>
            <w:r w:rsidRPr="00C71161">
              <w:rPr>
                <w:rFonts w:eastAsiaTheme="minorHAnsi"/>
                <w:lang w:eastAsia="en-US"/>
              </w:rPr>
              <w:t>N</w:t>
            </w:r>
            <w:r>
              <w:rPr>
                <w:rFonts w:eastAsiaTheme="minorHAnsi"/>
                <w:lang w:eastAsia="en-US"/>
              </w:rPr>
              <w:t>’</w:t>
            </w:r>
            <w:r w:rsidRPr="00C71161">
              <w:rPr>
                <w:rFonts w:eastAsiaTheme="minorHAnsi"/>
                <w:lang w:eastAsia="en-US"/>
              </w:rPr>
              <w:t xml:space="preserve"> describes spread of cancer to nearby lymph nodes; and </w:t>
            </w:r>
            <w:r>
              <w:rPr>
                <w:rFonts w:eastAsiaTheme="minorHAnsi"/>
                <w:lang w:eastAsia="en-US"/>
              </w:rPr>
              <w:t>‘</w:t>
            </w:r>
            <w:r w:rsidRPr="00C71161">
              <w:rPr>
                <w:rFonts w:eastAsiaTheme="minorHAnsi"/>
                <w:lang w:eastAsia="en-US"/>
              </w:rPr>
              <w:t>M</w:t>
            </w:r>
            <w:r>
              <w:rPr>
                <w:rFonts w:eastAsiaTheme="minorHAnsi"/>
                <w:lang w:eastAsia="en-US"/>
              </w:rPr>
              <w:t>’</w:t>
            </w:r>
            <w:r w:rsidRPr="00C71161">
              <w:rPr>
                <w:rFonts w:eastAsiaTheme="minorHAnsi"/>
                <w:lang w:eastAsia="en-US"/>
              </w:rPr>
              <w:t xml:space="preserve"> describes metastasis (spread of cancer to other parts of the body). When available, TNM scores are used in conjunction with other information</w:t>
            </w:r>
            <w:r>
              <w:rPr>
                <w:rFonts w:eastAsiaTheme="minorHAnsi"/>
                <w:lang w:eastAsia="en-US"/>
              </w:rPr>
              <w:t>,</w:t>
            </w:r>
            <w:r w:rsidRPr="00C71161">
              <w:rPr>
                <w:rFonts w:eastAsiaTheme="minorHAnsi"/>
                <w:lang w:eastAsia="en-US"/>
              </w:rPr>
              <w:t xml:space="preserve"> such as blood test results, histologic (cell) test results and risk factors, to define the stage groups for most cancers. All people who meet the criteria of a stage group are expected to have similar prognosis and outcome.</w:t>
            </w:r>
          </w:p>
        </w:tc>
      </w:tr>
    </w:tbl>
    <w:p w14:paraId="594B1439" w14:textId="77777777" w:rsidR="00A23E54" w:rsidRPr="00C71161" w:rsidRDefault="00A23E54" w:rsidP="008158F5"/>
    <w:p w14:paraId="3053A540" w14:textId="77777777" w:rsidR="00A23E54" w:rsidRPr="00C71161" w:rsidRDefault="00A23E54" w:rsidP="008158F5">
      <w:pPr>
        <w:pStyle w:val="Heading1"/>
      </w:pPr>
      <w:bookmarkStart w:id="31" w:name="_Toc13561053"/>
      <w:bookmarkStart w:id="32" w:name="_Toc18056769"/>
      <w:bookmarkStart w:id="33" w:name="_Toc79501559"/>
      <w:bookmarkStart w:id="34" w:name="_Toc82433279"/>
      <w:r w:rsidRPr="00C71161">
        <w:lastRenderedPageBreak/>
        <w:t>Prostate cancer quality performance indicators</w:t>
      </w:r>
      <w:bookmarkEnd w:id="31"/>
      <w:bookmarkEnd w:id="32"/>
      <w:bookmarkEnd w:id="33"/>
      <w:bookmarkEnd w:id="34"/>
    </w:p>
    <w:p w14:paraId="13F75A39" w14:textId="77777777" w:rsidR="00A23E54" w:rsidRDefault="0063570E" w:rsidP="0063570E">
      <w:r w:rsidRPr="00C71161">
        <w:t xml:space="preserve">The table below lists each </w:t>
      </w:r>
      <w:r>
        <w:t>QPI</w:t>
      </w:r>
      <w:r w:rsidRPr="00C71161">
        <w:t xml:space="preserve"> and</w:t>
      </w:r>
      <w:r>
        <w:t xml:space="preserve"> contains </w:t>
      </w:r>
      <w:r w:rsidRPr="006B4FF2">
        <w:t>hyperlink</w:t>
      </w:r>
      <w:r>
        <w:t>s</w:t>
      </w:r>
      <w:r w:rsidRPr="00AD2A7F">
        <w:t xml:space="preserve"> to</w:t>
      </w:r>
      <w:r w:rsidRPr="00C71161">
        <w:t xml:space="preserve"> the detailed descriptions for each indicator on the following pages.</w:t>
      </w:r>
    </w:p>
    <w:p w14:paraId="134D0B9C" w14:textId="77777777" w:rsidR="008158F5" w:rsidRDefault="008158F5" w:rsidP="008158F5"/>
    <w:tbl>
      <w:tblPr>
        <w:tblW w:w="8080" w:type="dxa"/>
        <w:tblInd w:w="57" w:type="dxa"/>
        <w:tblBorders>
          <w:bottom w:val="single" w:sz="4" w:space="0" w:color="C2D9BA"/>
          <w:insideH w:val="single" w:sz="4" w:space="0" w:color="C2D9BA"/>
        </w:tblBorders>
        <w:tblLayout w:type="fixed"/>
        <w:tblCellMar>
          <w:left w:w="57" w:type="dxa"/>
          <w:right w:w="57" w:type="dxa"/>
        </w:tblCellMar>
        <w:tblLook w:val="04A0" w:firstRow="1" w:lastRow="0" w:firstColumn="1" w:lastColumn="0" w:noHBand="0" w:noVBand="1"/>
      </w:tblPr>
      <w:tblGrid>
        <w:gridCol w:w="2552"/>
        <w:gridCol w:w="3827"/>
        <w:gridCol w:w="1701"/>
      </w:tblGrid>
      <w:tr w:rsidR="008158F5" w:rsidRPr="008158F5" w14:paraId="561B371F" w14:textId="77777777" w:rsidTr="0063570E">
        <w:trPr>
          <w:cantSplit/>
          <w:tblHeader/>
        </w:trPr>
        <w:tc>
          <w:tcPr>
            <w:tcW w:w="2552" w:type="dxa"/>
            <w:tcBorders>
              <w:top w:val="nil"/>
              <w:bottom w:val="nil"/>
            </w:tcBorders>
            <w:shd w:val="clear" w:color="auto" w:fill="C2D9BA"/>
            <w:tcMar>
              <w:top w:w="0" w:type="dxa"/>
              <w:left w:w="57" w:type="dxa"/>
              <w:bottom w:w="0" w:type="dxa"/>
              <w:right w:w="57" w:type="dxa"/>
            </w:tcMar>
          </w:tcPr>
          <w:p w14:paraId="0DC31D6B" w14:textId="77777777" w:rsidR="00A23E54" w:rsidRPr="008158F5" w:rsidRDefault="00A23E54" w:rsidP="008158F5">
            <w:pPr>
              <w:pStyle w:val="TableText"/>
              <w:ind w:right="57"/>
              <w:rPr>
                <w:rFonts w:eastAsia="Calibri"/>
                <w:b/>
              </w:rPr>
            </w:pPr>
            <w:r w:rsidRPr="008158F5">
              <w:rPr>
                <w:rFonts w:eastAsia="Calibri"/>
                <w:b/>
              </w:rPr>
              <w:t>Indicator title</w:t>
            </w:r>
          </w:p>
        </w:tc>
        <w:tc>
          <w:tcPr>
            <w:tcW w:w="3827" w:type="dxa"/>
            <w:tcBorders>
              <w:top w:val="nil"/>
              <w:bottom w:val="nil"/>
            </w:tcBorders>
            <w:shd w:val="clear" w:color="auto" w:fill="C2D9BA"/>
            <w:tcMar>
              <w:top w:w="0" w:type="dxa"/>
              <w:left w:w="57" w:type="dxa"/>
              <w:bottom w:w="0" w:type="dxa"/>
              <w:right w:w="57" w:type="dxa"/>
            </w:tcMar>
          </w:tcPr>
          <w:p w14:paraId="114C38C3" w14:textId="77777777" w:rsidR="00A23E54" w:rsidRPr="008158F5" w:rsidRDefault="008158F5" w:rsidP="008158F5">
            <w:pPr>
              <w:pStyle w:val="TableText"/>
              <w:ind w:right="57"/>
              <w:rPr>
                <w:rFonts w:eastAsia="Calibri"/>
                <w:b/>
              </w:rPr>
            </w:pPr>
            <w:r w:rsidRPr="008158F5">
              <w:rPr>
                <w:rFonts w:eastAsia="Calibri"/>
                <w:b/>
              </w:rPr>
              <w:t>Indicator description</w:t>
            </w:r>
          </w:p>
        </w:tc>
        <w:tc>
          <w:tcPr>
            <w:tcW w:w="1701" w:type="dxa"/>
            <w:tcBorders>
              <w:top w:val="nil"/>
              <w:bottom w:val="nil"/>
            </w:tcBorders>
            <w:shd w:val="clear" w:color="auto" w:fill="C2D9BA"/>
            <w:tcMar>
              <w:top w:w="0" w:type="dxa"/>
              <w:left w:w="57" w:type="dxa"/>
              <w:bottom w:w="0" w:type="dxa"/>
              <w:right w:w="57" w:type="dxa"/>
            </w:tcMar>
          </w:tcPr>
          <w:p w14:paraId="342A4EBB" w14:textId="77777777" w:rsidR="00A23E54" w:rsidRPr="008158F5" w:rsidRDefault="0063570E" w:rsidP="0063570E">
            <w:pPr>
              <w:pStyle w:val="TableText"/>
              <w:jc w:val="center"/>
              <w:rPr>
                <w:rFonts w:eastAsia="Calibri"/>
                <w:b/>
              </w:rPr>
            </w:pPr>
            <w:r>
              <w:rPr>
                <w:rFonts w:eastAsia="Calibri"/>
                <w:b/>
              </w:rPr>
              <w:t>Calculated in monitoring report</w:t>
            </w:r>
          </w:p>
        </w:tc>
      </w:tr>
      <w:tr w:rsidR="0063570E" w:rsidRPr="00C71161" w14:paraId="023FE3DD" w14:textId="77777777" w:rsidTr="0063570E">
        <w:trPr>
          <w:cantSplit/>
        </w:trPr>
        <w:tc>
          <w:tcPr>
            <w:tcW w:w="2552" w:type="dxa"/>
            <w:tcBorders>
              <w:top w:val="nil"/>
            </w:tcBorders>
            <w:shd w:val="clear" w:color="auto" w:fill="auto"/>
            <w:tcMar>
              <w:top w:w="0" w:type="dxa"/>
              <w:left w:w="57" w:type="dxa"/>
              <w:bottom w:w="0" w:type="dxa"/>
              <w:right w:w="57" w:type="dxa"/>
            </w:tcMar>
          </w:tcPr>
          <w:p w14:paraId="6D1E7C45" w14:textId="0321F1F4"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_Ref67909090 \h  \* MERGEFORMAT </w:instrText>
            </w:r>
            <w:r w:rsidRPr="00C71161">
              <w:rPr>
                <w:rFonts w:eastAsia="Calibri"/>
              </w:rPr>
            </w:r>
            <w:r w:rsidRPr="00C71161">
              <w:rPr>
                <w:rFonts w:eastAsia="Calibri"/>
              </w:rPr>
              <w:fldChar w:fldCharType="separate"/>
            </w:r>
            <w:r w:rsidR="007F15D2" w:rsidRPr="00C71161">
              <w:t>PCQI 1.</w:t>
            </w:r>
            <w:r w:rsidR="007F15D2">
              <w:t xml:space="preserve"> </w:t>
            </w:r>
            <w:r w:rsidR="007F15D2" w:rsidRPr="00C71161">
              <w:t>Route to diagnosis</w:t>
            </w:r>
            <w:r w:rsidRPr="00C71161">
              <w:rPr>
                <w:rFonts w:eastAsia="Calibri"/>
              </w:rPr>
              <w:fldChar w:fldCharType="end"/>
            </w:r>
          </w:p>
        </w:tc>
        <w:tc>
          <w:tcPr>
            <w:tcW w:w="3827" w:type="dxa"/>
            <w:tcBorders>
              <w:top w:val="nil"/>
            </w:tcBorders>
            <w:shd w:val="clear" w:color="auto" w:fill="auto"/>
            <w:tcMar>
              <w:top w:w="0" w:type="dxa"/>
              <w:left w:w="57" w:type="dxa"/>
              <w:bottom w:w="0" w:type="dxa"/>
              <w:right w:w="57" w:type="dxa"/>
            </w:tcMar>
          </w:tcPr>
          <w:p w14:paraId="4592655E" w14:textId="77777777" w:rsidR="0063570E" w:rsidRPr="00C71161" w:rsidRDefault="0063570E" w:rsidP="0063570E">
            <w:pPr>
              <w:pStyle w:val="TableText"/>
              <w:ind w:right="113"/>
            </w:pPr>
            <w:r w:rsidRPr="00C71161">
              <w:t>Proportion of men with prostate cancer who are diagnosed following presenta</w:t>
            </w:r>
            <w:r>
              <w:t>tion to an emergency department</w:t>
            </w:r>
          </w:p>
        </w:tc>
        <w:tc>
          <w:tcPr>
            <w:tcW w:w="1701" w:type="dxa"/>
            <w:tcBorders>
              <w:top w:val="nil"/>
            </w:tcBorders>
            <w:shd w:val="clear" w:color="auto" w:fill="auto"/>
            <w:tcMar>
              <w:top w:w="0" w:type="dxa"/>
              <w:left w:w="57" w:type="dxa"/>
              <w:bottom w:w="0" w:type="dxa"/>
              <w:right w:w="57" w:type="dxa"/>
            </w:tcMar>
          </w:tcPr>
          <w:p w14:paraId="1C479C32" w14:textId="77777777" w:rsidR="0063570E" w:rsidRPr="00C71161" w:rsidRDefault="0063570E" w:rsidP="0063570E">
            <w:pPr>
              <w:pStyle w:val="TableText"/>
              <w:jc w:val="center"/>
              <w:rPr>
                <w:rFonts w:eastAsia="Calibri"/>
              </w:rPr>
            </w:pPr>
            <w:r w:rsidRPr="00C71161">
              <w:rPr>
                <w:rFonts w:eastAsia="Calibri"/>
              </w:rPr>
              <w:t>Yes</w:t>
            </w:r>
          </w:p>
        </w:tc>
      </w:tr>
      <w:tr w:rsidR="0063570E" w:rsidRPr="00C71161" w14:paraId="5A514380"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68154384" w14:textId="555DE2CA"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_Ref67909101 \h  \* MERGEFORMAT </w:instrText>
            </w:r>
            <w:r w:rsidRPr="00C71161">
              <w:rPr>
                <w:rFonts w:eastAsia="Calibri"/>
              </w:rPr>
            </w:r>
            <w:r w:rsidRPr="00C71161">
              <w:rPr>
                <w:rFonts w:eastAsia="Calibri"/>
              </w:rPr>
              <w:fldChar w:fldCharType="separate"/>
            </w:r>
            <w:r w:rsidR="007F15D2" w:rsidRPr="00C71161">
              <w:t>PCQI 2.</w:t>
            </w:r>
            <w:r w:rsidR="007F15D2">
              <w:t xml:space="preserve"> </w:t>
            </w:r>
            <w:r w:rsidR="007F15D2" w:rsidRPr="00C71161">
              <w:t>Risk group assigned at diagnosis</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12CBFB92" w14:textId="77777777" w:rsidR="0063570E" w:rsidRPr="00C71161" w:rsidRDefault="0063570E" w:rsidP="0063570E">
            <w:pPr>
              <w:pStyle w:val="TableText"/>
              <w:ind w:left="284" w:right="113" w:hanging="284"/>
            </w:pPr>
            <w:r>
              <w:t>A.</w:t>
            </w:r>
            <w:r>
              <w:tab/>
            </w:r>
            <w:r w:rsidRPr="00C71161">
              <w:t>Proportion of men with prostate cancer with risk group assigned at diagnosis</w:t>
            </w:r>
          </w:p>
          <w:p w14:paraId="367EC7A3" w14:textId="77777777" w:rsidR="0063570E" w:rsidRPr="00C71161" w:rsidRDefault="0063570E" w:rsidP="0063570E">
            <w:pPr>
              <w:pStyle w:val="TableText"/>
              <w:ind w:left="284" w:right="113" w:hanging="284"/>
            </w:pPr>
            <w:r>
              <w:t>B.</w:t>
            </w:r>
            <w:r>
              <w:tab/>
            </w:r>
            <w:r w:rsidRPr="00C71161">
              <w:t xml:space="preserve">Proportion of men with prostate cancer with TNM stage documented on the </w:t>
            </w:r>
            <w:r>
              <w:t>NZCR</w:t>
            </w:r>
          </w:p>
        </w:tc>
        <w:tc>
          <w:tcPr>
            <w:tcW w:w="1701" w:type="dxa"/>
            <w:tcBorders>
              <w:top w:val="single" w:sz="4" w:space="0" w:color="C2D9BA"/>
            </w:tcBorders>
            <w:shd w:val="clear" w:color="auto" w:fill="auto"/>
            <w:tcMar>
              <w:top w:w="0" w:type="dxa"/>
              <w:left w:w="57" w:type="dxa"/>
              <w:bottom w:w="0" w:type="dxa"/>
              <w:right w:w="57" w:type="dxa"/>
            </w:tcMar>
          </w:tcPr>
          <w:p w14:paraId="38BD8983"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321E6860"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7A976854" w14:textId="36E62917"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_Ref67909164 \h  \* MERGEFORMAT </w:instrText>
            </w:r>
            <w:r w:rsidRPr="00C71161">
              <w:rPr>
                <w:rFonts w:eastAsia="Calibri"/>
              </w:rPr>
            </w:r>
            <w:r w:rsidRPr="00C71161">
              <w:rPr>
                <w:rFonts w:eastAsia="Calibri"/>
              </w:rPr>
              <w:fldChar w:fldCharType="separate"/>
            </w:r>
            <w:r w:rsidR="007F15D2" w:rsidRPr="00C71161">
              <w:t>PCQI 3.</w:t>
            </w:r>
            <w:r w:rsidR="007F15D2">
              <w:t xml:space="preserve"> </w:t>
            </w:r>
            <w:r w:rsidR="007F15D2" w:rsidRPr="00C71161">
              <w:t>MRI prior to radical treatment</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1D8A4EC3" w14:textId="77777777" w:rsidR="0063570E" w:rsidRPr="00C71161" w:rsidRDefault="0063570E" w:rsidP="0063570E">
            <w:pPr>
              <w:pStyle w:val="TableText"/>
              <w:ind w:right="113"/>
            </w:pPr>
            <w:r w:rsidRPr="00C71161">
              <w:t>Proportion of men with prostate cancer undergoing an MRI prior to radical treatment</w:t>
            </w:r>
          </w:p>
        </w:tc>
        <w:tc>
          <w:tcPr>
            <w:tcW w:w="1701" w:type="dxa"/>
            <w:tcBorders>
              <w:top w:val="single" w:sz="4" w:space="0" w:color="C2D9BA"/>
            </w:tcBorders>
            <w:shd w:val="clear" w:color="auto" w:fill="auto"/>
            <w:tcMar>
              <w:top w:w="0" w:type="dxa"/>
              <w:left w:w="57" w:type="dxa"/>
              <w:bottom w:w="0" w:type="dxa"/>
              <w:right w:w="57" w:type="dxa"/>
            </w:tcMar>
          </w:tcPr>
          <w:p w14:paraId="5DFC4636"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4FA35A30"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5396EDC9" w14:textId="4EE53B17"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_Ref67909182 \h  \* MERGEFORMAT </w:instrText>
            </w:r>
            <w:r w:rsidRPr="00C71161">
              <w:rPr>
                <w:rFonts w:eastAsia="Calibri"/>
              </w:rPr>
            </w:r>
            <w:r w:rsidRPr="00C71161">
              <w:rPr>
                <w:rFonts w:eastAsia="Calibri"/>
              </w:rPr>
              <w:fldChar w:fldCharType="separate"/>
            </w:r>
            <w:r w:rsidR="007F15D2" w:rsidRPr="00C71161">
              <w:t>PCQI 4.</w:t>
            </w:r>
            <w:r w:rsidR="007F15D2">
              <w:t xml:space="preserve"> </w:t>
            </w:r>
            <w:r w:rsidR="007F15D2" w:rsidRPr="00C71161">
              <w:t>PSMA scan</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602D19B9" w14:textId="77777777" w:rsidR="0063570E" w:rsidRPr="00C71161" w:rsidRDefault="0063570E" w:rsidP="0063570E">
            <w:pPr>
              <w:pStyle w:val="TableText"/>
              <w:ind w:left="425" w:right="113" w:hanging="425"/>
            </w:pPr>
            <w:r>
              <w:t>A.</w:t>
            </w:r>
            <w:r>
              <w:tab/>
            </w:r>
            <w:r w:rsidRPr="00C71161">
              <w:t>Proportion of men with high</w:t>
            </w:r>
            <w:r>
              <w:t>-</w:t>
            </w:r>
            <w:r w:rsidRPr="00C71161">
              <w:t>risk prostate cancer having a PSMA PET/CT scan as part of staging before radical treatment</w:t>
            </w:r>
          </w:p>
          <w:p w14:paraId="3D40C904" w14:textId="77777777" w:rsidR="0063570E" w:rsidRPr="00C71161" w:rsidRDefault="0063570E" w:rsidP="0063570E">
            <w:pPr>
              <w:pStyle w:val="TableText"/>
              <w:ind w:left="425" w:right="113" w:hanging="425"/>
              <w:rPr>
                <w:rFonts w:eastAsia="Calibri"/>
              </w:rPr>
            </w:pPr>
            <w:r>
              <w:t>B.</w:t>
            </w:r>
            <w:r>
              <w:tab/>
            </w:r>
            <w:r w:rsidRPr="00C71161">
              <w:t>Proportion of men who have a pre-salvage PSMA PET/CT scan before being treated with postoperative/ salvage prostate bed radiation</w:t>
            </w:r>
          </w:p>
        </w:tc>
        <w:tc>
          <w:tcPr>
            <w:tcW w:w="1701" w:type="dxa"/>
            <w:tcBorders>
              <w:top w:val="single" w:sz="4" w:space="0" w:color="C2D9BA"/>
            </w:tcBorders>
            <w:shd w:val="clear" w:color="auto" w:fill="auto"/>
            <w:tcMar>
              <w:top w:w="0" w:type="dxa"/>
              <w:left w:w="57" w:type="dxa"/>
              <w:bottom w:w="0" w:type="dxa"/>
              <w:right w:w="57" w:type="dxa"/>
            </w:tcMar>
          </w:tcPr>
          <w:p w14:paraId="796C6D20"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1CDFC595"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48C7BD20" w14:textId="2C736AA3" w:rsidR="0063570E" w:rsidRPr="00C71161" w:rsidRDefault="0063570E" w:rsidP="0063570E">
            <w:pPr>
              <w:pStyle w:val="TableText"/>
              <w:ind w:right="113"/>
              <w:rPr>
                <w:rFonts w:eastAsia="Calibri"/>
              </w:rPr>
            </w:pPr>
            <w:r>
              <w:rPr>
                <w:rFonts w:eastAsia="Calibri"/>
              </w:rPr>
              <w:fldChar w:fldCharType="begin"/>
            </w:r>
            <w:r>
              <w:rPr>
                <w:rFonts w:eastAsia="Calibri"/>
              </w:rPr>
              <w:instrText xml:space="preserve"> REF _Ref68540361 \h  \* MERGEFORMAT </w:instrText>
            </w:r>
            <w:r>
              <w:rPr>
                <w:rFonts w:eastAsia="Calibri"/>
              </w:rPr>
            </w:r>
            <w:r>
              <w:rPr>
                <w:rFonts w:eastAsia="Calibri"/>
              </w:rPr>
              <w:fldChar w:fldCharType="separate"/>
            </w:r>
            <w:r w:rsidR="007F15D2" w:rsidRPr="00C71161">
              <w:t>PCQI 5.</w:t>
            </w:r>
            <w:r w:rsidR="007F15D2">
              <w:t xml:space="preserve"> </w:t>
            </w:r>
            <w:r w:rsidR="007F15D2" w:rsidRPr="0075125F">
              <w:t xml:space="preserve">Discussion with radiation oncologist </w:t>
            </w:r>
            <w:r w:rsidR="007F15D2">
              <w:t>before</w:t>
            </w:r>
            <w:r w:rsidR="007F15D2" w:rsidRPr="0075125F">
              <w:t xml:space="preserve"> radical prostatectomy</w:t>
            </w:r>
            <w:r>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31AF5EBA" w14:textId="77777777" w:rsidR="0063570E" w:rsidRPr="00C71161" w:rsidRDefault="0063570E" w:rsidP="0063570E">
            <w:pPr>
              <w:pStyle w:val="TableText"/>
              <w:ind w:right="113"/>
              <w:rPr>
                <w:rFonts w:eastAsia="Calibri"/>
              </w:rPr>
            </w:pPr>
            <w:r w:rsidRPr="00C71161">
              <w:t xml:space="preserve">Proportion of men with prostate cancer being considered for radical prostatectomy who see a radiation oncologist </w:t>
            </w:r>
            <w:r>
              <w:t>before</w:t>
            </w:r>
            <w:r w:rsidRPr="00C71161">
              <w:t xml:space="preserve"> treatment, including remote consultations</w:t>
            </w:r>
          </w:p>
        </w:tc>
        <w:tc>
          <w:tcPr>
            <w:tcW w:w="1701" w:type="dxa"/>
            <w:tcBorders>
              <w:top w:val="single" w:sz="4" w:space="0" w:color="C2D9BA"/>
            </w:tcBorders>
            <w:shd w:val="clear" w:color="auto" w:fill="auto"/>
            <w:tcMar>
              <w:top w:w="0" w:type="dxa"/>
              <w:left w:w="57" w:type="dxa"/>
              <w:bottom w:w="0" w:type="dxa"/>
              <w:right w:w="57" w:type="dxa"/>
            </w:tcMar>
          </w:tcPr>
          <w:p w14:paraId="2FD1C0D7" w14:textId="77777777" w:rsidR="0063570E" w:rsidRPr="00C71161" w:rsidRDefault="0063570E" w:rsidP="0063570E">
            <w:pPr>
              <w:pStyle w:val="TableText"/>
              <w:jc w:val="center"/>
              <w:rPr>
                <w:rFonts w:eastAsia="Calibri"/>
              </w:rPr>
            </w:pPr>
            <w:r>
              <w:rPr>
                <w:rFonts w:eastAsia="Calibri"/>
              </w:rPr>
              <w:t>Yes</w:t>
            </w:r>
          </w:p>
        </w:tc>
      </w:tr>
      <w:tr w:rsidR="0063570E" w:rsidRPr="00C71161" w14:paraId="621C4362"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4FABB7ED" w14:textId="2F33E0F8"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_Ref67909260 \h  \* MERGEFORMAT </w:instrText>
            </w:r>
            <w:r w:rsidRPr="00C71161">
              <w:rPr>
                <w:rFonts w:eastAsia="Calibri"/>
              </w:rPr>
            </w:r>
            <w:r w:rsidRPr="00C71161">
              <w:rPr>
                <w:rFonts w:eastAsia="Calibri"/>
              </w:rPr>
              <w:fldChar w:fldCharType="separate"/>
            </w:r>
            <w:r w:rsidR="007F15D2">
              <w:t>P</w:t>
            </w:r>
            <w:r w:rsidR="007F15D2" w:rsidRPr="00C71161">
              <w:t>CQI 6.</w:t>
            </w:r>
            <w:r w:rsidR="007F15D2">
              <w:t xml:space="preserve"> </w:t>
            </w:r>
            <w:r w:rsidR="007F15D2" w:rsidRPr="00C71161">
              <w:t>Medical oncology review of patients with advanced disease</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09BBCDED" w14:textId="77777777" w:rsidR="0063570E" w:rsidRPr="00C71161" w:rsidRDefault="0063570E" w:rsidP="0063570E">
            <w:pPr>
              <w:pStyle w:val="TableText"/>
              <w:ind w:right="113"/>
              <w:rPr>
                <w:rFonts w:eastAsia="Calibri"/>
              </w:rPr>
            </w:pPr>
            <w:r>
              <w:rPr>
                <w:szCs w:val="21"/>
              </w:rPr>
              <w:t>Proportion of men with advanced prostate cancer who see a medical oncologist</w:t>
            </w:r>
          </w:p>
        </w:tc>
        <w:tc>
          <w:tcPr>
            <w:tcW w:w="1701" w:type="dxa"/>
            <w:tcBorders>
              <w:top w:val="single" w:sz="4" w:space="0" w:color="C2D9BA"/>
            </w:tcBorders>
            <w:shd w:val="clear" w:color="auto" w:fill="auto"/>
            <w:tcMar>
              <w:top w:w="0" w:type="dxa"/>
              <w:left w:w="57" w:type="dxa"/>
              <w:bottom w:w="0" w:type="dxa"/>
              <w:right w:w="57" w:type="dxa"/>
            </w:tcMar>
          </w:tcPr>
          <w:p w14:paraId="04D7B3E0" w14:textId="77777777" w:rsidR="0063570E" w:rsidRPr="00C71161" w:rsidRDefault="0063570E" w:rsidP="0063570E">
            <w:pPr>
              <w:pStyle w:val="TableText"/>
              <w:jc w:val="center"/>
              <w:rPr>
                <w:rFonts w:eastAsia="Calibri"/>
              </w:rPr>
            </w:pPr>
            <w:r>
              <w:rPr>
                <w:rFonts w:eastAsia="Calibri"/>
              </w:rPr>
              <w:t>Yes</w:t>
            </w:r>
          </w:p>
        </w:tc>
      </w:tr>
      <w:tr w:rsidR="0063570E" w:rsidRPr="00C71161" w14:paraId="0733E10E"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7151EA7A" w14:textId="1A91856D"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_Ref67909287 \h  \* MERGEFORMAT </w:instrText>
            </w:r>
            <w:r w:rsidRPr="00C71161">
              <w:rPr>
                <w:rFonts w:eastAsia="Calibri"/>
              </w:rPr>
            </w:r>
            <w:r w:rsidRPr="00C71161">
              <w:rPr>
                <w:rFonts w:eastAsia="Calibri"/>
              </w:rPr>
              <w:fldChar w:fldCharType="separate"/>
            </w:r>
            <w:r w:rsidR="007F15D2">
              <w:t>P</w:t>
            </w:r>
            <w:r w:rsidR="007F15D2" w:rsidRPr="00C71161">
              <w:t>CQI 7.</w:t>
            </w:r>
            <w:r w:rsidR="007F15D2">
              <w:t xml:space="preserve"> </w:t>
            </w:r>
            <w:r w:rsidR="007F15D2" w:rsidRPr="00C71161">
              <w:t>Surgical margin status of pT2 stage disease</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6E9D4F64" w14:textId="77777777" w:rsidR="0063570E" w:rsidRPr="00C71161" w:rsidRDefault="0063570E" w:rsidP="0063570E">
            <w:pPr>
              <w:pStyle w:val="TableText"/>
              <w:ind w:right="113"/>
              <w:rPr>
                <w:rFonts w:eastAsia="Calibri"/>
              </w:rPr>
            </w:pPr>
            <w:r w:rsidRPr="00C71161">
              <w:t xml:space="preserve">Positive surgical margin rates for </w:t>
            </w:r>
            <w:r>
              <w:t>p</w:t>
            </w:r>
            <w:r w:rsidRPr="00C71161">
              <w:t>T2 stage disease</w:t>
            </w:r>
          </w:p>
        </w:tc>
        <w:tc>
          <w:tcPr>
            <w:tcW w:w="1701" w:type="dxa"/>
            <w:tcBorders>
              <w:top w:val="single" w:sz="4" w:space="0" w:color="C2D9BA"/>
            </w:tcBorders>
            <w:shd w:val="clear" w:color="auto" w:fill="auto"/>
            <w:tcMar>
              <w:top w:w="0" w:type="dxa"/>
              <w:left w:w="57" w:type="dxa"/>
              <w:bottom w:w="0" w:type="dxa"/>
              <w:right w:w="57" w:type="dxa"/>
            </w:tcMar>
          </w:tcPr>
          <w:p w14:paraId="23FB9FF3"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75811911"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6C4D9D44" w14:textId="361A2BE8"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_Ref67909345 \h  \* MERGEFORMAT </w:instrText>
            </w:r>
            <w:r w:rsidRPr="00C71161">
              <w:rPr>
                <w:rFonts w:eastAsia="Calibri"/>
              </w:rPr>
            </w:r>
            <w:r w:rsidRPr="00C71161">
              <w:rPr>
                <w:rFonts w:eastAsia="Calibri"/>
              </w:rPr>
              <w:fldChar w:fldCharType="separate"/>
            </w:r>
            <w:r w:rsidR="007F15D2" w:rsidRPr="00C71161">
              <w:t>PCQI 8.</w:t>
            </w:r>
            <w:r w:rsidR="007F15D2">
              <w:t xml:space="preserve"> </w:t>
            </w:r>
            <w:r w:rsidR="007F15D2" w:rsidRPr="00C71161">
              <w:t>Length of stay after surgery</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789728F8" w14:textId="77777777" w:rsidR="0063570E" w:rsidRPr="00C71161" w:rsidRDefault="0063570E" w:rsidP="0063570E">
            <w:pPr>
              <w:pStyle w:val="TableText"/>
              <w:ind w:left="284" w:right="113" w:hanging="284"/>
            </w:pPr>
            <w:r>
              <w:t>A.</w:t>
            </w:r>
            <w:r>
              <w:tab/>
            </w:r>
            <w:r w:rsidRPr="00C71161">
              <w:t xml:space="preserve">Proportion of men with prostate cancer discharged more than </w:t>
            </w:r>
            <w:r>
              <w:t>two</w:t>
            </w:r>
            <w:r w:rsidRPr="00C71161">
              <w:t xml:space="preserve"> days after radical prostatectomy</w:t>
            </w:r>
          </w:p>
          <w:p w14:paraId="5A0BA841" w14:textId="77777777" w:rsidR="0063570E" w:rsidRPr="00C71161" w:rsidRDefault="0063570E" w:rsidP="0063570E">
            <w:pPr>
              <w:pStyle w:val="TableText"/>
              <w:ind w:left="284" w:right="113" w:hanging="284"/>
            </w:pPr>
            <w:r>
              <w:t>B.</w:t>
            </w:r>
            <w:r>
              <w:tab/>
            </w:r>
            <w:r w:rsidRPr="00C71161">
              <w:t xml:space="preserve">Proportion of men with prostate cancer discharged </w:t>
            </w:r>
            <w:r>
              <w:t>five</w:t>
            </w:r>
            <w:r w:rsidRPr="00C71161">
              <w:t xml:space="preserve"> or more days after radical prostatectomy</w:t>
            </w:r>
          </w:p>
        </w:tc>
        <w:tc>
          <w:tcPr>
            <w:tcW w:w="1701" w:type="dxa"/>
            <w:tcBorders>
              <w:top w:val="single" w:sz="4" w:space="0" w:color="C2D9BA"/>
            </w:tcBorders>
            <w:shd w:val="clear" w:color="auto" w:fill="auto"/>
            <w:tcMar>
              <w:top w:w="0" w:type="dxa"/>
              <w:left w:w="57" w:type="dxa"/>
              <w:bottom w:w="0" w:type="dxa"/>
              <w:right w:w="57" w:type="dxa"/>
            </w:tcMar>
          </w:tcPr>
          <w:p w14:paraId="0C42B0B0" w14:textId="77777777" w:rsidR="0063570E" w:rsidRPr="00C71161" w:rsidRDefault="0063570E" w:rsidP="0063570E">
            <w:pPr>
              <w:pStyle w:val="TableText"/>
              <w:jc w:val="center"/>
              <w:rPr>
                <w:rFonts w:eastAsia="Calibri"/>
              </w:rPr>
            </w:pPr>
            <w:r w:rsidRPr="00C71161">
              <w:rPr>
                <w:rFonts w:eastAsia="Calibri"/>
              </w:rPr>
              <w:t>Yes</w:t>
            </w:r>
          </w:p>
        </w:tc>
      </w:tr>
      <w:tr w:rsidR="0063570E" w:rsidRPr="00C71161" w14:paraId="732429B6"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74AB85CD" w14:textId="56A51B95" w:rsidR="0063570E" w:rsidRPr="00C71161" w:rsidRDefault="0063570E" w:rsidP="00306AA4">
            <w:pPr>
              <w:pStyle w:val="TableText"/>
              <w:keepNext/>
              <w:ind w:right="113"/>
              <w:rPr>
                <w:rFonts w:eastAsia="Calibri"/>
              </w:rPr>
            </w:pPr>
            <w:r w:rsidRPr="00C71161">
              <w:rPr>
                <w:rFonts w:eastAsia="Calibri"/>
              </w:rPr>
              <w:lastRenderedPageBreak/>
              <w:fldChar w:fldCharType="begin"/>
            </w:r>
            <w:r w:rsidRPr="00C71161">
              <w:rPr>
                <w:rFonts w:eastAsia="Calibri"/>
              </w:rPr>
              <w:instrText xml:space="preserve"> REF _Ref67909451 \h  \* MERGEFORMAT </w:instrText>
            </w:r>
            <w:r w:rsidRPr="00C71161">
              <w:rPr>
                <w:rFonts w:eastAsia="Calibri"/>
              </w:rPr>
            </w:r>
            <w:r w:rsidRPr="00C71161">
              <w:rPr>
                <w:rFonts w:eastAsia="Calibri"/>
              </w:rPr>
              <w:fldChar w:fldCharType="separate"/>
            </w:r>
            <w:r w:rsidR="007F15D2" w:rsidRPr="00C71161">
              <w:t>PCQI 9.</w:t>
            </w:r>
            <w:r w:rsidR="007F15D2">
              <w:t xml:space="preserve"> </w:t>
            </w:r>
            <w:r w:rsidR="007F15D2" w:rsidRPr="00C71161">
              <w:t>Equitable access to treatment</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73390793" w14:textId="77777777" w:rsidR="0063570E" w:rsidRPr="00C71161" w:rsidRDefault="0063570E" w:rsidP="00306AA4">
            <w:pPr>
              <w:pStyle w:val="TableText"/>
              <w:keepNext/>
              <w:ind w:right="113"/>
              <w:rPr>
                <w:rFonts w:eastAsia="Calibri"/>
              </w:rPr>
            </w:pPr>
            <w:r w:rsidRPr="004B55C9">
              <w:rPr>
                <w:szCs w:val="21"/>
              </w:rPr>
              <w:t>Proportion of men treated with radical surgery, curative radiation treatment and either radical surgery or curative radiation treatment</w:t>
            </w:r>
          </w:p>
        </w:tc>
        <w:tc>
          <w:tcPr>
            <w:tcW w:w="1701" w:type="dxa"/>
            <w:tcBorders>
              <w:top w:val="single" w:sz="4" w:space="0" w:color="C2D9BA"/>
            </w:tcBorders>
            <w:shd w:val="clear" w:color="auto" w:fill="auto"/>
            <w:tcMar>
              <w:top w:w="0" w:type="dxa"/>
              <w:left w:w="57" w:type="dxa"/>
              <w:bottom w:w="0" w:type="dxa"/>
              <w:right w:w="57" w:type="dxa"/>
            </w:tcMar>
          </w:tcPr>
          <w:p w14:paraId="6DE48737" w14:textId="77777777" w:rsidR="0063570E" w:rsidRPr="00C71161" w:rsidRDefault="0063570E" w:rsidP="00306AA4">
            <w:pPr>
              <w:pStyle w:val="TableText"/>
              <w:keepNext/>
              <w:jc w:val="center"/>
              <w:rPr>
                <w:rFonts w:eastAsia="Calibri"/>
              </w:rPr>
            </w:pPr>
            <w:r>
              <w:rPr>
                <w:rFonts w:eastAsia="Calibri"/>
              </w:rPr>
              <w:t>Yes</w:t>
            </w:r>
          </w:p>
        </w:tc>
      </w:tr>
      <w:tr w:rsidR="0063570E" w:rsidRPr="00C71161" w14:paraId="403E172F"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4D611823" w14:textId="223DE6DC"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_Ref67909470 \h  \* MERGEFORMAT </w:instrText>
            </w:r>
            <w:r w:rsidRPr="00C71161">
              <w:rPr>
                <w:rFonts w:eastAsia="Calibri"/>
              </w:rPr>
            </w:r>
            <w:r w:rsidRPr="00C71161">
              <w:rPr>
                <w:rFonts w:eastAsia="Calibri"/>
              </w:rPr>
              <w:fldChar w:fldCharType="separate"/>
            </w:r>
            <w:r w:rsidR="007F15D2" w:rsidRPr="00C71161">
              <w:t>PCQI 10.</w:t>
            </w:r>
            <w:r w:rsidR="007F15D2">
              <w:t xml:space="preserve"> </w:t>
            </w:r>
            <w:r w:rsidR="007F15D2" w:rsidRPr="00C71161">
              <w:t>Timeliness of treatment pathway</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20E7DBA5" w14:textId="77777777" w:rsidR="0063570E" w:rsidRPr="00C71161" w:rsidRDefault="0063570E" w:rsidP="0063570E">
            <w:pPr>
              <w:pStyle w:val="TableText"/>
              <w:ind w:left="284" w:right="113" w:hanging="284"/>
            </w:pPr>
            <w:r>
              <w:t>A.</w:t>
            </w:r>
            <w:r>
              <w:tab/>
            </w:r>
            <w:r w:rsidRPr="00C71161">
              <w:t>Time from receipt of referral to fir</w:t>
            </w:r>
            <w:r>
              <w:t>st specialist appointment (FSA)</w:t>
            </w:r>
          </w:p>
          <w:p w14:paraId="79E2161D" w14:textId="77777777" w:rsidR="0063570E" w:rsidRPr="00C71161" w:rsidRDefault="0063570E" w:rsidP="0063570E">
            <w:pPr>
              <w:pStyle w:val="TableText"/>
              <w:ind w:left="284" w:right="113" w:hanging="284"/>
            </w:pPr>
            <w:r>
              <w:t>B.</w:t>
            </w:r>
            <w:r>
              <w:tab/>
            </w:r>
            <w:r w:rsidRPr="00C71161">
              <w:t>Time from receipt of referral to diagnosis</w:t>
            </w:r>
          </w:p>
          <w:p w14:paraId="71775A2E" w14:textId="77777777" w:rsidR="0063570E" w:rsidRPr="00C71161" w:rsidRDefault="0063570E" w:rsidP="0063570E">
            <w:pPr>
              <w:pStyle w:val="TableText"/>
              <w:ind w:left="284" w:right="113" w:hanging="284"/>
              <w:rPr>
                <w:rFonts w:eastAsia="Calibri"/>
              </w:rPr>
            </w:pPr>
            <w:r>
              <w:t>C.</w:t>
            </w:r>
            <w:r>
              <w:tab/>
            </w:r>
            <w:r w:rsidRPr="00C71161">
              <w:t>Time from decision to treat to first treatment</w:t>
            </w:r>
          </w:p>
        </w:tc>
        <w:tc>
          <w:tcPr>
            <w:tcW w:w="1701" w:type="dxa"/>
            <w:tcBorders>
              <w:top w:val="single" w:sz="4" w:space="0" w:color="C2D9BA"/>
            </w:tcBorders>
            <w:shd w:val="clear" w:color="auto" w:fill="auto"/>
            <w:tcMar>
              <w:top w:w="0" w:type="dxa"/>
              <w:left w:w="57" w:type="dxa"/>
              <w:bottom w:w="0" w:type="dxa"/>
              <w:right w:w="57" w:type="dxa"/>
            </w:tcMar>
          </w:tcPr>
          <w:p w14:paraId="0ACB9C76" w14:textId="77777777" w:rsidR="0063570E" w:rsidRPr="00D34CD3" w:rsidRDefault="0063570E" w:rsidP="0063570E">
            <w:pPr>
              <w:pStyle w:val="TableText"/>
              <w:jc w:val="center"/>
              <w:rPr>
                <w:rFonts w:eastAsia="Calibri"/>
              </w:rPr>
            </w:pPr>
            <w:r w:rsidRPr="00D34CD3">
              <w:t>No</w:t>
            </w:r>
          </w:p>
        </w:tc>
      </w:tr>
      <w:tr w:rsidR="0063570E" w:rsidRPr="00C71161" w14:paraId="604AB36F"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290C4862" w14:textId="6E195C87"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_Ref67909480 \h  \* MERGEFORMAT </w:instrText>
            </w:r>
            <w:r w:rsidRPr="00C71161">
              <w:rPr>
                <w:rFonts w:eastAsia="Calibri"/>
              </w:rPr>
            </w:r>
            <w:r w:rsidRPr="00C71161">
              <w:rPr>
                <w:rFonts w:eastAsia="Calibri"/>
              </w:rPr>
              <w:fldChar w:fldCharType="separate"/>
            </w:r>
            <w:r w:rsidR="007F15D2" w:rsidRPr="00C71161">
              <w:t>PCQI 11.</w:t>
            </w:r>
            <w:r w:rsidR="007F15D2">
              <w:t xml:space="preserve"> </w:t>
            </w:r>
            <w:r w:rsidR="007F15D2" w:rsidRPr="00C71161">
              <w:t>Quality of life</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57419711" w14:textId="77777777" w:rsidR="0063570E" w:rsidRPr="00C71161" w:rsidRDefault="0063570E" w:rsidP="0063570E">
            <w:pPr>
              <w:pStyle w:val="TableText"/>
              <w:ind w:right="113"/>
            </w:pPr>
            <w:r w:rsidRPr="00C71161">
              <w:t xml:space="preserve">Proportion of men </w:t>
            </w:r>
            <w:proofErr w:type="gramStart"/>
            <w:r w:rsidRPr="00C71161">
              <w:t>whose</w:t>
            </w:r>
            <w:proofErr w:type="gramEnd"/>
            <w:r w:rsidRPr="00C71161">
              <w:t xml:space="preserve"> mental and/or physical quality of life is </w:t>
            </w:r>
            <w:r w:rsidRPr="00C37DB8">
              <w:t>significantly affected afte</w:t>
            </w:r>
            <w:r w:rsidRPr="00C71161">
              <w:t>r (radical) treatment.</w:t>
            </w:r>
          </w:p>
          <w:p w14:paraId="0A4D3B40" w14:textId="77777777" w:rsidR="0063570E" w:rsidRPr="00C71161" w:rsidRDefault="0063570E" w:rsidP="0063570E">
            <w:pPr>
              <w:pStyle w:val="TableText"/>
              <w:ind w:right="113"/>
              <w:rPr>
                <w:rFonts w:eastAsia="Calibri"/>
              </w:rPr>
            </w:pPr>
            <w:r w:rsidRPr="00C71161">
              <w:t xml:space="preserve">Measure of men’s functional outcome by assessing proportion of men in each EPIC category: urinary incontinence, urinary irritation, urinary obstruction, bowel habits, sexual </w:t>
            </w:r>
            <w:proofErr w:type="gramStart"/>
            <w:r w:rsidRPr="00C71161">
              <w:t>function</w:t>
            </w:r>
            <w:proofErr w:type="gramEnd"/>
            <w:r w:rsidRPr="00C71161">
              <w:t xml:space="preserve"> and hormonal function</w:t>
            </w:r>
          </w:p>
        </w:tc>
        <w:tc>
          <w:tcPr>
            <w:tcW w:w="1701" w:type="dxa"/>
            <w:tcBorders>
              <w:top w:val="single" w:sz="4" w:space="0" w:color="C2D9BA"/>
            </w:tcBorders>
            <w:shd w:val="clear" w:color="auto" w:fill="auto"/>
            <w:tcMar>
              <w:top w:w="0" w:type="dxa"/>
              <w:left w:w="57" w:type="dxa"/>
              <w:bottom w:w="0" w:type="dxa"/>
              <w:right w:w="57" w:type="dxa"/>
            </w:tcMar>
          </w:tcPr>
          <w:p w14:paraId="4FE6B215"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6407D5BE" w14:textId="77777777" w:rsidTr="0063570E">
        <w:trPr>
          <w:cantSplit/>
        </w:trPr>
        <w:tc>
          <w:tcPr>
            <w:tcW w:w="2552" w:type="dxa"/>
            <w:tcBorders>
              <w:top w:val="single" w:sz="4" w:space="0" w:color="C2D9BA"/>
            </w:tcBorders>
            <w:shd w:val="clear" w:color="auto" w:fill="auto"/>
            <w:tcMar>
              <w:top w:w="0" w:type="dxa"/>
              <w:left w:w="57" w:type="dxa"/>
              <w:bottom w:w="0" w:type="dxa"/>
              <w:right w:w="57" w:type="dxa"/>
            </w:tcMar>
          </w:tcPr>
          <w:p w14:paraId="2CD28111" w14:textId="7EB758B9"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_Ref67909502 \h  \* MERGEFORMAT </w:instrText>
            </w:r>
            <w:r w:rsidRPr="00C71161">
              <w:rPr>
                <w:rFonts w:eastAsia="Calibri"/>
              </w:rPr>
            </w:r>
            <w:r w:rsidRPr="00C71161">
              <w:rPr>
                <w:rFonts w:eastAsia="Calibri"/>
              </w:rPr>
              <w:fldChar w:fldCharType="separate"/>
            </w:r>
            <w:r w:rsidR="007F15D2" w:rsidRPr="00C71161">
              <w:t>PCQI 12.</w:t>
            </w:r>
            <w:r w:rsidR="007F15D2">
              <w:t xml:space="preserve"> </w:t>
            </w:r>
            <w:r w:rsidR="007F15D2" w:rsidRPr="00C71161">
              <w:t>Progression-free survival</w:t>
            </w:r>
            <w:r w:rsidRPr="00C71161">
              <w:rPr>
                <w:rFonts w:eastAsia="Calibri"/>
              </w:rPr>
              <w:fldChar w:fldCharType="end"/>
            </w:r>
          </w:p>
        </w:tc>
        <w:tc>
          <w:tcPr>
            <w:tcW w:w="3827" w:type="dxa"/>
            <w:tcBorders>
              <w:top w:val="single" w:sz="4" w:space="0" w:color="C2D9BA"/>
            </w:tcBorders>
            <w:shd w:val="clear" w:color="auto" w:fill="auto"/>
            <w:tcMar>
              <w:top w:w="0" w:type="dxa"/>
              <w:left w:w="57" w:type="dxa"/>
              <w:bottom w:w="0" w:type="dxa"/>
              <w:right w:w="57" w:type="dxa"/>
            </w:tcMar>
          </w:tcPr>
          <w:p w14:paraId="22AE378E" w14:textId="77777777" w:rsidR="0063570E" w:rsidRPr="00C71161" w:rsidRDefault="0063570E" w:rsidP="0063570E">
            <w:pPr>
              <w:pStyle w:val="TableText"/>
              <w:ind w:right="113"/>
              <w:rPr>
                <w:rFonts w:eastAsia="Calibri"/>
              </w:rPr>
            </w:pPr>
            <w:r w:rsidRPr="00C71161">
              <w:t>Proportion of men enrolled in active surveillance, or having undergone radiation treatment or radical prostatectomy, who show no objective evidence of biochemical disease progression at 2, 5 and 10 years after treatment</w:t>
            </w:r>
          </w:p>
        </w:tc>
        <w:tc>
          <w:tcPr>
            <w:tcW w:w="1701" w:type="dxa"/>
            <w:tcBorders>
              <w:top w:val="single" w:sz="4" w:space="0" w:color="C2D9BA"/>
            </w:tcBorders>
            <w:shd w:val="clear" w:color="auto" w:fill="auto"/>
            <w:tcMar>
              <w:top w:w="0" w:type="dxa"/>
              <w:left w:w="57" w:type="dxa"/>
              <w:bottom w:w="0" w:type="dxa"/>
              <w:right w:w="57" w:type="dxa"/>
            </w:tcMar>
          </w:tcPr>
          <w:p w14:paraId="1095F5EA" w14:textId="77777777" w:rsidR="0063570E" w:rsidRPr="00C71161" w:rsidRDefault="0063570E" w:rsidP="0063570E">
            <w:pPr>
              <w:pStyle w:val="TableText"/>
              <w:jc w:val="center"/>
              <w:rPr>
                <w:rFonts w:eastAsia="Calibri"/>
              </w:rPr>
            </w:pPr>
            <w:r w:rsidRPr="00C71161">
              <w:rPr>
                <w:rFonts w:eastAsia="Calibri"/>
              </w:rPr>
              <w:t>No</w:t>
            </w:r>
          </w:p>
        </w:tc>
      </w:tr>
      <w:tr w:rsidR="0063570E" w:rsidRPr="00C71161" w14:paraId="16F7FC02" w14:textId="77777777" w:rsidTr="0063570E">
        <w:trPr>
          <w:cantSplit/>
        </w:trPr>
        <w:tc>
          <w:tcPr>
            <w:tcW w:w="2552" w:type="dxa"/>
            <w:shd w:val="clear" w:color="auto" w:fill="auto"/>
            <w:tcMar>
              <w:top w:w="0" w:type="dxa"/>
              <w:left w:w="57" w:type="dxa"/>
              <w:bottom w:w="0" w:type="dxa"/>
              <w:right w:w="57" w:type="dxa"/>
            </w:tcMar>
          </w:tcPr>
          <w:p w14:paraId="1B9FBBA8" w14:textId="180EEA6A" w:rsidR="0063570E" w:rsidRPr="00C71161" w:rsidRDefault="0063570E" w:rsidP="0063570E">
            <w:pPr>
              <w:pStyle w:val="TableText"/>
              <w:ind w:right="113"/>
              <w:rPr>
                <w:rFonts w:eastAsia="Calibri"/>
              </w:rPr>
            </w:pPr>
            <w:r w:rsidRPr="00C71161">
              <w:rPr>
                <w:rFonts w:eastAsia="Calibri"/>
              </w:rPr>
              <w:fldChar w:fldCharType="begin"/>
            </w:r>
            <w:r w:rsidRPr="00C71161">
              <w:rPr>
                <w:rFonts w:eastAsia="Calibri"/>
              </w:rPr>
              <w:instrText xml:space="preserve"> REF _Ref67909510 \h  \* MERGEFORMAT </w:instrText>
            </w:r>
            <w:r w:rsidRPr="00C71161">
              <w:rPr>
                <w:rFonts w:eastAsia="Calibri"/>
              </w:rPr>
            </w:r>
            <w:r w:rsidRPr="00C71161">
              <w:rPr>
                <w:rFonts w:eastAsia="Calibri"/>
              </w:rPr>
              <w:fldChar w:fldCharType="separate"/>
            </w:r>
            <w:r w:rsidR="007F15D2" w:rsidRPr="00C71161">
              <w:t>PCQI 13.</w:t>
            </w:r>
            <w:r w:rsidR="007F15D2">
              <w:t xml:space="preserve"> </w:t>
            </w:r>
            <w:r w:rsidR="007F15D2" w:rsidRPr="00C71161">
              <w:t>Overall survival</w:t>
            </w:r>
            <w:r w:rsidRPr="00C71161">
              <w:rPr>
                <w:rFonts w:eastAsia="Calibri"/>
              </w:rPr>
              <w:fldChar w:fldCharType="end"/>
            </w:r>
          </w:p>
        </w:tc>
        <w:tc>
          <w:tcPr>
            <w:tcW w:w="3827" w:type="dxa"/>
            <w:shd w:val="clear" w:color="auto" w:fill="auto"/>
            <w:tcMar>
              <w:top w:w="0" w:type="dxa"/>
              <w:left w:w="57" w:type="dxa"/>
              <w:bottom w:w="0" w:type="dxa"/>
              <w:right w:w="57" w:type="dxa"/>
            </w:tcMar>
          </w:tcPr>
          <w:p w14:paraId="59EEE981" w14:textId="77777777" w:rsidR="0063570E" w:rsidRPr="00C71161" w:rsidRDefault="0063570E" w:rsidP="0063570E">
            <w:pPr>
              <w:pStyle w:val="TableText"/>
              <w:ind w:right="113"/>
              <w:rPr>
                <w:rFonts w:eastAsia="Calibri"/>
              </w:rPr>
            </w:pPr>
            <w:r w:rsidRPr="00C71161">
              <w:t>Overall survival for men with prostate cancer at 1, 3, 5 and 10 years from diagnosis by stage</w:t>
            </w:r>
          </w:p>
        </w:tc>
        <w:tc>
          <w:tcPr>
            <w:tcW w:w="1701" w:type="dxa"/>
            <w:shd w:val="clear" w:color="auto" w:fill="auto"/>
            <w:tcMar>
              <w:top w:w="0" w:type="dxa"/>
              <w:left w:w="57" w:type="dxa"/>
              <w:bottom w:w="0" w:type="dxa"/>
              <w:right w:w="57" w:type="dxa"/>
            </w:tcMar>
          </w:tcPr>
          <w:p w14:paraId="3D80F306" w14:textId="77777777" w:rsidR="0063570E" w:rsidRPr="00C71161" w:rsidRDefault="0063570E" w:rsidP="0063570E">
            <w:pPr>
              <w:pStyle w:val="TableText"/>
              <w:jc w:val="center"/>
              <w:rPr>
                <w:rFonts w:eastAsia="Calibri"/>
              </w:rPr>
            </w:pPr>
            <w:r>
              <w:rPr>
                <w:rFonts w:eastAsia="Calibri"/>
              </w:rPr>
              <w:t>No</w:t>
            </w:r>
          </w:p>
        </w:tc>
      </w:tr>
    </w:tbl>
    <w:p w14:paraId="428B8F80" w14:textId="77777777" w:rsidR="009E648A" w:rsidRDefault="009E648A" w:rsidP="009E648A">
      <w:bookmarkStart w:id="35" w:name="_Adjuvant_chemotherapy_indicator"/>
      <w:bookmarkEnd w:id="35"/>
    </w:p>
    <w:p w14:paraId="7F0CF2DE" w14:textId="77777777" w:rsidR="00A23E54" w:rsidRPr="00C71161" w:rsidRDefault="00A23E54" w:rsidP="00B558BE">
      <w:pPr>
        <w:pStyle w:val="Heading2"/>
        <w:keepNext w:val="0"/>
        <w:pageBreakBefore/>
        <w:spacing w:before="0"/>
      </w:pPr>
      <w:bookmarkStart w:id="36" w:name="_Toc13561054"/>
      <w:bookmarkStart w:id="37" w:name="_Toc18056770"/>
      <w:bookmarkStart w:id="38" w:name="_Ref67909090"/>
      <w:bookmarkStart w:id="39" w:name="_Toc79501560"/>
      <w:bookmarkStart w:id="40" w:name="_Toc82433280"/>
      <w:r w:rsidRPr="00C71161">
        <w:lastRenderedPageBreak/>
        <w:t>PCQI 1.</w:t>
      </w:r>
      <w:r>
        <w:t xml:space="preserve"> </w:t>
      </w:r>
      <w:r w:rsidRPr="00C71161">
        <w:t>Route to diagnosis</w:t>
      </w:r>
      <w:bookmarkEnd w:id="9"/>
      <w:bookmarkEnd w:id="10"/>
      <w:bookmarkEnd w:id="11"/>
      <w:bookmarkEnd w:id="36"/>
      <w:bookmarkEnd w:id="37"/>
      <w:bookmarkEnd w:id="38"/>
      <w:bookmarkEnd w:id="39"/>
      <w:bookmarkEnd w:id="40"/>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3DD29542" w14:textId="77777777" w:rsidTr="00B558BE">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2ECE38E4" w14:textId="77777777" w:rsidR="006E2EB8" w:rsidRPr="00B558BE" w:rsidRDefault="006E2EB8" w:rsidP="00B558BE">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869619D" w14:textId="77777777" w:rsidR="006E2EB8" w:rsidRPr="000825B5" w:rsidRDefault="006E2EB8" w:rsidP="006E2EB8">
            <w:pPr>
              <w:pStyle w:val="TableText"/>
            </w:pPr>
            <w:r w:rsidRPr="000825B5">
              <w:t xml:space="preserve">Proportion of men with prostate cancer who are diagnosed following presentation to an emergency department </w:t>
            </w:r>
          </w:p>
        </w:tc>
      </w:tr>
      <w:tr w:rsidR="006E2EB8" w:rsidRPr="000825B5" w14:paraId="3AF949A8" w14:textId="77777777" w:rsidTr="00B558BE">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52B4DAEB" w14:textId="77777777" w:rsidR="006E2EB8" w:rsidRPr="00B558BE" w:rsidRDefault="006E2EB8" w:rsidP="00B558BE">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F3F5052" w14:textId="77777777" w:rsidR="006E2EB8" w:rsidRPr="000825B5" w:rsidRDefault="006E2EB8" w:rsidP="006E2EB8">
            <w:pPr>
              <w:pStyle w:val="TableText"/>
              <w:rPr>
                <w:rFonts w:eastAsia="Calibri"/>
              </w:rPr>
            </w:pPr>
            <w:r w:rsidRPr="000825B5">
              <w:rPr>
                <w:rFonts w:eastAsia="Calibri"/>
              </w:rPr>
              <w:t xml:space="preserve">Men usually experience a long period of symptoms before an acute presentation at an emergency department with advanced complications of prostate cancer. If these symptoms are recognised earlier, men are more likely to </w:t>
            </w:r>
            <w:r>
              <w:rPr>
                <w:rFonts w:eastAsia="Calibri"/>
              </w:rPr>
              <w:t xml:space="preserve">experience </w:t>
            </w:r>
            <w:r w:rsidRPr="000825B5">
              <w:rPr>
                <w:rFonts w:eastAsia="Calibri"/>
              </w:rPr>
              <w:t>better outcomes</w:t>
            </w:r>
            <w:r>
              <w:rPr>
                <w:rFonts w:eastAsia="Calibri"/>
              </w:rPr>
              <w:t>,</w:t>
            </w:r>
            <w:r w:rsidRPr="000825B5">
              <w:rPr>
                <w:rFonts w:eastAsia="Calibri"/>
              </w:rPr>
              <w:t xml:space="preserve"> including better survival and lower risk of complications of advanced prostate cancer</w:t>
            </w:r>
            <w:r>
              <w:rPr>
                <w:rFonts w:eastAsia="Calibri"/>
              </w:rPr>
              <w:t>,</w:t>
            </w:r>
            <w:r w:rsidRPr="000825B5">
              <w:rPr>
                <w:rFonts w:eastAsia="Calibri"/>
              </w:rPr>
              <w:t xml:space="preserve"> such as severe pain</w:t>
            </w:r>
            <w:r>
              <w:rPr>
                <w:rFonts w:eastAsia="Calibri"/>
              </w:rPr>
              <w:t>,</w:t>
            </w:r>
            <w:r w:rsidRPr="000825B5">
              <w:rPr>
                <w:rFonts w:eastAsia="Calibri"/>
              </w:rPr>
              <w:t xml:space="preserve"> if the cancer spreads to the bones. One-year survival is lower for men whose pathway to cancer diagnosis started with an urgent referral or a presentation to the </w:t>
            </w:r>
            <w:r>
              <w:rPr>
                <w:rFonts w:eastAsia="Calibri"/>
              </w:rPr>
              <w:t>e</w:t>
            </w:r>
            <w:r w:rsidRPr="000825B5">
              <w:rPr>
                <w:rFonts w:eastAsia="Calibri"/>
              </w:rPr>
              <w:t xml:space="preserve">mergency </w:t>
            </w:r>
            <w:r>
              <w:rPr>
                <w:rFonts w:eastAsia="Calibri"/>
              </w:rPr>
              <w:t>d</w:t>
            </w:r>
            <w:r w:rsidRPr="000825B5">
              <w:rPr>
                <w:rFonts w:eastAsia="Calibri"/>
              </w:rPr>
              <w:t xml:space="preserve">epartment </w:t>
            </w:r>
            <w:r>
              <w:t>(Forbes et al 2014).</w:t>
            </w:r>
          </w:p>
        </w:tc>
      </w:tr>
      <w:tr w:rsidR="006E2EB8" w:rsidRPr="000825B5" w14:paraId="7EFE8B3F" w14:textId="77777777" w:rsidTr="00B558BE">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088B9338" w14:textId="77777777" w:rsidR="006E2EB8" w:rsidRPr="00B558BE" w:rsidRDefault="006E2EB8" w:rsidP="00B558BE">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6D9B6F02" w14:textId="77777777" w:rsidR="006E2EB8" w:rsidRPr="000825B5" w:rsidRDefault="006E2EB8" w:rsidP="006E2EB8">
            <w:pPr>
              <w:pStyle w:val="TableText"/>
            </w:pPr>
            <w:r w:rsidRPr="000825B5">
              <w:t>Māori men are more likely to be diagnosed following a presentation to an emergency department or urgent referral (13%) than non-Māori (9%)</w:t>
            </w:r>
            <w:r>
              <w:t xml:space="preserve"> (</w:t>
            </w:r>
            <w:r w:rsidRPr="000825B5">
              <w:rPr>
                <w:noProof/>
              </w:rPr>
              <w:t>Obertová</w:t>
            </w:r>
            <w:r>
              <w:rPr>
                <w:noProof/>
              </w:rPr>
              <w:t xml:space="preserve"> et al 2015).</w:t>
            </w:r>
          </w:p>
        </w:tc>
      </w:tr>
      <w:tr w:rsidR="006E2EB8" w:rsidRPr="000825B5" w14:paraId="51782A41" w14:textId="77777777" w:rsidTr="00B558BE">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0630E2E8" w14:textId="77777777" w:rsidR="006E2EB8" w:rsidRPr="00B558BE" w:rsidRDefault="006E2EB8" w:rsidP="00B558BE">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1C7D8ADE" w14:textId="77777777" w:rsidR="006E2EB8" w:rsidRPr="00B558BE" w:rsidRDefault="006E2EB8" w:rsidP="00B558BE">
            <w:pPr>
              <w:pStyle w:val="TableText"/>
              <w:rPr>
                <w:b/>
              </w:rPr>
            </w:pPr>
            <w:bookmarkStart w:id="41" w:name="_Hlk79058505"/>
            <w:r w:rsidRPr="00B558BE">
              <w:rPr>
                <w:b/>
              </w:rPr>
              <w:t>Numerator</w:t>
            </w:r>
          </w:p>
        </w:tc>
        <w:bookmarkEnd w:id="41"/>
        <w:tc>
          <w:tcPr>
            <w:tcW w:w="4819" w:type="dxa"/>
            <w:tcBorders>
              <w:top w:val="single" w:sz="4" w:space="0" w:color="C2D9BA"/>
              <w:bottom w:val="single" w:sz="4" w:space="0" w:color="C2D9BA"/>
            </w:tcBorders>
          </w:tcPr>
          <w:p w14:paraId="17451D0D" w14:textId="77777777" w:rsidR="006E2EB8" w:rsidRPr="000825B5" w:rsidRDefault="006E2EB8" w:rsidP="006E2EB8">
            <w:pPr>
              <w:pStyle w:val="TableText"/>
            </w:pPr>
            <w:r w:rsidRPr="000825B5">
              <w:t xml:space="preserve">Number of men who visited an emergency department up to </w:t>
            </w:r>
            <w:r>
              <w:t>two</w:t>
            </w:r>
            <w:r w:rsidRPr="000825B5">
              <w:t xml:space="preserve"> weeks prior to a prostate cancer diagnosis</w:t>
            </w:r>
          </w:p>
        </w:tc>
      </w:tr>
      <w:tr w:rsidR="006E2EB8" w:rsidRPr="000825B5" w14:paraId="10D8D5FC" w14:textId="77777777" w:rsidTr="00B558BE">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09F9D1BD" w14:textId="77777777" w:rsidR="006E2EB8" w:rsidRPr="00B558BE" w:rsidRDefault="006E2EB8" w:rsidP="00B558BE">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4FEFF622" w14:textId="77777777" w:rsidR="006E2EB8" w:rsidRPr="00B558BE" w:rsidRDefault="006E2EB8" w:rsidP="00B558BE">
            <w:pPr>
              <w:pStyle w:val="TableText"/>
              <w:rPr>
                <w:b/>
              </w:rPr>
            </w:pPr>
            <w:bookmarkStart w:id="42" w:name="_Hlk79058512"/>
            <w:r w:rsidRPr="00B558BE">
              <w:rPr>
                <w:b/>
              </w:rPr>
              <w:t>Denominator</w:t>
            </w:r>
          </w:p>
        </w:tc>
        <w:bookmarkEnd w:id="42"/>
        <w:tc>
          <w:tcPr>
            <w:tcW w:w="4819" w:type="dxa"/>
            <w:tcBorders>
              <w:top w:val="single" w:sz="4" w:space="0" w:color="C2D9BA"/>
              <w:bottom w:val="single" w:sz="4" w:space="0" w:color="C2D9BA"/>
            </w:tcBorders>
          </w:tcPr>
          <w:p w14:paraId="43C25237" w14:textId="77777777" w:rsidR="006E2EB8" w:rsidRPr="000825B5" w:rsidRDefault="006E2EB8" w:rsidP="006E2EB8">
            <w:pPr>
              <w:pStyle w:val="TableText"/>
            </w:pPr>
            <w:r w:rsidRPr="000825B5">
              <w:t>Number of men diagnosed with prostate cancer</w:t>
            </w:r>
          </w:p>
        </w:tc>
      </w:tr>
      <w:tr w:rsidR="006E2EB8" w:rsidRPr="000825B5" w14:paraId="09D234AB" w14:textId="77777777" w:rsidTr="00B558BE">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995DB64" w14:textId="77777777" w:rsidR="006E2EB8" w:rsidRPr="00B558BE" w:rsidRDefault="006E2EB8" w:rsidP="00B558BE">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50E8A08" w14:textId="77777777" w:rsidR="006E2EB8" w:rsidRPr="000825B5" w:rsidRDefault="006E2EB8" w:rsidP="006E2EB8">
            <w:pPr>
              <w:pStyle w:val="TableText"/>
            </w:pPr>
            <w:r w:rsidRPr="000825B5">
              <w:t>NZCR, NMDS</w:t>
            </w:r>
          </w:p>
        </w:tc>
      </w:tr>
      <w:tr w:rsidR="006E2EB8" w:rsidRPr="000825B5" w14:paraId="3BC71D5A" w14:textId="77777777" w:rsidTr="00B558BE">
        <w:trPr>
          <w:cantSplit/>
        </w:trPr>
        <w:tc>
          <w:tcPr>
            <w:tcW w:w="1843" w:type="dxa"/>
            <w:tcBorders>
              <w:top w:val="single" w:sz="4" w:space="0" w:color="FFFFFF" w:themeColor="background1"/>
              <w:bottom w:val="nil"/>
            </w:tcBorders>
            <w:shd w:val="clear" w:color="auto" w:fill="C2D9BA"/>
            <w:tcMar>
              <w:top w:w="0" w:type="dxa"/>
              <w:left w:w="57" w:type="dxa"/>
              <w:bottom w:w="0" w:type="dxa"/>
              <w:right w:w="57" w:type="dxa"/>
            </w:tcMar>
          </w:tcPr>
          <w:p w14:paraId="603B3CD7" w14:textId="77777777" w:rsidR="006E2EB8" w:rsidRPr="00B558BE" w:rsidRDefault="006E2EB8" w:rsidP="00B558BE">
            <w:pPr>
              <w:pStyle w:val="TableText"/>
              <w:ind w:right="57"/>
              <w:rPr>
                <w:b/>
              </w:rPr>
            </w:pPr>
            <w:r w:rsidRPr="00B558BE">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5B99F133" w14:textId="77777777" w:rsidR="006E2EB8" w:rsidRPr="000825B5" w:rsidRDefault="006E2EB8" w:rsidP="006E2EB8">
            <w:pPr>
              <w:pStyle w:val="TableText"/>
            </w:pPr>
            <w:r>
              <w:t>Data on prostate cancer diagnosis sourced only from death certificates is excluded.</w:t>
            </w:r>
          </w:p>
        </w:tc>
      </w:tr>
    </w:tbl>
    <w:p w14:paraId="60BDC7C8" w14:textId="77777777" w:rsidR="00A23E54" w:rsidRPr="00C71161" w:rsidRDefault="00A23E54" w:rsidP="00B558BE">
      <w:r w:rsidRPr="00C71161">
        <w:fldChar w:fldCharType="begin"/>
      </w:r>
      <w:r w:rsidRPr="00C71161">
        <w:instrText xml:space="preserve"> ADDIN EN.SECTION.REFLIST </w:instrText>
      </w:r>
      <w:r w:rsidRPr="00C71161">
        <w:fldChar w:fldCharType="end"/>
      </w:r>
    </w:p>
    <w:p w14:paraId="6BA6256F" w14:textId="77777777" w:rsidR="00A23E54" w:rsidRDefault="00A23E54" w:rsidP="00895B48">
      <w:pPr>
        <w:pStyle w:val="Heading2"/>
        <w:keepNext w:val="0"/>
        <w:pageBreakBefore/>
        <w:spacing w:before="0"/>
      </w:pPr>
      <w:bookmarkStart w:id="43" w:name="_Toc8116706"/>
      <w:bookmarkStart w:id="44" w:name="_Toc13561055"/>
      <w:bookmarkStart w:id="45" w:name="_Toc18056771"/>
      <w:bookmarkStart w:id="46" w:name="_Ref67909101"/>
      <w:bookmarkStart w:id="47" w:name="_Toc79501561"/>
      <w:bookmarkStart w:id="48" w:name="_Toc82433281"/>
      <w:r w:rsidRPr="00C71161">
        <w:lastRenderedPageBreak/>
        <w:t>PCQI 2.</w:t>
      </w:r>
      <w:bookmarkEnd w:id="43"/>
      <w:r>
        <w:t xml:space="preserve"> </w:t>
      </w:r>
      <w:r w:rsidRPr="00C71161">
        <w:t>Risk group assigned at diagnosis</w:t>
      </w:r>
      <w:bookmarkEnd w:id="44"/>
      <w:bookmarkEnd w:id="45"/>
      <w:bookmarkEnd w:id="46"/>
      <w:bookmarkEnd w:id="47"/>
      <w:bookmarkEnd w:id="48"/>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6EC9A97E"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5FF71519"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4F15100" w14:textId="77777777" w:rsidR="006E2EB8" w:rsidRPr="00C71161" w:rsidRDefault="006E2EB8" w:rsidP="006E2EB8">
            <w:pPr>
              <w:pStyle w:val="TableText"/>
              <w:ind w:left="284" w:hanging="284"/>
            </w:pPr>
            <w:r>
              <w:t>A.</w:t>
            </w:r>
            <w:r>
              <w:tab/>
            </w:r>
            <w:r w:rsidRPr="00C71161">
              <w:t>Proportion of men with prostate cancer with risk group assigned at diagnosis</w:t>
            </w:r>
          </w:p>
          <w:p w14:paraId="58BD3C93" w14:textId="77777777" w:rsidR="006E2EB8" w:rsidRPr="000825B5" w:rsidRDefault="006E2EB8" w:rsidP="006E2EB8">
            <w:pPr>
              <w:pStyle w:val="TableText"/>
              <w:ind w:left="284" w:hanging="284"/>
            </w:pPr>
            <w:r>
              <w:t>B.</w:t>
            </w:r>
            <w:r>
              <w:tab/>
            </w:r>
            <w:r w:rsidRPr="00C71161">
              <w:t xml:space="preserve">Proportion of men with prostate cancer with TNM stage documented on the </w:t>
            </w:r>
            <w:r>
              <w:t>NZCR</w:t>
            </w:r>
          </w:p>
        </w:tc>
      </w:tr>
      <w:tr w:rsidR="006E2EB8" w:rsidRPr="000825B5" w14:paraId="03049FDF"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49783BA9"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495AA06" w14:textId="77777777" w:rsidR="006E2EB8" w:rsidRPr="000825B5" w:rsidRDefault="006E2EB8" w:rsidP="006E2EB8">
            <w:pPr>
              <w:pStyle w:val="TableText"/>
            </w:pPr>
            <w:r w:rsidRPr="000825B5">
              <w:t>Prostate cancer is usually a slow</w:t>
            </w:r>
            <w:r>
              <w:t>-</w:t>
            </w:r>
            <w:r w:rsidRPr="000825B5">
              <w:t>growing tumour</w:t>
            </w:r>
            <w:r>
              <w:t>,</w:t>
            </w:r>
            <w:r w:rsidRPr="000825B5">
              <w:t xml:space="preserve"> but in some </w:t>
            </w:r>
            <w:proofErr w:type="gramStart"/>
            <w:r w:rsidRPr="000825B5">
              <w:t>instances</w:t>
            </w:r>
            <w:proofErr w:type="gramEnd"/>
            <w:r w:rsidRPr="000825B5">
              <w:t xml:space="preserve"> </w:t>
            </w:r>
            <w:r>
              <w:t xml:space="preserve">it </w:t>
            </w:r>
            <w:r w:rsidRPr="000825B5">
              <w:t>can spread rapidly throughout a man’s body</w:t>
            </w:r>
            <w:r>
              <w:t>,</w:t>
            </w:r>
            <w:r w:rsidRPr="000825B5">
              <w:t xml:space="preserve"> and may result in their death. Therefore, risk assessment at diagnosis is an important </w:t>
            </w:r>
            <w:r>
              <w:t xml:space="preserve">process </w:t>
            </w:r>
            <w:r w:rsidRPr="000825B5">
              <w:t xml:space="preserve">that provides the bases for initial management and treatment decisions. It can also help reducing disparities in survival outcomes </w:t>
            </w:r>
            <w:r>
              <w:t>(</w:t>
            </w:r>
            <w:r w:rsidRPr="000825B5">
              <w:rPr>
                <w:noProof/>
              </w:rPr>
              <w:t>Obertová</w:t>
            </w:r>
            <w:r>
              <w:rPr>
                <w:noProof/>
              </w:rPr>
              <w:t xml:space="preserve"> et al 2015).</w:t>
            </w:r>
          </w:p>
          <w:p w14:paraId="1CA863AD" w14:textId="77777777" w:rsidR="006E2EB8" w:rsidRPr="000825B5" w:rsidRDefault="006E2EB8" w:rsidP="006E2EB8">
            <w:pPr>
              <w:pStyle w:val="TableText"/>
            </w:pPr>
            <w:bookmarkStart w:id="49" w:name="_Hlk62552295"/>
            <w:r w:rsidRPr="000825B5">
              <w:t>Th</w:t>
            </w:r>
            <w:r>
              <w:t>e</w:t>
            </w:r>
            <w:r w:rsidRPr="000825B5">
              <w:t xml:space="preserve"> initial evaluation (stage, biopsy Gleason score/ISUP grade group, serum PSA, </w:t>
            </w:r>
            <w:proofErr w:type="gramStart"/>
            <w:r w:rsidRPr="000825B5">
              <w:t>imaging</w:t>
            </w:r>
            <w:proofErr w:type="gramEnd"/>
            <w:r w:rsidRPr="000825B5">
              <w:t xml:space="preserve"> and genomic profile) provides information for clinical staging, as distinct from pathological staging, and allows men to be assigned to a risk group according to the primary tumour, as defined by the NCCN </w:t>
            </w:r>
            <w:bookmarkEnd w:id="49"/>
            <w:r>
              <w:t>(NCCN 2020).</w:t>
            </w:r>
          </w:p>
        </w:tc>
      </w:tr>
      <w:tr w:rsidR="006E2EB8" w:rsidRPr="000825B5" w14:paraId="42E89ED2"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375CE14"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96FCB95" w14:textId="77777777" w:rsidR="006E2EB8" w:rsidRPr="000825B5" w:rsidRDefault="006E2EB8" w:rsidP="006E2EB8">
            <w:pPr>
              <w:pStyle w:val="TableText"/>
            </w:pPr>
            <w:r w:rsidRPr="000825B5">
              <w:t>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w:t>
            </w:r>
            <w:r>
              <w:t xml:space="preserve"> (</w:t>
            </w:r>
            <w:r w:rsidRPr="000825B5">
              <w:rPr>
                <w:noProof/>
              </w:rPr>
              <w:t>Obertová</w:t>
            </w:r>
            <w:r>
              <w:rPr>
                <w:noProof/>
              </w:rPr>
              <w:t xml:space="preserve"> et al 2015).</w:t>
            </w:r>
          </w:p>
          <w:p w14:paraId="10E1D658" w14:textId="77777777" w:rsidR="006E2EB8" w:rsidRPr="000825B5" w:rsidRDefault="006E2EB8" w:rsidP="006E2EB8">
            <w:pPr>
              <w:pStyle w:val="TableText"/>
            </w:pPr>
            <w:r w:rsidRPr="000825B5">
              <w:t xml:space="preserve">Currently, there is an overall lack of national information on extent at diagnosis for prostate cancer patients, and </w:t>
            </w:r>
            <w:r>
              <w:t xml:space="preserve">a lack of national information on </w:t>
            </w:r>
            <w:r w:rsidRPr="000825B5">
              <w:t>whether there are differences between Māori and non-Māori men in relation to their likelihood to have a risk group assigned at diagnosis. The assignment of risk group requires recorded data about clinical T stage, Gleason score and PSA l</w:t>
            </w:r>
            <w:r>
              <w:t>evels at the time of diagnosis.</w:t>
            </w:r>
          </w:p>
        </w:tc>
      </w:tr>
      <w:tr w:rsidR="006E2EB8" w:rsidRPr="000825B5" w14:paraId="4956D199"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7121C89C"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3819FF36"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58607BE1" w14:textId="77777777" w:rsidR="006E2EB8" w:rsidRPr="008D0BCF" w:rsidRDefault="006E2EB8" w:rsidP="006E2EB8">
            <w:pPr>
              <w:pStyle w:val="TableText"/>
              <w:ind w:left="284" w:hanging="284"/>
            </w:pPr>
            <w:r w:rsidRPr="008D0BCF">
              <w:t>A.</w:t>
            </w:r>
            <w:r>
              <w:tab/>
            </w:r>
            <w:bookmarkStart w:id="50" w:name="_Hlk79058527"/>
            <w:r w:rsidRPr="008D0BCF">
              <w:t>Number of men with NCCN risk group assigned</w:t>
            </w:r>
            <w:bookmarkEnd w:id="50"/>
          </w:p>
          <w:p w14:paraId="087D4899" w14:textId="77777777" w:rsidR="006E2EB8" w:rsidRPr="008D0BCF" w:rsidRDefault="006E2EB8" w:rsidP="006E2EB8">
            <w:pPr>
              <w:pStyle w:val="TableText"/>
              <w:ind w:left="284" w:hanging="284"/>
            </w:pPr>
            <w:r w:rsidRPr="008D0BCF">
              <w:t>B.</w:t>
            </w:r>
            <w:r>
              <w:tab/>
            </w:r>
            <w:bookmarkStart w:id="51" w:name="_Hlk79058533"/>
            <w:r w:rsidRPr="008D0BCF">
              <w:t>Number of men in each overall TNM stage group</w:t>
            </w:r>
            <w:bookmarkEnd w:id="51"/>
          </w:p>
        </w:tc>
      </w:tr>
      <w:tr w:rsidR="006E2EB8" w:rsidRPr="000825B5" w14:paraId="70136502" w14:textId="77777777" w:rsidTr="00895B48">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22B3C761"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65F4A42F"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754B9801" w14:textId="77777777" w:rsidR="006E2EB8" w:rsidRPr="000825B5" w:rsidRDefault="006E2EB8" w:rsidP="006E2EB8">
            <w:pPr>
              <w:pStyle w:val="TableText"/>
            </w:pPr>
            <w:r w:rsidRPr="000825B5">
              <w:t>Number of men diagnosed with prostate cancer</w:t>
            </w:r>
          </w:p>
        </w:tc>
      </w:tr>
      <w:tr w:rsidR="006E2EB8" w:rsidRPr="000825B5" w14:paraId="6FDE97A1" w14:textId="77777777" w:rsidTr="00895B48">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3316E74D"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0B44C44" w14:textId="77777777" w:rsidR="006E2EB8" w:rsidRPr="000825B5" w:rsidRDefault="006E2EB8" w:rsidP="006E2EB8">
            <w:pPr>
              <w:pStyle w:val="TableText"/>
            </w:pPr>
            <w:r w:rsidRPr="000825B5">
              <w:t xml:space="preserve">NZCR, </w:t>
            </w:r>
            <w:r>
              <w:t>p</w:t>
            </w:r>
            <w:r w:rsidRPr="000825B5">
              <w:t>athology reports</w:t>
            </w:r>
          </w:p>
        </w:tc>
      </w:tr>
    </w:tbl>
    <w:p w14:paraId="496BEDE7" w14:textId="77777777" w:rsidR="00C621D9" w:rsidRPr="00C621D9" w:rsidRDefault="00C621D9" w:rsidP="00895B48"/>
    <w:p w14:paraId="4C929ED8" w14:textId="77777777" w:rsidR="00A23E54" w:rsidRDefault="00A23E54" w:rsidP="00B47A95">
      <w:pPr>
        <w:pStyle w:val="Heading2"/>
        <w:keepNext w:val="0"/>
        <w:pageBreakBefore/>
        <w:spacing w:before="0"/>
      </w:pPr>
      <w:bookmarkStart w:id="52" w:name="_Toc8116708"/>
      <w:bookmarkStart w:id="53" w:name="_Toc13561056"/>
      <w:bookmarkStart w:id="54" w:name="_Toc18056772"/>
      <w:bookmarkStart w:id="55" w:name="_Ref67909164"/>
      <w:bookmarkStart w:id="56" w:name="_Toc79501562"/>
      <w:bookmarkStart w:id="57" w:name="_Toc82433282"/>
      <w:r w:rsidRPr="00C71161">
        <w:lastRenderedPageBreak/>
        <w:t>PCQI 3.</w:t>
      </w:r>
      <w:r>
        <w:t xml:space="preserve"> </w:t>
      </w:r>
      <w:r w:rsidRPr="00C71161">
        <w:t>MRI prior to radical treatment</w:t>
      </w:r>
      <w:bookmarkEnd w:id="52"/>
      <w:bookmarkEnd w:id="53"/>
      <w:bookmarkEnd w:id="54"/>
      <w:bookmarkEnd w:id="55"/>
      <w:bookmarkEnd w:id="56"/>
      <w:bookmarkEnd w:id="57"/>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2A128583"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2FE49BD6"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03B32A3" w14:textId="77777777" w:rsidR="006E2EB8" w:rsidRPr="000825B5" w:rsidRDefault="006E2EB8" w:rsidP="006E2EB8">
            <w:pPr>
              <w:pStyle w:val="TableText"/>
            </w:pPr>
            <w:r w:rsidRPr="000825B5">
              <w:t xml:space="preserve">Proportion of men with prostate cancer </w:t>
            </w:r>
            <w:r>
              <w:t>undergoing</w:t>
            </w:r>
            <w:r w:rsidRPr="000825B5">
              <w:t xml:space="preserve"> an MRI prior to radical treatment</w:t>
            </w:r>
          </w:p>
        </w:tc>
      </w:tr>
      <w:tr w:rsidR="006E2EB8" w:rsidRPr="000825B5" w14:paraId="7606406C"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2398B474"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44F9305" w14:textId="77777777" w:rsidR="006E2EB8" w:rsidRPr="000825B5" w:rsidRDefault="006E2EB8" w:rsidP="006E2EB8">
            <w:pPr>
              <w:pStyle w:val="TableText"/>
            </w:pPr>
            <w:r w:rsidRPr="000825B5">
              <w:t xml:space="preserve">Knowledge of the T or N stage, determined by multi-parametric MRI, can affect treatment </w:t>
            </w:r>
            <w:proofErr w:type="gramStart"/>
            <w:r w:rsidRPr="000825B5">
              <w:t>decisions</w:t>
            </w:r>
            <w:proofErr w:type="gramEnd"/>
            <w:r w:rsidRPr="000825B5">
              <w:t xml:space="preserve"> and may significantly change radical treatment for men diagnosed with prostate cancer</w:t>
            </w:r>
            <w:r>
              <w:t>.</w:t>
            </w:r>
          </w:p>
          <w:p w14:paraId="6BC7E83A" w14:textId="77777777" w:rsidR="006E2EB8" w:rsidRPr="000825B5" w:rsidRDefault="006E2EB8" w:rsidP="006E2EB8">
            <w:pPr>
              <w:pStyle w:val="TableText"/>
            </w:pPr>
            <w:r w:rsidRPr="000825B5">
              <w:t>Previous studies of men with prostate cancer have found a 4</w:t>
            </w:r>
            <w:r>
              <w:t xml:space="preserve"> percent </w:t>
            </w:r>
            <w:r w:rsidRPr="000825B5">
              <w:t>risk of hospital admission with sepsis following a transrectal biopsy</w:t>
            </w:r>
            <w:r>
              <w:t>;</w:t>
            </w:r>
            <w:r w:rsidRPr="000825B5">
              <w:t xml:space="preserve"> one</w:t>
            </w:r>
            <w:r>
              <w:t>-</w:t>
            </w:r>
            <w:r w:rsidRPr="000825B5">
              <w:t>third of these men will be admitted to an intensive care unit. Pre-biopsy MRI can reduce the need for a biopsy by up to 27</w:t>
            </w:r>
            <w:r>
              <w:t xml:space="preserve"> percent (Ahmed et al 2017; </w:t>
            </w:r>
            <w:r w:rsidRPr="000825B5">
              <w:rPr>
                <w:noProof/>
              </w:rPr>
              <w:t>Kasivisvanathan</w:t>
            </w:r>
            <w:r>
              <w:rPr>
                <w:noProof/>
              </w:rPr>
              <w:t xml:space="preserve"> et al 2018).</w:t>
            </w:r>
          </w:p>
          <w:p w14:paraId="6F24E8DC" w14:textId="77777777" w:rsidR="006E2EB8" w:rsidRPr="000825B5" w:rsidRDefault="006E2EB8" w:rsidP="006E2EB8">
            <w:pPr>
              <w:pStyle w:val="TableText"/>
            </w:pPr>
            <w:r w:rsidRPr="000825B5">
              <w:t xml:space="preserve">Targeting of suspicious lesions found on MRI increases the rate of diagnosis of clinically significant lesions and decreases the rate of diagnosis of non-clinically significant lesions </w:t>
            </w:r>
            <w:r>
              <w:t>(Tempany et al 2018).</w:t>
            </w:r>
          </w:p>
        </w:tc>
      </w:tr>
      <w:tr w:rsidR="006E2EB8" w:rsidRPr="000825B5" w14:paraId="5C4006CC"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8E25CDA"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F110D82" w14:textId="77777777" w:rsidR="006E2EB8" w:rsidRPr="000825B5" w:rsidRDefault="006E2EB8" w:rsidP="006E2EB8">
            <w:pPr>
              <w:pStyle w:val="TableText"/>
            </w:pPr>
            <w:r w:rsidRPr="000825B5">
              <w:t>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w:t>
            </w:r>
            <w:r>
              <w:t xml:space="preserve"> (</w:t>
            </w:r>
            <w:r w:rsidRPr="000825B5">
              <w:rPr>
                <w:noProof/>
              </w:rPr>
              <w:t>Obertová</w:t>
            </w:r>
            <w:r>
              <w:rPr>
                <w:noProof/>
              </w:rPr>
              <w:t xml:space="preserve"> et al 2015).</w:t>
            </w:r>
          </w:p>
        </w:tc>
      </w:tr>
      <w:tr w:rsidR="006E2EB8" w:rsidRPr="000825B5" w14:paraId="717A68EC"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1F51A065"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198305D4"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52836643" w14:textId="77777777" w:rsidR="006E2EB8" w:rsidRPr="000825B5" w:rsidRDefault="006E2EB8" w:rsidP="006E2EB8">
            <w:pPr>
              <w:pStyle w:val="TableText"/>
            </w:pPr>
            <w:bookmarkStart w:id="58" w:name="_Hlk79058552"/>
            <w:r w:rsidRPr="000825B5">
              <w:t>Number of men having an MRI in the six months prior to treatment</w:t>
            </w:r>
          </w:p>
          <w:p w14:paraId="15F706C9" w14:textId="77777777" w:rsidR="006E2EB8" w:rsidRPr="000825B5" w:rsidRDefault="006E2EB8" w:rsidP="006E2EB8">
            <w:pPr>
              <w:pStyle w:val="TableText"/>
              <w:ind w:left="284" w:hanging="284"/>
            </w:pPr>
            <w:r>
              <w:t>A.</w:t>
            </w:r>
            <w:r>
              <w:tab/>
            </w:r>
            <w:r w:rsidRPr="000825B5">
              <w:t>prior to biopsy</w:t>
            </w:r>
          </w:p>
          <w:p w14:paraId="40CC1CD2" w14:textId="77777777" w:rsidR="006E2EB8" w:rsidRPr="000825B5" w:rsidRDefault="006E2EB8" w:rsidP="006E2EB8">
            <w:pPr>
              <w:pStyle w:val="TableText"/>
              <w:ind w:left="284" w:hanging="284"/>
            </w:pPr>
            <w:r>
              <w:t>B.</w:t>
            </w:r>
            <w:r>
              <w:tab/>
            </w:r>
            <w:r w:rsidRPr="000825B5">
              <w:t>after biopsy</w:t>
            </w:r>
            <w:bookmarkEnd w:id="58"/>
          </w:p>
        </w:tc>
      </w:tr>
      <w:tr w:rsidR="006E2EB8" w:rsidRPr="000825B5" w14:paraId="152CF0BE" w14:textId="77777777" w:rsidTr="00FE0D03">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00180E43"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35E7E2CD"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1BF4B0BD" w14:textId="77777777" w:rsidR="006E2EB8" w:rsidRPr="000825B5" w:rsidRDefault="006E2EB8" w:rsidP="006E2EB8">
            <w:pPr>
              <w:pStyle w:val="TableText"/>
            </w:pPr>
            <w:r w:rsidRPr="000825B5">
              <w:t>Number of men diagnosed with prostate cancer</w:t>
            </w:r>
          </w:p>
        </w:tc>
      </w:tr>
      <w:tr w:rsidR="006E2EB8" w:rsidRPr="000825B5" w14:paraId="75BBD3C2" w14:textId="77777777" w:rsidTr="00FE0D03">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781C77B2"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728DD39" w14:textId="77777777" w:rsidR="006E2EB8" w:rsidRPr="000825B5" w:rsidRDefault="006E2EB8" w:rsidP="006E2EB8">
            <w:pPr>
              <w:pStyle w:val="TableText"/>
            </w:pPr>
            <w:r w:rsidRPr="000825B5">
              <w:t>NNPAC, NMDS</w:t>
            </w:r>
          </w:p>
        </w:tc>
      </w:tr>
    </w:tbl>
    <w:p w14:paraId="41B7A3A6" w14:textId="77777777" w:rsidR="007C278F" w:rsidRDefault="007C278F" w:rsidP="00FE0D03"/>
    <w:p w14:paraId="3D0DFFFB" w14:textId="77777777" w:rsidR="00A23E54" w:rsidRDefault="00A23E54" w:rsidP="007C278F">
      <w:pPr>
        <w:pStyle w:val="Heading2"/>
        <w:keepNext w:val="0"/>
        <w:pageBreakBefore/>
        <w:spacing w:before="0"/>
      </w:pPr>
      <w:bookmarkStart w:id="59" w:name="_Ref67909182"/>
      <w:bookmarkStart w:id="60" w:name="_Toc8116709"/>
      <w:bookmarkStart w:id="61" w:name="_Toc13561057"/>
      <w:bookmarkStart w:id="62" w:name="_Toc18056773"/>
      <w:bookmarkStart w:id="63" w:name="_Toc79501563"/>
      <w:bookmarkStart w:id="64" w:name="_Toc82433283"/>
      <w:r w:rsidRPr="00C71161">
        <w:lastRenderedPageBreak/>
        <w:t>PCQI 4.</w:t>
      </w:r>
      <w:r>
        <w:t xml:space="preserve"> </w:t>
      </w:r>
      <w:r w:rsidRPr="00C71161">
        <w:t>PSMA scan</w:t>
      </w:r>
      <w:bookmarkEnd w:id="59"/>
      <w:bookmarkEnd w:id="60"/>
      <w:bookmarkEnd w:id="61"/>
      <w:bookmarkEnd w:id="62"/>
      <w:bookmarkEnd w:id="63"/>
      <w:bookmarkEnd w:id="64"/>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6442A41D"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5D221081"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EE01A46" w14:textId="77777777" w:rsidR="006E2EB8" w:rsidRPr="000825B5" w:rsidRDefault="006E2EB8" w:rsidP="006E2EB8">
            <w:pPr>
              <w:pStyle w:val="TableText"/>
              <w:ind w:left="284" w:hanging="284"/>
            </w:pPr>
            <w:r>
              <w:t>A.</w:t>
            </w:r>
            <w:r>
              <w:tab/>
            </w:r>
            <w:r w:rsidRPr="000825B5">
              <w:t>Proportion of men with high</w:t>
            </w:r>
            <w:r>
              <w:t>-</w:t>
            </w:r>
            <w:r w:rsidRPr="000825B5">
              <w:t>risk prostate cancer having a PSMA PET/CT scan as part of staging before radical treatment</w:t>
            </w:r>
          </w:p>
          <w:p w14:paraId="765CE178" w14:textId="77777777" w:rsidR="006E2EB8" w:rsidRPr="000825B5" w:rsidRDefault="006E2EB8" w:rsidP="006E2EB8">
            <w:pPr>
              <w:pStyle w:val="TableText"/>
              <w:ind w:left="284" w:hanging="284"/>
            </w:pPr>
            <w:r>
              <w:t>B.</w:t>
            </w:r>
            <w:r>
              <w:tab/>
            </w:r>
            <w:r w:rsidRPr="000825B5">
              <w:t>Proportion of men who have a pre-salvage PSMA PET/CT scan before being treated with postoperative/salvage prostate bed radiation</w:t>
            </w:r>
          </w:p>
        </w:tc>
      </w:tr>
      <w:tr w:rsidR="006E2EB8" w:rsidRPr="000825B5" w14:paraId="6A6C62D6"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B9EDF8C"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8F2F718" w14:textId="77777777" w:rsidR="006E2EB8" w:rsidRPr="000825B5" w:rsidRDefault="006E2EB8" w:rsidP="006E2EB8">
            <w:pPr>
              <w:pStyle w:val="TableText"/>
              <w:rPr>
                <w:szCs w:val="18"/>
              </w:rPr>
            </w:pPr>
            <w:r w:rsidRPr="000825B5">
              <w:t xml:space="preserve">A large and increasing volume of literature shows that imaging with </w:t>
            </w:r>
            <w:r w:rsidRPr="000825B5">
              <w:rPr>
                <w:bCs/>
              </w:rPr>
              <w:t xml:space="preserve">PSMA PET/CT </w:t>
            </w:r>
            <w:r w:rsidRPr="000825B5">
              <w:t>scanning has the highest specificity and sensitivity for detecting prostate cancer, particularly in men with high</w:t>
            </w:r>
            <w:r>
              <w:t>-</w:t>
            </w:r>
            <w:r w:rsidRPr="000825B5">
              <w:t>risk disease, and has a large impact on staging</w:t>
            </w:r>
            <w:r>
              <w:t xml:space="preserve"> (</w:t>
            </w:r>
            <w:r w:rsidRPr="00CF6BFB">
              <w:rPr>
                <w:noProof/>
                <w:szCs w:val="18"/>
              </w:rPr>
              <w:t>Einspieler</w:t>
            </w:r>
            <w:r w:rsidRPr="000825B5">
              <w:rPr>
                <w:noProof/>
                <w:szCs w:val="18"/>
              </w:rPr>
              <w:t xml:space="preserve"> </w:t>
            </w:r>
            <w:r>
              <w:rPr>
                <w:noProof/>
                <w:szCs w:val="18"/>
              </w:rPr>
              <w:t xml:space="preserve">et al 2017; Hijazi et al 2015). </w:t>
            </w:r>
            <w:r w:rsidRPr="000825B5">
              <w:t xml:space="preserve">This includes the settings of primary disease, local recurrence after surgery or radiation and nodal and bone metastases </w:t>
            </w:r>
            <w:r>
              <w:t>(</w:t>
            </w:r>
            <w:r w:rsidRPr="000825B5">
              <w:rPr>
                <w:noProof/>
              </w:rPr>
              <w:t>Chaloupka</w:t>
            </w:r>
            <w:r>
              <w:rPr>
                <w:noProof/>
              </w:rPr>
              <w:t xml:space="preserve"> et al 2017; Dewes et al 2016).</w:t>
            </w:r>
          </w:p>
          <w:p w14:paraId="2BFE29AA" w14:textId="77777777" w:rsidR="006E2EB8" w:rsidRPr="000825B5" w:rsidRDefault="006E2EB8" w:rsidP="006E2EB8">
            <w:pPr>
              <w:pStyle w:val="TableText"/>
            </w:pPr>
            <w:r w:rsidRPr="000825B5">
              <w:t>PSMA PET/CT staging results in a change in management plan for 30</w:t>
            </w:r>
            <w:r>
              <w:t xml:space="preserve"> percent</w:t>
            </w:r>
            <w:r w:rsidRPr="000825B5">
              <w:t xml:space="preserve"> or more of the men scanned compared to conventional staging. This change of management plan occurs when PSMA PET/CT is used prior to definitive or salvage treatment</w:t>
            </w:r>
            <w:r>
              <w:t xml:space="preserve"> (Roach et al 2018). </w:t>
            </w:r>
            <w:r w:rsidRPr="000825B5">
              <w:t>A pilot study in New Zealand has shown PSMA PET/CT scanning is cost</w:t>
            </w:r>
            <w:r>
              <w:t>-</w:t>
            </w:r>
            <w:r w:rsidRPr="000825B5">
              <w:t xml:space="preserve">effective because it can prevent men from undergoing futile radical treatment or result in alteration of treatment plans that are more appropriate to the stage of disease </w:t>
            </w:r>
            <w:r>
              <w:t>(Lim et al 2018).</w:t>
            </w:r>
          </w:p>
          <w:p w14:paraId="50911F58" w14:textId="77777777" w:rsidR="006E2EB8" w:rsidRPr="000825B5" w:rsidRDefault="006E2EB8" w:rsidP="006E2EB8">
            <w:pPr>
              <w:pStyle w:val="TableText"/>
            </w:pPr>
            <w:r w:rsidRPr="000825B5">
              <w:t>A negative PSMA PET/CT scan has been shown to predict for an improved relapse</w:t>
            </w:r>
            <w:r>
              <w:t>-</w:t>
            </w:r>
            <w:r w:rsidRPr="000825B5">
              <w:t xml:space="preserve">free survival in men undergoing salvage radiation treatment </w:t>
            </w:r>
            <w:r>
              <w:t>(Emmett et al 2017).</w:t>
            </w:r>
          </w:p>
        </w:tc>
      </w:tr>
      <w:tr w:rsidR="006E2EB8" w:rsidRPr="000825B5" w14:paraId="1BBDA32E"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5B188CD9"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57E04A41" w14:textId="77777777" w:rsidR="006E2EB8" w:rsidRPr="000825B5" w:rsidRDefault="006E2EB8" w:rsidP="006E2EB8">
            <w:pPr>
              <w:pStyle w:val="TableText"/>
            </w:pPr>
            <w:r w:rsidRPr="000825B5">
              <w:t xml:space="preserve">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 </w:t>
            </w:r>
            <w:r>
              <w:rPr>
                <w:noProof/>
              </w:rPr>
              <w:t>(</w:t>
            </w:r>
            <w:r w:rsidRPr="000825B5">
              <w:rPr>
                <w:noProof/>
              </w:rPr>
              <w:t>Obertová</w:t>
            </w:r>
            <w:r>
              <w:rPr>
                <w:noProof/>
              </w:rPr>
              <w:t xml:space="preserve"> et al 2015).</w:t>
            </w:r>
          </w:p>
          <w:p w14:paraId="528D8F41" w14:textId="77777777" w:rsidR="006E2EB8" w:rsidRPr="000825B5" w:rsidRDefault="006E2EB8" w:rsidP="006E2EB8">
            <w:pPr>
              <w:pStyle w:val="TableText"/>
            </w:pPr>
            <w:r w:rsidRPr="000825B5">
              <w:t>Access to PSMA scanning is currently inconsistent across New Zealand. It is frequently used in private insurance</w:t>
            </w:r>
            <w:r>
              <w:t>-</w:t>
            </w:r>
            <w:r w:rsidRPr="000825B5">
              <w:t>funded care</w:t>
            </w:r>
            <w:r>
              <w:t>,</w:t>
            </w:r>
            <w:r w:rsidRPr="000825B5">
              <w:t xml:space="preserve"> and self-funded by some men. </w:t>
            </w:r>
            <w:r w:rsidRPr="000825B5">
              <w:rPr>
                <w:bCs/>
              </w:rPr>
              <w:t xml:space="preserve">PSMA PET/CT </w:t>
            </w:r>
            <w:r w:rsidRPr="000825B5">
              <w:t xml:space="preserve">is expected to become the standard of care </w:t>
            </w:r>
            <w:proofErr w:type="gramStart"/>
            <w:r w:rsidRPr="000825B5">
              <w:t>in the near future</w:t>
            </w:r>
            <w:proofErr w:type="gramEnd"/>
            <w:r>
              <w:t>;</w:t>
            </w:r>
            <w:r w:rsidRPr="000825B5">
              <w:t xml:space="preserve"> this indicator will assess the extent and equity of access to this imaging service.</w:t>
            </w:r>
          </w:p>
        </w:tc>
      </w:tr>
      <w:tr w:rsidR="006E2EB8" w:rsidRPr="000825B5" w14:paraId="202C9186"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529EB22"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442E65DF"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4306F2C7" w14:textId="77777777" w:rsidR="006E2EB8" w:rsidRPr="000825B5" w:rsidRDefault="006E2EB8" w:rsidP="006E2EB8">
            <w:pPr>
              <w:pStyle w:val="TableText"/>
              <w:ind w:left="284" w:hanging="284"/>
            </w:pPr>
            <w:r>
              <w:t>A.</w:t>
            </w:r>
            <w:r>
              <w:tab/>
            </w:r>
            <w:r w:rsidRPr="000825B5">
              <w:t xml:space="preserve">Number of men having a </w:t>
            </w:r>
            <w:r w:rsidRPr="000825B5">
              <w:rPr>
                <w:bCs/>
              </w:rPr>
              <w:t xml:space="preserve">PSMA PET/CT </w:t>
            </w:r>
            <w:r w:rsidRPr="000825B5">
              <w:t>scan within six months</w:t>
            </w:r>
            <w:r>
              <w:t xml:space="preserve"> of diagnosis</w:t>
            </w:r>
          </w:p>
          <w:p w14:paraId="7C9CA32B" w14:textId="77777777" w:rsidR="006E2EB8" w:rsidRPr="000825B5" w:rsidRDefault="006E2EB8" w:rsidP="006E2EB8">
            <w:pPr>
              <w:pStyle w:val="TableText"/>
              <w:ind w:left="284" w:hanging="284"/>
            </w:pPr>
            <w:r>
              <w:t>B.</w:t>
            </w:r>
            <w:r>
              <w:tab/>
            </w:r>
            <w:r w:rsidRPr="000825B5">
              <w:t xml:space="preserve">Number of men having a </w:t>
            </w:r>
            <w:r w:rsidRPr="000825B5">
              <w:rPr>
                <w:bCs/>
              </w:rPr>
              <w:t xml:space="preserve">PSMA PET/CT </w:t>
            </w:r>
            <w:r w:rsidRPr="000825B5">
              <w:t>scan in the 90</w:t>
            </w:r>
            <w:r>
              <w:t> </w:t>
            </w:r>
            <w:r w:rsidRPr="000825B5">
              <w:t>days leading up to postoperative/salvage prostate bed radiation</w:t>
            </w:r>
          </w:p>
        </w:tc>
      </w:tr>
      <w:tr w:rsidR="006E2EB8" w:rsidRPr="000825B5" w14:paraId="50DDEC71" w14:textId="77777777" w:rsidTr="00786E37">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68D7808B"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2E6B3D8C"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6324F0A9" w14:textId="77777777" w:rsidR="006E2EB8" w:rsidRPr="000825B5" w:rsidRDefault="006E2EB8" w:rsidP="006E2EB8">
            <w:pPr>
              <w:pStyle w:val="TableText"/>
              <w:ind w:left="284" w:hanging="284"/>
            </w:pPr>
            <w:r>
              <w:t>A.</w:t>
            </w:r>
            <w:r>
              <w:tab/>
            </w:r>
            <w:r w:rsidRPr="000825B5">
              <w:t>Number of men with high</w:t>
            </w:r>
            <w:r>
              <w:t>-</w:t>
            </w:r>
            <w:r w:rsidRPr="000825B5">
              <w:t>risk prostate cancer</w:t>
            </w:r>
          </w:p>
          <w:p w14:paraId="1B316434" w14:textId="77777777" w:rsidR="006E2EB8" w:rsidRPr="000825B5" w:rsidRDefault="006E2EB8" w:rsidP="006E2EB8">
            <w:pPr>
              <w:pStyle w:val="TableText"/>
              <w:ind w:left="284" w:hanging="284"/>
            </w:pPr>
            <w:r>
              <w:t>B.</w:t>
            </w:r>
            <w:r>
              <w:tab/>
            </w:r>
            <w:r w:rsidRPr="000825B5">
              <w:t>Number of men treated with postoperative/salvage prostate bed radiation</w:t>
            </w:r>
          </w:p>
        </w:tc>
      </w:tr>
      <w:tr w:rsidR="006E2EB8" w:rsidRPr="000825B5" w14:paraId="7E12CE12" w14:textId="77777777" w:rsidTr="00786E37">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6CC484D0"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A2810A1" w14:textId="77777777" w:rsidR="006E2EB8" w:rsidRPr="000825B5" w:rsidRDefault="006E2EB8" w:rsidP="006E2EB8">
            <w:pPr>
              <w:pStyle w:val="TableText"/>
            </w:pPr>
            <w:r w:rsidRPr="000825B5">
              <w:t>NNPAC, NMDS, ROC</w:t>
            </w:r>
          </w:p>
        </w:tc>
      </w:tr>
    </w:tbl>
    <w:p w14:paraId="327883B9" w14:textId="77777777" w:rsidR="00A23E54" w:rsidRPr="00C71161" w:rsidRDefault="00A23E54" w:rsidP="00786E37">
      <w:r w:rsidRPr="00C71161">
        <w:fldChar w:fldCharType="begin"/>
      </w:r>
      <w:r w:rsidRPr="00C71161">
        <w:instrText xml:space="preserve"> ADDIN EN.SECTION.REFLIST </w:instrText>
      </w:r>
      <w:r w:rsidRPr="00C71161">
        <w:fldChar w:fldCharType="end"/>
      </w:r>
    </w:p>
    <w:p w14:paraId="54621B5C" w14:textId="77777777" w:rsidR="00A23E54" w:rsidRDefault="00A23E54" w:rsidP="007C278F">
      <w:pPr>
        <w:pStyle w:val="Heading2"/>
        <w:keepNext w:val="0"/>
        <w:pageBreakBefore/>
        <w:spacing w:before="0"/>
      </w:pPr>
      <w:bookmarkStart w:id="65" w:name="_Ref536004543"/>
      <w:bookmarkStart w:id="66" w:name="_Ref536004651"/>
      <w:bookmarkStart w:id="67" w:name="_Toc3791472"/>
      <w:bookmarkStart w:id="68" w:name="_Toc3817770"/>
      <w:bookmarkStart w:id="69" w:name="_Toc8116710"/>
      <w:bookmarkStart w:id="70" w:name="_Toc13561058"/>
      <w:bookmarkStart w:id="71" w:name="_Toc18056774"/>
      <w:bookmarkStart w:id="72" w:name="_Ref67909210"/>
      <w:bookmarkStart w:id="73" w:name="_Ref68540361"/>
      <w:bookmarkStart w:id="74" w:name="_Toc79501564"/>
      <w:bookmarkStart w:id="75" w:name="_Toc82433284"/>
      <w:r w:rsidRPr="00C71161">
        <w:lastRenderedPageBreak/>
        <w:t xml:space="preserve">PCQI </w:t>
      </w:r>
      <w:bookmarkEnd w:id="12"/>
      <w:bookmarkEnd w:id="65"/>
      <w:bookmarkEnd w:id="66"/>
      <w:bookmarkEnd w:id="67"/>
      <w:bookmarkEnd w:id="68"/>
      <w:r w:rsidRPr="00C71161">
        <w:t>5.</w:t>
      </w:r>
      <w:bookmarkEnd w:id="69"/>
      <w:bookmarkEnd w:id="70"/>
      <w:bookmarkEnd w:id="71"/>
      <w:bookmarkEnd w:id="72"/>
      <w:r>
        <w:t xml:space="preserve"> </w:t>
      </w:r>
      <w:r w:rsidRPr="0075125F">
        <w:t xml:space="preserve">Discussion with radiation oncologist </w:t>
      </w:r>
      <w:r>
        <w:t>before</w:t>
      </w:r>
      <w:r w:rsidRPr="0075125F">
        <w:t xml:space="preserve"> radical prostatectomy</w:t>
      </w:r>
      <w:bookmarkEnd w:id="73"/>
      <w:bookmarkEnd w:id="74"/>
      <w:bookmarkEnd w:id="75"/>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5E680617"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52C07961"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CFD59BA" w14:textId="77777777" w:rsidR="006E2EB8" w:rsidRPr="000825B5" w:rsidRDefault="006E2EB8" w:rsidP="006E2EB8">
            <w:pPr>
              <w:pStyle w:val="TableText"/>
            </w:pPr>
            <w:r w:rsidRPr="000825B5">
              <w:t xml:space="preserve">Proportion of men with prostate cancer being considered for radical prostatectomy who see a radiation oncologist </w:t>
            </w:r>
            <w:r>
              <w:t>before</w:t>
            </w:r>
            <w:r w:rsidRPr="000825B5">
              <w:t xml:space="preserve"> treatment, including remote consultations</w:t>
            </w:r>
          </w:p>
        </w:tc>
      </w:tr>
      <w:tr w:rsidR="006E2EB8" w:rsidRPr="000825B5" w14:paraId="3E4D6599"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57BE922C"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4FA7874" w14:textId="77777777" w:rsidR="006E2EB8" w:rsidRPr="000825B5" w:rsidRDefault="006E2EB8" w:rsidP="006E2EB8">
            <w:pPr>
              <w:pStyle w:val="TableText"/>
            </w:pPr>
            <w:r w:rsidRPr="000825B5">
              <w:t xml:space="preserve">Patient-centred care and informed decision making is recognised as an essential component of best-practice cancer care </w:t>
            </w:r>
            <w:r>
              <w:t>(Ministry of Health 2019).</w:t>
            </w:r>
          </w:p>
          <w:p w14:paraId="57EBC525" w14:textId="77777777" w:rsidR="006E2EB8" w:rsidRPr="000825B5" w:rsidRDefault="006E2EB8" w:rsidP="006E2EB8">
            <w:pPr>
              <w:pStyle w:val="TableText"/>
            </w:pPr>
            <w:r w:rsidRPr="000825B5">
              <w:t>In men with localised prostate cancer</w:t>
            </w:r>
            <w:r>
              <w:t>,</w:t>
            </w:r>
            <w:r w:rsidRPr="000825B5">
              <w:t xml:space="preserve"> radical prostatectomy and radical radiation treatment have equivalent outcomes in terms of mortality, disease progression and long</w:t>
            </w:r>
            <w:r>
              <w:t>-</w:t>
            </w:r>
            <w:r w:rsidRPr="000825B5">
              <w:t xml:space="preserve">term quality of life </w:t>
            </w:r>
            <w:r>
              <w:t>(Donovan et al 2016; Hamdy et al 2016; Kishan et al 2018).</w:t>
            </w:r>
          </w:p>
          <w:p w14:paraId="0AF6EF77" w14:textId="77777777" w:rsidR="006E2EB8" w:rsidRPr="00CA7F10" w:rsidRDefault="006E2EB8" w:rsidP="006E2EB8">
            <w:pPr>
              <w:pStyle w:val="TableText"/>
              <w:rPr>
                <w:sz w:val="20"/>
              </w:rPr>
            </w:pPr>
            <w:r w:rsidRPr="000825B5">
              <w:t xml:space="preserve">Therefore, for most men, modality of treatment (surgery or radiation treatment) is a patient decision rather than a decision made by </w:t>
            </w:r>
            <w:r>
              <w:t>an MDT</w:t>
            </w:r>
            <w:r w:rsidRPr="000825B5">
              <w:t xml:space="preserve">. For this reason, it is important to ensure men receive evidence-based and personalised information about their treatment options </w:t>
            </w:r>
            <w:r>
              <w:t>from</w:t>
            </w:r>
            <w:r w:rsidRPr="000825B5">
              <w:t xml:space="preserve"> the relevant treatment </w:t>
            </w:r>
            <w:proofErr w:type="gramStart"/>
            <w:r w:rsidRPr="000825B5">
              <w:t>specialist</w:t>
            </w:r>
            <w:r>
              <w:t>;</w:t>
            </w:r>
            <w:proofErr w:type="gramEnd"/>
            <w:r>
              <w:t xml:space="preserve"> for example,</w:t>
            </w:r>
            <w:r w:rsidRPr="000825B5">
              <w:t xml:space="preserve"> a radiation oncologist. Cancer nurse specialists also play an important role in helping communicate treatment options. Tailored information will support men in their choice of treatment and inform them of the intent and possible side effects of their preferred option.</w:t>
            </w:r>
          </w:p>
        </w:tc>
      </w:tr>
      <w:tr w:rsidR="006E2EB8" w:rsidRPr="000825B5" w14:paraId="42DDC8E7"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3A3F6F5B"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E9FC88E" w14:textId="77777777" w:rsidR="006E2EB8" w:rsidRPr="000825B5" w:rsidRDefault="006E2EB8" w:rsidP="006E2EB8">
            <w:pPr>
              <w:pStyle w:val="TableText"/>
            </w:pPr>
            <w:r w:rsidRPr="000825B5">
              <w:t xml:space="preserve">In </w:t>
            </w:r>
            <w:r>
              <w:t xml:space="preserve">Aotearoa </w:t>
            </w:r>
            <w:r w:rsidRPr="000825B5">
              <w:t xml:space="preserve">New Zealand, the number of men being referred to and/or seeing a radiation oncologist </w:t>
            </w:r>
            <w:r>
              <w:t>before</w:t>
            </w:r>
            <w:r w:rsidRPr="000825B5">
              <w:t xml:space="preserve"> radical prostatectomy is not known. This indicator assumes that all men see a urologist as part of their prostate cancer diagnosis. This indicator will assess the equity of access to radiation oncology consultations.</w:t>
            </w:r>
          </w:p>
        </w:tc>
      </w:tr>
      <w:tr w:rsidR="006E2EB8" w:rsidRPr="000825B5" w14:paraId="612AB82D"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1710D2D"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79134738"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73A0214F" w14:textId="77777777" w:rsidR="006E2EB8" w:rsidRPr="000825B5" w:rsidRDefault="006E2EB8" w:rsidP="006E2EB8">
            <w:pPr>
              <w:pStyle w:val="TableText"/>
            </w:pPr>
            <w:r w:rsidRPr="000825B5">
              <w:t>Number of men having an appointment with a radiation oncologist between diagnosis and radical treatment</w:t>
            </w:r>
          </w:p>
        </w:tc>
      </w:tr>
      <w:tr w:rsidR="006E2EB8" w:rsidRPr="000825B5" w14:paraId="36C2490A" w14:textId="77777777" w:rsidTr="0079732A">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3EE88684"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797D4C91"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56EF55FA" w14:textId="77777777" w:rsidR="006E2EB8" w:rsidRPr="000825B5" w:rsidRDefault="006E2EB8" w:rsidP="006E2EB8">
            <w:pPr>
              <w:pStyle w:val="TableText"/>
            </w:pPr>
            <w:r w:rsidRPr="000825B5">
              <w:t>Number of men with prostate cancer undergoing radical prostatectomy</w:t>
            </w:r>
          </w:p>
        </w:tc>
      </w:tr>
      <w:tr w:rsidR="006E2EB8" w:rsidRPr="000825B5" w14:paraId="7E10FB29" w14:textId="77777777" w:rsidTr="0079732A">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5678C9B7"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2DF5D73" w14:textId="77777777" w:rsidR="006E2EB8" w:rsidRPr="000825B5" w:rsidRDefault="006E2EB8" w:rsidP="006E2EB8">
            <w:pPr>
              <w:pStyle w:val="TableText"/>
            </w:pPr>
            <w:r w:rsidRPr="000825B5">
              <w:t>NZCR, NNPAC, NMDS</w:t>
            </w:r>
          </w:p>
        </w:tc>
      </w:tr>
    </w:tbl>
    <w:p w14:paraId="6C8053CB" w14:textId="77777777" w:rsidR="00A23E54" w:rsidRPr="00C71161" w:rsidRDefault="00A23E54" w:rsidP="0079732A">
      <w:r w:rsidRPr="00C71161">
        <w:fldChar w:fldCharType="begin"/>
      </w:r>
      <w:r w:rsidRPr="00C71161">
        <w:instrText xml:space="preserve"> ADDIN EN.SECTION.REFLIST </w:instrText>
      </w:r>
      <w:r w:rsidRPr="00C71161">
        <w:fldChar w:fldCharType="end"/>
      </w:r>
    </w:p>
    <w:p w14:paraId="121B9559" w14:textId="77777777" w:rsidR="00A23E54" w:rsidRDefault="007C278F" w:rsidP="007C278F">
      <w:pPr>
        <w:pStyle w:val="Heading2"/>
        <w:keepNext w:val="0"/>
        <w:pageBreakBefore/>
        <w:spacing w:before="0"/>
      </w:pPr>
      <w:bookmarkStart w:id="76" w:name="_Toc3791473"/>
      <w:bookmarkStart w:id="77" w:name="_Toc3817771"/>
      <w:bookmarkStart w:id="78" w:name="_Toc8116711"/>
      <w:bookmarkStart w:id="79" w:name="_Toc13561059"/>
      <w:bookmarkStart w:id="80" w:name="_Toc18056775"/>
      <w:bookmarkStart w:id="81" w:name="_Ref67909260"/>
      <w:bookmarkStart w:id="82" w:name="_Toc79501565"/>
      <w:bookmarkStart w:id="83" w:name="_Toc82433285"/>
      <w:bookmarkStart w:id="84" w:name="_Ref535568048"/>
      <w:r>
        <w:lastRenderedPageBreak/>
        <w:t>P</w:t>
      </w:r>
      <w:r w:rsidR="00A23E54" w:rsidRPr="00C71161">
        <w:t>CQI 6.</w:t>
      </w:r>
      <w:r w:rsidR="00A23E54">
        <w:t xml:space="preserve"> </w:t>
      </w:r>
      <w:r w:rsidR="00A23E54" w:rsidRPr="00C71161">
        <w:t>Medical oncology review of patients with advanced disease</w:t>
      </w:r>
      <w:bookmarkEnd w:id="76"/>
      <w:bookmarkEnd w:id="77"/>
      <w:bookmarkEnd w:id="78"/>
      <w:bookmarkEnd w:id="79"/>
      <w:bookmarkEnd w:id="80"/>
      <w:bookmarkEnd w:id="81"/>
      <w:bookmarkEnd w:id="82"/>
      <w:bookmarkEnd w:id="83"/>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159E62BA"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473D41E3"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415710B" w14:textId="77777777" w:rsidR="006E2EB8" w:rsidRPr="000825B5" w:rsidRDefault="006E2EB8" w:rsidP="006E2EB8">
            <w:pPr>
              <w:pStyle w:val="TableText"/>
            </w:pPr>
            <w:r>
              <w:t>Proportion of men with advanced prostate cancer who see a medical oncologist</w:t>
            </w:r>
          </w:p>
        </w:tc>
      </w:tr>
      <w:tr w:rsidR="006E2EB8" w:rsidRPr="000825B5" w14:paraId="7F2719E6"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783E4818"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0860A859" w14:textId="77777777" w:rsidR="006E2EB8" w:rsidRPr="000825B5" w:rsidRDefault="006E2EB8" w:rsidP="006E2EB8">
            <w:pPr>
              <w:pStyle w:val="TableText"/>
            </w:pPr>
            <w:r w:rsidRPr="000825B5">
              <w:t xml:space="preserve">Men with advanced prostate cancer should see a medical oncologist within two months of starting </w:t>
            </w:r>
            <w:r>
              <w:t>ADT</w:t>
            </w:r>
            <w:r w:rsidRPr="000825B5">
              <w:t xml:space="preserve"> </w:t>
            </w:r>
            <w:r>
              <w:t xml:space="preserve">(Morris et al 2018; National Institute for Health and Care Excellence 2019). </w:t>
            </w:r>
            <w:r w:rsidRPr="000825B5">
              <w:t>Overseas studies have shown that men with advanced (metastatic) prostate cancer who receive chemotherapy when starting hormone therapy have increased survival</w:t>
            </w:r>
            <w:r>
              <w:t xml:space="preserve"> (ECOG-ACRIN Cancer Research Group 2013). </w:t>
            </w:r>
            <w:r w:rsidRPr="000825B5">
              <w:t>Because of the difficulty in recording the date of starting ADT</w:t>
            </w:r>
            <w:r>
              <w:t>,</w:t>
            </w:r>
            <w:r w:rsidRPr="000825B5">
              <w:t xml:space="preserve"> this indicator is used to indicate early versus late referral to medical </w:t>
            </w:r>
            <w:r>
              <w:t>oncology services</w:t>
            </w:r>
            <w:r w:rsidRPr="000825B5">
              <w:t>.</w:t>
            </w:r>
          </w:p>
        </w:tc>
      </w:tr>
      <w:tr w:rsidR="006E2EB8" w:rsidRPr="000825B5" w14:paraId="1DAEE249"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1A1975E8"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5DCD07BE" w14:textId="77777777" w:rsidR="006E2EB8" w:rsidRPr="000825B5" w:rsidRDefault="006E2EB8" w:rsidP="006E2EB8">
            <w:pPr>
              <w:pStyle w:val="TableText"/>
            </w:pPr>
            <w:r w:rsidRPr="00741C96">
              <w:t>Poorer prostate</w:t>
            </w:r>
            <w:r w:rsidRPr="000825B5">
              <w:t xml:space="preserv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w:t>
            </w:r>
            <w:r>
              <w:t xml:space="preserve"> (</w:t>
            </w:r>
            <w:r w:rsidRPr="000825B5">
              <w:t>Obertová</w:t>
            </w:r>
            <w:r>
              <w:t xml:space="preserve"> et al 2015).</w:t>
            </w:r>
          </w:p>
        </w:tc>
      </w:tr>
      <w:tr w:rsidR="006E2EB8" w:rsidRPr="000825B5" w14:paraId="657C9A15"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92BD153"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010A4FF2"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03A9B4E2" w14:textId="77777777" w:rsidR="006E2EB8" w:rsidRPr="000825B5" w:rsidRDefault="006E2EB8" w:rsidP="006E2EB8">
            <w:pPr>
              <w:pStyle w:val="TableText"/>
            </w:pPr>
            <w:r w:rsidRPr="000825B5">
              <w:t>Number of men with prostate cancer who have had a</w:t>
            </w:r>
            <w:r>
              <w:t>n</w:t>
            </w:r>
            <w:r w:rsidRPr="000825B5">
              <w:t xml:space="preserve"> FSA with a medical oncologist </w:t>
            </w:r>
          </w:p>
          <w:p w14:paraId="208CFDE6" w14:textId="77777777" w:rsidR="006E2EB8" w:rsidRPr="000825B5" w:rsidRDefault="006E2EB8" w:rsidP="006E2EB8">
            <w:pPr>
              <w:pStyle w:val="TableText"/>
              <w:ind w:left="284" w:hanging="284"/>
            </w:pPr>
            <w:r>
              <w:t>A.</w:t>
            </w:r>
            <w:r>
              <w:tab/>
            </w:r>
            <w:r w:rsidRPr="000825B5">
              <w:t>within two years of date of death, or</w:t>
            </w:r>
          </w:p>
          <w:p w14:paraId="5BF51D94" w14:textId="77777777" w:rsidR="006E2EB8" w:rsidRPr="000825B5" w:rsidRDefault="006E2EB8" w:rsidP="006E2EB8">
            <w:pPr>
              <w:pStyle w:val="TableText"/>
              <w:ind w:left="284" w:hanging="284"/>
            </w:pPr>
            <w:r>
              <w:t>B.</w:t>
            </w:r>
            <w:r>
              <w:tab/>
            </w:r>
            <w:r w:rsidRPr="000825B5">
              <w:t xml:space="preserve">two or more years </w:t>
            </w:r>
            <w:r>
              <w:t>before</w:t>
            </w:r>
            <w:r w:rsidRPr="000825B5">
              <w:t xml:space="preserve"> to date of death</w:t>
            </w:r>
          </w:p>
        </w:tc>
      </w:tr>
      <w:tr w:rsidR="006E2EB8" w:rsidRPr="000825B5" w14:paraId="06EBDE31" w14:textId="77777777" w:rsidTr="0079732A">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782FFB95"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63D368CE"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40689368" w14:textId="77777777" w:rsidR="006E2EB8" w:rsidRPr="000825B5" w:rsidRDefault="006E2EB8" w:rsidP="006E2EB8">
            <w:pPr>
              <w:pStyle w:val="TableText"/>
            </w:pPr>
            <w:r w:rsidRPr="000825B5">
              <w:t xml:space="preserve">Number of men who died with prostate cancer as a primary </w:t>
            </w:r>
            <w:r>
              <w:t xml:space="preserve">cause </w:t>
            </w:r>
            <w:r w:rsidRPr="000825B5">
              <w:t>of death</w:t>
            </w:r>
          </w:p>
        </w:tc>
      </w:tr>
      <w:tr w:rsidR="006E2EB8" w:rsidRPr="000825B5" w14:paraId="5E9D492F" w14:textId="77777777" w:rsidTr="0079732A">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21B7B660"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FDC39AC" w14:textId="77777777" w:rsidR="006E2EB8" w:rsidRPr="000825B5" w:rsidRDefault="006E2EB8" w:rsidP="006E2EB8">
            <w:pPr>
              <w:pStyle w:val="TableText"/>
            </w:pPr>
            <w:r w:rsidRPr="000825B5">
              <w:t xml:space="preserve">NZCR, NNPAC, NMDS, </w:t>
            </w:r>
            <w:r>
              <w:t>PHARMS</w:t>
            </w:r>
            <w:r w:rsidRPr="000825B5">
              <w:t xml:space="preserve">, FCT, Mortality </w:t>
            </w:r>
            <w:r>
              <w:t>C</w:t>
            </w:r>
            <w:r w:rsidRPr="000825B5">
              <w:t>ollection</w:t>
            </w:r>
          </w:p>
        </w:tc>
      </w:tr>
    </w:tbl>
    <w:p w14:paraId="530D77C6" w14:textId="77777777" w:rsidR="00C621D9" w:rsidRPr="00C621D9" w:rsidRDefault="00C621D9" w:rsidP="0079732A"/>
    <w:p w14:paraId="46B8CFC1" w14:textId="77777777" w:rsidR="00A23E54" w:rsidRDefault="007C278F" w:rsidP="007C278F">
      <w:pPr>
        <w:pStyle w:val="Heading2"/>
        <w:keepNext w:val="0"/>
        <w:pageBreakBefore/>
        <w:spacing w:before="0"/>
      </w:pPr>
      <w:bookmarkStart w:id="85" w:name="_Toc3791474"/>
      <w:bookmarkStart w:id="86" w:name="_Toc3817772"/>
      <w:bookmarkStart w:id="87" w:name="_Toc8116712"/>
      <w:bookmarkStart w:id="88" w:name="_Toc13561060"/>
      <w:bookmarkStart w:id="89" w:name="_Toc18056776"/>
      <w:bookmarkStart w:id="90" w:name="_Ref67909287"/>
      <w:bookmarkStart w:id="91" w:name="_Toc79501566"/>
      <w:bookmarkStart w:id="92" w:name="_Toc82433286"/>
      <w:r>
        <w:lastRenderedPageBreak/>
        <w:t>P</w:t>
      </w:r>
      <w:r w:rsidR="00A23E54" w:rsidRPr="00C71161">
        <w:t>CQI 7.</w:t>
      </w:r>
      <w:r w:rsidR="00A23E54">
        <w:t xml:space="preserve"> </w:t>
      </w:r>
      <w:r w:rsidR="00A23E54" w:rsidRPr="00C71161">
        <w:t>Surgical margin status</w:t>
      </w:r>
      <w:bookmarkEnd w:id="84"/>
      <w:bookmarkEnd w:id="85"/>
      <w:bookmarkEnd w:id="86"/>
      <w:r w:rsidR="00A23E54" w:rsidRPr="00C71161">
        <w:t xml:space="preserve"> of pT2 stage disease</w:t>
      </w:r>
      <w:bookmarkEnd w:id="87"/>
      <w:bookmarkEnd w:id="88"/>
      <w:bookmarkEnd w:id="89"/>
      <w:bookmarkEnd w:id="90"/>
      <w:bookmarkEnd w:id="91"/>
      <w:bookmarkEnd w:id="92"/>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40609000"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3B06FD60"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63312AF" w14:textId="77777777" w:rsidR="006E2EB8" w:rsidRPr="000825B5" w:rsidRDefault="006E2EB8" w:rsidP="006E2EB8">
            <w:pPr>
              <w:pStyle w:val="TableText"/>
            </w:pPr>
            <w:r w:rsidRPr="000825B5">
              <w:t xml:space="preserve">Positive surgical margin rates for </w:t>
            </w:r>
            <w:r>
              <w:t>p</w:t>
            </w:r>
            <w:r w:rsidRPr="000825B5">
              <w:t>T2 stage disease.</w:t>
            </w:r>
          </w:p>
        </w:tc>
      </w:tr>
      <w:tr w:rsidR="006E2EB8" w:rsidRPr="000825B5" w14:paraId="32F2BFE3"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53813454"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EC15CAD" w14:textId="77777777" w:rsidR="006E2EB8" w:rsidRPr="000825B5" w:rsidRDefault="006E2EB8" w:rsidP="006E2EB8">
            <w:pPr>
              <w:pStyle w:val="TableText"/>
            </w:pPr>
            <w:r w:rsidRPr="000825B5">
              <w:t xml:space="preserve">The presence of a positive surgical margin increases the risk of recurrence and the need for further treatment and decreases the likelihood of survival for men with prostate cancer </w:t>
            </w:r>
            <w:r>
              <w:t>(</w:t>
            </w:r>
            <w:r w:rsidRPr="000825B5">
              <w:rPr>
                <w:noProof/>
              </w:rPr>
              <w:t xml:space="preserve">Alkhateeb </w:t>
            </w:r>
            <w:r>
              <w:rPr>
                <w:noProof/>
              </w:rPr>
              <w:t xml:space="preserve">et al 2010; </w:t>
            </w:r>
            <w:r w:rsidRPr="000825B5">
              <w:rPr>
                <w:noProof/>
              </w:rPr>
              <w:t xml:space="preserve">Ploussard </w:t>
            </w:r>
            <w:r>
              <w:rPr>
                <w:noProof/>
              </w:rPr>
              <w:t xml:space="preserve">et al 2011). </w:t>
            </w:r>
            <w:r w:rsidRPr="000825B5">
              <w:t xml:space="preserve">Positive margins have been associated with a more than </w:t>
            </w:r>
            <w:r>
              <w:t>two</w:t>
            </w:r>
            <w:r w:rsidRPr="000825B5">
              <w:t>-fold increase in the risk of a man dying from prostate cancer</w:t>
            </w:r>
            <w:r w:rsidRPr="000825B5" w:rsidDel="006060C3">
              <w:t xml:space="preserve"> </w:t>
            </w:r>
            <w:r>
              <w:t>(Wright et al 2010).</w:t>
            </w:r>
          </w:p>
          <w:p w14:paraId="7B0D0A5F" w14:textId="77777777" w:rsidR="006E2EB8" w:rsidRPr="000825B5" w:rsidRDefault="006E2EB8" w:rsidP="006E2EB8">
            <w:pPr>
              <w:pStyle w:val="TableText"/>
              <w:rPr>
                <w:shd w:val="clear" w:color="auto" w:fill="FFFFFF"/>
              </w:rPr>
            </w:pPr>
            <w:r w:rsidRPr="000825B5">
              <w:rPr>
                <w:shd w:val="clear" w:color="auto" w:fill="FFFFFF"/>
              </w:rPr>
              <w:t>Unlike other tumour characteristics, surgical margins are the only survival factor surgeons can influence</w:t>
            </w:r>
            <w:r>
              <w:rPr>
                <w:shd w:val="clear" w:color="auto" w:fill="FFFFFF"/>
              </w:rPr>
              <w:t xml:space="preserve"> (Evans et al 2014).</w:t>
            </w:r>
          </w:p>
          <w:p w14:paraId="3E53E130" w14:textId="77777777" w:rsidR="006E2EB8" w:rsidRPr="000825B5" w:rsidRDefault="006E2EB8" w:rsidP="006E2EB8">
            <w:pPr>
              <w:pStyle w:val="TableText"/>
              <w:rPr>
                <w:shd w:val="clear" w:color="auto" w:fill="FFFFFF"/>
              </w:rPr>
            </w:pPr>
            <w:r w:rsidRPr="000825B5">
              <w:t>T2 positive margin rates are a marker of surgical quality</w:t>
            </w:r>
            <w:r>
              <w:t>;</w:t>
            </w:r>
            <w:r w:rsidRPr="000825B5">
              <w:t xml:space="preserve"> less than 20</w:t>
            </w:r>
            <w:r>
              <w:t> percent</w:t>
            </w:r>
            <w:r w:rsidRPr="000825B5">
              <w:t xml:space="preserve"> of men should have T2 positive margins after surgery.</w:t>
            </w:r>
          </w:p>
        </w:tc>
      </w:tr>
      <w:tr w:rsidR="006E2EB8" w:rsidRPr="000825B5" w14:paraId="76848646"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25B82BF4"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57AE3DE" w14:textId="77777777" w:rsidR="006E2EB8" w:rsidRPr="000825B5" w:rsidRDefault="006E2EB8" w:rsidP="006E2EB8">
            <w:pPr>
              <w:pStyle w:val="TableText"/>
            </w:pPr>
            <w:r>
              <w:t>Literature/ data not available</w:t>
            </w:r>
          </w:p>
        </w:tc>
      </w:tr>
      <w:tr w:rsidR="006E2EB8" w:rsidRPr="000825B5" w14:paraId="0D9346BD"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5202856"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4DB83D4A"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301415C0" w14:textId="77777777" w:rsidR="006E2EB8" w:rsidRPr="000825B5" w:rsidRDefault="006E2EB8" w:rsidP="006E2EB8">
            <w:pPr>
              <w:pStyle w:val="TableText"/>
            </w:pPr>
            <w:r>
              <w:t xml:space="preserve">Number of </w:t>
            </w:r>
            <w:r w:rsidRPr="000825B5">
              <w:t>men with pT2 disease having radical prostatectomy with positive surgical margins</w:t>
            </w:r>
          </w:p>
        </w:tc>
      </w:tr>
      <w:tr w:rsidR="006E2EB8" w:rsidRPr="000825B5" w14:paraId="1A6DC73C" w14:textId="77777777" w:rsidTr="00C621D9">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660D67EC"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2B58A978"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036A272E" w14:textId="77777777" w:rsidR="006E2EB8" w:rsidRPr="000825B5" w:rsidRDefault="006E2EB8" w:rsidP="006E2EB8">
            <w:pPr>
              <w:pStyle w:val="TableText"/>
            </w:pPr>
            <w:r>
              <w:t xml:space="preserve">Number of </w:t>
            </w:r>
            <w:r w:rsidRPr="000825B5">
              <w:t>men with pT2 disease having radical prostatectomy</w:t>
            </w:r>
          </w:p>
        </w:tc>
      </w:tr>
      <w:tr w:rsidR="006E2EB8" w:rsidRPr="000825B5" w14:paraId="6D78767C"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00811321" w14:textId="77777777" w:rsidR="006E2EB8" w:rsidRPr="00B558BE" w:rsidRDefault="006E2EB8"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2C793A8" w14:textId="77777777" w:rsidR="006E2EB8" w:rsidRPr="000825B5" w:rsidRDefault="006E2EB8" w:rsidP="006E2EB8">
            <w:pPr>
              <w:pStyle w:val="TableText"/>
            </w:pPr>
            <w:r w:rsidRPr="000825B5">
              <w:t>NZCR, NNPAC, NMDS, PCOR/pathology reports</w:t>
            </w:r>
          </w:p>
        </w:tc>
      </w:tr>
      <w:tr w:rsidR="006E2EB8" w:rsidRPr="000825B5" w14:paraId="63D1334E" w14:textId="77777777" w:rsidTr="00C621D9">
        <w:trPr>
          <w:cantSplit/>
        </w:trPr>
        <w:tc>
          <w:tcPr>
            <w:tcW w:w="1843" w:type="dxa"/>
            <w:tcBorders>
              <w:top w:val="single" w:sz="4" w:space="0" w:color="FFFFFF" w:themeColor="background1"/>
              <w:bottom w:val="nil"/>
            </w:tcBorders>
            <w:shd w:val="clear" w:color="auto" w:fill="C2D9BA"/>
            <w:tcMar>
              <w:top w:w="0" w:type="dxa"/>
              <w:left w:w="57" w:type="dxa"/>
              <w:bottom w:w="0" w:type="dxa"/>
              <w:right w:w="57" w:type="dxa"/>
            </w:tcMar>
          </w:tcPr>
          <w:p w14:paraId="4166725A" w14:textId="77777777" w:rsidR="006E2EB8" w:rsidRPr="00B558BE" w:rsidRDefault="006E2EB8" w:rsidP="00C621D9">
            <w:pPr>
              <w:pStyle w:val="TableText"/>
              <w:ind w:right="57"/>
              <w:rPr>
                <w:b/>
              </w:rPr>
            </w:pPr>
            <w:r w:rsidRPr="00B558BE">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23DB18D" w14:textId="77777777" w:rsidR="006E2EB8" w:rsidRPr="000825B5" w:rsidRDefault="006E2EB8" w:rsidP="006E2EB8">
            <w:pPr>
              <w:pStyle w:val="TableText"/>
            </w:pPr>
            <w:r>
              <w:t xml:space="preserve">The Royal College of Pathologists of Australasia recommends </w:t>
            </w:r>
            <w:r w:rsidRPr="000825B5">
              <w:t xml:space="preserve">that pathology reports </w:t>
            </w:r>
            <w:r>
              <w:t xml:space="preserve">record </w:t>
            </w:r>
            <w:r w:rsidRPr="000825B5">
              <w:t xml:space="preserve">margin status </w:t>
            </w:r>
            <w:r>
              <w:t xml:space="preserve">(in the appropriate </w:t>
            </w:r>
            <w:r w:rsidRPr="000825B5">
              <w:t>format</w:t>
            </w:r>
            <w:r>
              <w:t>)</w:t>
            </w:r>
            <w:r w:rsidRPr="000825B5">
              <w:t>.</w:t>
            </w:r>
          </w:p>
        </w:tc>
      </w:tr>
    </w:tbl>
    <w:p w14:paraId="6BAA234E" w14:textId="77777777" w:rsidR="00C621D9" w:rsidRPr="00C621D9" w:rsidRDefault="00C621D9" w:rsidP="00B03AFF"/>
    <w:p w14:paraId="79195DB8" w14:textId="77777777" w:rsidR="00A23E54" w:rsidRDefault="00A23E54" w:rsidP="007C278F">
      <w:pPr>
        <w:pStyle w:val="Heading2"/>
        <w:keepNext w:val="0"/>
        <w:pageBreakBefore/>
        <w:spacing w:before="0"/>
      </w:pPr>
      <w:bookmarkStart w:id="93" w:name="_Toc3791481"/>
      <w:bookmarkStart w:id="94" w:name="_Toc3817779"/>
      <w:bookmarkStart w:id="95" w:name="_Toc8116713"/>
      <w:bookmarkStart w:id="96" w:name="_Toc13561061"/>
      <w:bookmarkStart w:id="97" w:name="_Toc18056777"/>
      <w:bookmarkStart w:id="98" w:name="_Ref67909345"/>
      <w:bookmarkStart w:id="99" w:name="_Toc79501567"/>
      <w:bookmarkStart w:id="100" w:name="_Toc82433287"/>
      <w:bookmarkStart w:id="101" w:name="_Ref535568067"/>
      <w:bookmarkStart w:id="102" w:name="_Toc3791475"/>
      <w:bookmarkStart w:id="103" w:name="_Toc3817773"/>
      <w:r w:rsidRPr="00C71161">
        <w:lastRenderedPageBreak/>
        <w:t>PCQI 8.</w:t>
      </w:r>
      <w:r>
        <w:t xml:space="preserve"> </w:t>
      </w:r>
      <w:r w:rsidRPr="00C71161">
        <w:t>Length of stay after surgery</w:t>
      </w:r>
      <w:bookmarkEnd w:id="93"/>
      <w:bookmarkEnd w:id="94"/>
      <w:bookmarkEnd w:id="95"/>
      <w:bookmarkEnd w:id="96"/>
      <w:bookmarkEnd w:id="97"/>
      <w:bookmarkEnd w:id="98"/>
      <w:bookmarkEnd w:id="99"/>
      <w:bookmarkEnd w:id="100"/>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66F290E9"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5D2D5BBF"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0258AA0" w14:textId="77777777" w:rsidR="006E2EB8" w:rsidRPr="000825B5" w:rsidRDefault="005C4F42" w:rsidP="006E2EB8">
            <w:pPr>
              <w:pStyle w:val="TableText"/>
              <w:ind w:left="284" w:hanging="284"/>
            </w:pPr>
            <w:r>
              <w:t>A.</w:t>
            </w:r>
            <w:r>
              <w:tab/>
            </w:r>
            <w:r w:rsidR="006E2EB8" w:rsidRPr="000825B5">
              <w:t xml:space="preserve">Proportion of men with prostate cancer discharged </w:t>
            </w:r>
            <w:r w:rsidR="006E2EB8">
              <w:t>three or more</w:t>
            </w:r>
            <w:r w:rsidR="006E2EB8" w:rsidRPr="000825B5">
              <w:t xml:space="preserve"> days after radical prostatectomy</w:t>
            </w:r>
          </w:p>
          <w:p w14:paraId="2B43E69B" w14:textId="77777777" w:rsidR="006E2EB8" w:rsidRPr="000825B5" w:rsidRDefault="005C4F42" w:rsidP="006E2EB8">
            <w:pPr>
              <w:pStyle w:val="TableText"/>
              <w:ind w:left="284" w:hanging="284"/>
            </w:pPr>
            <w:r>
              <w:t>B.</w:t>
            </w:r>
            <w:r>
              <w:tab/>
            </w:r>
            <w:r w:rsidR="006E2EB8" w:rsidRPr="000825B5">
              <w:t xml:space="preserve">Proportion of men with prostate cancer discharged </w:t>
            </w:r>
            <w:r w:rsidR="006E2EB8">
              <w:t xml:space="preserve">five </w:t>
            </w:r>
            <w:r w:rsidR="006E2EB8" w:rsidRPr="000825B5">
              <w:t>or more days after radical prostatectomy</w:t>
            </w:r>
          </w:p>
        </w:tc>
      </w:tr>
      <w:tr w:rsidR="006E2EB8" w:rsidRPr="000825B5" w14:paraId="3EE691EE"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02AE3B3A"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122C7DB" w14:textId="77777777" w:rsidR="006E2EB8" w:rsidRPr="000825B5" w:rsidRDefault="006E2EB8" w:rsidP="006E2EB8">
            <w:pPr>
              <w:pStyle w:val="TableText"/>
            </w:pPr>
            <w:r w:rsidRPr="000825B5">
              <w:t>Hospital length</w:t>
            </w:r>
            <w:r>
              <w:t xml:space="preserve"> </w:t>
            </w:r>
            <w:r w:rsidRPr="000825B5">
              <w:t>of</w:t>
            </w:r>
            <w:r>
              <w:t xml:space="preserve"> </w:t>
            </w:r>
            <w:r w:rsidRPr="000825B5">
              <w:t>stay following surgery is an indicator of health service efficiency and an important i</w:t>
            </w:r>
            <w:r w:rsidR="005C4F42">
              <w:t>ndicator for treatment quality.</w:t>
            </w:r>
          </w:p>
          <w:p w14:paraId="5E5A07B5" w14:textId="77777777" w:rsidR="006E2EB8" w:rsidRPr="000825B5" w:rsidRDefault="006E2EB8" w:rsidP="006E2EB8">
            <w:pPr>
              <w:pStyle w:val="TableText"/>
            </w:pPr>
            <w:r>
              <w:t xml:space="preserve">The enhanced recovery after surgery (ERAS) programme is an example of a recent, national </w:t>
            </w:r>
            <w:r w:rsidRPr="000825B5">
              <w:t xml:space="preserve">initiative aimed </w:t>
            </w:r>
            <w:r>
              <w:t>at reducing the</w:t>
            </w:r>
            <w:r w:rsidRPr="000825B5">
              <w:t xml:space="preserve"> </w:t>
            </w:r>
            <w:r>
              <w:t xml:space="preserve">length of stay </w:t>
            </w:r>
            <w:r w:rsidRPr="000825B5">
              <w:t>afte</w:t>
            </w:r>
            <w:r>
              <w:t xml:space="preserve">r </w:t>
            </w:r>
            <w:r w:rsidRPr="000825B5">
              <w:t>surgery</w:t>
            </w:r>
            <w:r>
              <w:t>, including cancer surgery</w:t>
            </w:r>
            <w:r w:rsidRPr="000825B5">
              <w:t xml:space="preserve">. </w:t>
            </w:r>
            <w:r>
              <w:t xml:space="preserve">Such </w:t>
            </w:r>
            <w:r w:rsidRPr="000825B5">
              <w:t xml:space="preserve">initiatives may confer advantages for men with prostate cancer, including faster recovery and fewer complications. </w:t>
            </w:r>
            <w:r>
              <w:t xml:space="preserve">They </w:t>
            </w:r>
            <w:r w:rsidRPr="000825B5">
              <w:t>may also lead to more cost</w:t>
            </w:r>
            <w:r>
              <w:t>-</w:t>
            </w:r>
            <w:r w:rsidRPr="000825B5">
              <w:t xml:space="preserve">effective care </w:t>
            </w:r>
            <w:r w:rsidR="005C4F42">
              <w:t>(Lin et al 2019).</w:t>
            </w:r>
          </w:p>
        </w:tc>
      </w:tr>
      <w:tr w:rsidR="006E2EB8" w:rsidRPr="000825B5" w14:paraId="5C9C56A9" w14:textId="77777777" w:rsidTr="005C4F42">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2E7935DF"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7B1480C1" w14:textId="77777777" w:rsidR="006E2EB8" w:rsidRPr="000825B5" w:rsidRDefault="006E2EB8" w:rsidP="006E2EB8">
            <w:pPr>
              <w:pStyle w:val="TableText"/>
            </w:pPr>
            <w:r w:rsidRPr="000825B5">
              <w:t xml:space="preserve">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 </w:t>
            </w:r>
            <w:r>
              <w:t>(</w:t>
            </w:r>
            <w:r w:rsidRPr="000825B5">
              <w:rPr>
                <w:noProof/>
              </w:rPr>
              <w:t>Obertová</w:t>
            </w:r>
            <w:r>
              <w:rPr>
                <w:noProof/>
              </w:rPr>
              <w:t xml:space="preserve"> 2015).</w:t>
            </w:r>
          </w:p>
        </w:tc>
      </w:tr>
      <w:tr w:rsidR="005C4F42" w:rsidRPr="000825B5" w14:paraId="5825926C" w14:textId="77777777" w:rsidTr="005C4F42">
        <w:trPr>
          <w:cantSplit/>
        </w:trPr>
        <w:tc>
          <w:tcPr>
            <w:tcW w:w="1843" w:type="dxa"/>
            <w:vMerge w:val="restart"/>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74B5769F" w14:textId="77777777" w:rsidR="005C4F42" w:rsidRPr="00B558BE" w:rsidRDefault="005C4F42"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70949ACF" w14:textId="77777777" w:rsidR="005C4F42" w:rsidRDefault="005C4F42" w:rsidP="005C4F42">
            <w:pPr>
              <w:pStyle w:val="TableText"/>
              <w:ind w:left="369" w:hanging="369"/>
            </w:pPr>
            <w:r w:rsidRPr="00B558BE">
              <w:rPr>
                <w:b/>
              </w:rPr>
              <w:t>Numerator</w:t>
            </w:r>
          </w:p>
        </w:tc>
        <w:tc>
          <w:tcPr>
            <w:tcW w:w="4819" w:type="dxa"/>
            <w:tcBorders>
              <w:top w:val="single" w:sz="4" w:space="0" w:color="C2D9BA"/>
              <w:bottom w:val="single" w:sz="4" w:space="0" w:color="C2D9BA"/>
            </w:tcBorders>
          </w:tcPr>
          <w:p w14:paraId="1003EA84" w14:textId="77777777" w:rsidR="005C4F42" w:rsidRDefault="005C4F42" w:rsidP="005C4F42">
            <w:pPr>
              <w:pStyle w:val="TableText"/>
              <w:ind w:left="284" w:hanging="284"/>
            </w:pPr>
            <w:r>
              <w:t>A.</w:t>
            </w:r>
            <w:r>
              <w:tab/>
            </w:r>
            <w:r w:rsidRPr="000825B5">
              <w:t xml:space="preserve">Number of men discharged </w:t>
            </w:r>
            <w:r>
              <w:t>three or more</w:t>
            </w:r>
            <w:r w:rsidRPr="000825B5">
              <w:t xml:space="preserve"> days after radical prostatectomy</w:t>
            </w:r>
          </w:p>
          <w:p w14:paraId="0148926A" w14:textId="77777777" w:rsidR="005C4F42" w:rsidRPr="000825B5" w:rsidRDefault="005C4F42" w:rsidP="005C4F42">
            <w:pPr>
              <w:pStyle w:val="TableText"/>
              <w:ind w:left="284" w:hanging="284"/>
            </w:pPr>
            <w:r>
              <w:t>B.</w:t>
            </w:r>
            <w:r>
              <w:tab/>
            </w:r>
            <w:r w:rsidRPr="000825B5">
              <w:t xml:space="preserve">Number of men discharged </w:t>
            </w:r>
            <w:r>
              <w:t xml:space="preserve">five </w:t>
            </w:r>
            <w:r w:rsidRPr="000825B5">
              <w:t>or more days after radical prostatectomy</w:t>
            </w:r>
          </w:p>
        </w:tc>
      </w:tr>
      <w:tr w:rsidR="005C4F42" w:rsidRPr="000825B5" w14:paraId="104752EB" w14:textId="77777777" w:rsidTr="005C4F42">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346F0FA1" w14:textId="77777777" w:rsidR="005C4F42" w:rsidRPr="00B558BE" w:rsidRDefault="005C4F42"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23B762FD" w14:textId="77777777" w:rsidR="005C4F42" w:rsidRPr="000825B5" w:rsidRDefault="005C4F42" w:rsidP="005C4F42">
            <w:pPr>
              <w:pStyle w:val="TableText"/>
            </w:pPr>
            <w:r>
              <w:rPr>
                <w:b/>
              </w:rPr>
              <w:t>Denominator</w:t>
            </w:r>
          </w:p>
        </w:tc>
        <w:tc>
          <w:tcPr>
            <w:tcW w:w="4819" w:type="dxa"/>
            <w:tcBorders>
              <w:top w:val="single" w:sz="4" w:space="0" w:color="C2D9BA"/>
              <w:bottom w:val="single" w:sz="4" w:space="0" w:color="C2D9BA"/>
            </w:tcBorders>
          </w:tcPr>
          <w:p w14:paraId="4D5D5309" w14:textId="77777777" w:rsidR="005C4F42" w:rsidRPr="000825B5" w:rsidRDefault="005C4F42" w:rsidP="005C4F42">
            <w:pPr>
              <w:pStyle w:val="TableText"/>
            </w:pPr>
            <w:r w:rsidRPr="00B10589">
              <w:t>Number of men with prostate cancer having a radical prostatectomy</w:t>
            </w:r>
          </w:p>
        </w:tc>
      </w:tr>
      <w:tr w:rsidR="005C4F42" w:rsidRPr="000825B5" w14:paraId="3E6DCAAF" w14:textId="77777777" w:rsidTr="005C4F42">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1B44C243" w14:textId="77777777" w:rsidR="005C4F42" w:rsidRPr="00B558BE" w:rsidRDefault="005C4F42"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7DD435B" w14:textId="77777777" w:rsidR="005C4F42" w:rsidRPr="000825B5" w:rsidRDefault="005C4F42" w:rsidP="007A5E4E">
            <w:pPr>
              <w:pStyle w:val="TableText"/>
            </w:pPr>
            <w:r w:rsidRPr="000825B5">
              <w:t>NZCR, NMDS</w:t>
            </w:r>
          </w:p>
        </w:tc>
      </w:tr>
      <w:tr w:rsidR="005C4F42" w:rsidRPr="000825B5" w14:paraId="34C58627" w14:textId="77777777" w:rsidTr="00C621D9">
        <w:trPr>
          <w:cantSplit/>
        </w:trPr>
        <w:tc>
          <w:tcPr>
            <w:tcW w:w="1843" w:type="dxa"/>
            <w:tcBorders>
              <w:top w:val="single" w:sz="4" w:space="0" w:color="FFFFFF" w:themeColor="background1"/>
              <w:bottom w:val="nil"/>
            </w:tcBorders>
            <w:shd w:val="clear" w:color="auto" w:fill="C2D9BA"/>
            <w:tcMar>
              <w:top w:w="0" w:type="dxa"/>
              <w:left w:w="57" w:type="dxa"/>
              <w:bottom w:w="0" w:type="dxa"/>
              <w:right w:w="57" w:type="dxa"/>
            </w:tcMar>
          </w:tcPr>
          <w:p w14:paraId="15056023" w14:textId="77777777" w:rsidR="005C4F42" w:rsidRPr="00B558BE" w:rsidRDefault="005C4F42" w:rsidP="00C621D9">
            <w:pPr>
              <w:pStyle w:val="TableText"/>
              <w:ind w:right="57"/>
              <w:rPr>
                <w:b/>
              </w:rPr>
            </w:pPr>
            <w:r w:rsidRPr="00B558BE">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0A45D9E9" w14:textId="77777777" w:rsidR="005C4F42" w:rsidRPr="000825B5" w:rsidRDefault="005C4F42" w:rsidP="007A5E4E">
            <w:pPr>
              <w:pStyle w:val="TableText"/>
            </w:pPr>
            <w:r>
              <w:t>The m</w:t>
            </w:r>
            <w:r w:rsidRPr="000825B5">
              <w:t>edian length of stay for men with prostate cancer after radical prostatectomy will also be reported for international comparisons</w:t>
            </w:r>
            <w:r>
              <w:t>.</w:t>
            </w:r>
          </w:p>
        </w:tc>
      </w:tr>
    </w:tbl>
    <w:p w14:paraId="18B85D16" w14:textId="77777777" w:rsidR="00C621D9" w:rsidRPr="00C621D9" w:rsidRDefault="00C621D9" w:rsidP="00E25C87"/>
    <w:p w14:paraId="73D7E370" w14:textId="77777777" w:rsidR="00A23E54" w:rsidRDefault="00A23E54" w:rsidP="007C278F">
      <w:pPr>
        <w:pStyle w:val="Heading2"/>
        <w:keepNext w:val="0"/>
        <w:pageBreakBefore/>
        <w:spacing w:before="0"/>
      </w:pPr>
      <w:bookmarkStart w:id="104" w:name="_Toc8116714"/>
      <w:bookmarkStart w:id="105" w:name="_Toc13561062"/>
      <w:bookmarkStart w:id="106" w:name="_Toc18056779"/>
      <w:bookmarkStart w:id="107" w:name="_Ref67909375"/>
      <w:bookmarkStart w:id="108" w:name="_Ref67909451"/>
      <w:bookmarkStart w:id="109" w:name="_Toc79501568"/>
      <w:bookmarkStart w:id="110" w:name="_Toc82433288"/>
      <w:r w:rsidRPr="00C71161">
        <w:lastRenderedPageBreak/>
        <w:t>PCQI 9.</w:t>
      </w:r>
      <w:r>
        <w:t xml:space="preserve"> </w:t>
      </w:r>
      <w:r w:rsidRPr="00C71161">
        <w:t>Equitable access to treatment</w:t>
      </w:r>
      <w:bookmarkEnd w:id="101"/>
      <w:bookmarkEnd w:id="102"/>
      <w:bookmarkEnd w:id="103"/>
      <w:bookmarkEnd w:id="104"/>
      <w:bookmarkEnd w:id="105"/>
      <w:bookmarkEnd w:id="106"/>
      <w:bookmarkEnd w:id="107"/>
      <w:bookmarkEnd w:id="108"/>
      <w:bookmarkEnd w:id="109"/>
      <w:bookmarkEnd w:id="110"/>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2C406EAF"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3C3D46B5"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5CE73E2" w14:textId="77777777" w:rsidR="006E2EB8" w:rsidRPr="004B55C9" w:rsidRDefault="006E2EB8" w:rsidP="005C4F42">
            <w:pPr>
              <w:pStyle w:val="TableText"/>
            </w:pPr>
            <w:r w:rsidRPr="004B55C9">
              <w:t>Proportion of men treated with radical surgery, curative radiation treatment and either radical surgery or curative radiation treatment.</w:t>
            </w:r>
            <w:r>
              <w:t xml:space="preserve"> </w:t>
            </w:r>
          </w:p>
        </w:tc>
      </w:tr>
      <w:tr w:rsidR="006E2EB8" w:rsidRPr="000825B5" w14:paraId="04585962"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3EE2F149"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34F62D3" w14:textId="77777777" w:rsidR="006E2EB8" w:rsidRPr="000825B5" w:rsidRDefault="006E2EB8" w:rsidP="005C4F42">
            <w:pPr>
              <w:pStyle w:val="TableText"/>
            </w:pPr>
            <w:r>
              <w:rPr>
                <w:lang w:eastAsia="en-NZ"/>
              </w:rPr>
              <w:t>M</w:t>
            </w:r>
            <w:r w:rsidRPr="000825B5">
              <w:rPr>
                <w:lang w:eastAsia="en-NZ"/>
              </w:rPr>
              <w:t xml:space="preserve">any factors need to be considered before deciding the most appropriate intervention, including the extent and grade of </w:t>
            </w:r>
            <w:r>
              <w:rPr>
                <w:lang w:eastAsia="en-NZ"/>
              </w:rPr>
              <w:t xml:space="preserve">the </w:t>
            </w:r>
            <w:r w:rsidRPr="000825B5">
              <w:rPr>
                <w:lang w:eastAsia="en-NZ"/>
              </w:rPr>
              <w:t xml:space="preserve">tumour, the age and the expected life span of the patient and any other serious health conditions he might have. It is also important to consider the likelihood that treatment will cure </w:t>
            </w:r>
            <w:r>
              <w:rPr>
                <w:lang w:eastAsia="en-NZ"/>
              </w:rPr>
              <w:t xml:space="preserve">the </w:t>
            </w:r>
            <w:r w:rsidRPr="000825B5">
              <w:rPr>
                <w:lang w:eastAsia="en-NZ"/>
              </w:rPr>
              <w:t xml:space="preserve">cancer (or help in some other way), the patient’s feelings about the possible side effects from each treatment </w:t>
            </w:r>
            <w:r>
              <w:rPr>
                <w:lang w:eastAsia="en-NZ"/>
              </w:rPr>
              <w:t xml:space="preserve">and </w:t>
            </w:r>
            <w:r w:rsidRPr="000825B5">
              <w:t>the opinion of the relevant treatment specialist.</w:t>
            </w:r>
          </w:p>
          <w:p w14:paraId="378F024F" w14:textId="77777777" w:rsidR="006E2EB8" w:rsidRPr="00F710AB" w:rsidRDefault="006E2EB8" w:rsidP="005C4F42">
            <w:pPr>
              <w:pStyle w:val="TableText"/>
              <w:rPr>
                <w:lang w:eastAsia="en-NZ"/>
              </w:rPr>
            </w:pPr>
            <w:r w:rsidRPr="000825B5">
              <w:t xml:space="preserve">Men with prostate cancer should receive treatment </w:t>
            </w:r>
            <w:r>
              <w:t xml:space="preserve">that </w:t>
            </w:r>
            <w:r w:rsidRPr="000825B5">
              <w:t xml:space="preserve">is appropriate to their risk group. For example, men with high-risk localised prostate cancer should be offered active treatment options </w:t>
            </w:r>
            <w:r>
              <w:t>(</w:t>
            </w:r>
            <w:r w:rsidRPr="00373077">
              <w:t>Bechis</w:t>
            </w:r>
            <w:r>
              <w:t xml:space="preserve"> et al 2011; National Institute for Health and Care Excellence 2015)</w:t>
            </w:r>
            <w:r w:rsidRPr="000825B5">
              <w:t xml:space="preserve"> and referred to an MDM. However, </w:t>
            </w:r>
            <w:r w:rsidRPr="000825B5">
              <w:rPr>
                <w:lang w:eastAsia="en-NZ"/>
              </w:rPr>
              <w:t xml:space="preserve">not every man with prostate cancer needs to be treated right away. </w:t>
            </w:r>
            <w:r w:rsidRPr="000825B5">
              <w:t>Men with low</w:t>
            </w:r>
            <w:r>
              <w:t>-</w:t>
            </w:r>
            <w:r w:rsidRPr="000825B5">
              <w:t>risk prostate cancer are usually best ma</w:t>
            </w:r>
            <w:r w:rsidR="005C4F42">
              <w:t>naged with active surveillance.</w:t>
            </w:r>
          </w:p>
        </w:tc>
      </w:tr>
      <w:tr w:rsidR="006E2EB8" w:rsidRPr="000825B5" w14:paraId="539D61DC"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4C69BF6B"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0FE15C44" w14:textId="77777777" w:rsidR="006E2EB8" w:rsidRPr="000825B5" w:rsidRDefault="006E2EB8" w:rsidP="005C4F42">
            <w:pPr>
              <w:pStyle w:val="TableText"/>
            </w:pPr>
            <w:r w:rsidRPr="000825B5">
              <w:t>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w:t>
            </w:r>
            <w:r>
              <w:t xml:space="preserve"> (</w:t>
            </w:r>
            <w:r w:rsidRPr="000825B5">
              <w:rPr>
                <w:noProof/>
              </w:rPr>
              <w:t>Obertová</w:t>
            </w:r>
            <w:r>
              <w:rPr>
                <w:noProof/>
              </w:rPr>
              <w:t xml:space="preserve"> et al 2015).</w:t>
            </w:r>
          </w:p>
        </w:tc>
      </w:tr>
      <w:tr w:rsidR="006E2EB8" w:rsidRPr="000825B5" w14:paraId="277A5978"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7C027DC" w14:textId="77777777" w:rsidR="006E2EB8" w:rsidRPr="00B558BE" w:rsidRDefault="006E2EB8"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01C61531" w14:textId="77777777" w:rsidR="006E2EB8" w:rsidRPr="00B558BE" w:rsidRDefault="006E2EB8" w:rsidP="00C621D9">
            <w:pPr>
              <w:pStyle w:val="TableText"/>
              <w:rPr>
                <w:b/>
              </w:rPr>
            </w:pPr>
            <w:r w:rsidRPr="00B558BE">
              <w:rPr>
                <w:b/>
              </w:rPr>
              <w:t>Numerator</w:t>
            </w:r>
          </w:p>
        </w:tc>
        <w:tc>
          <w:tcPr>
            <w:tcW w:w="4819" w:type="dxa"/>
            <w:tcBorders>
              <w:top w:val="single" w:sz="4" w:space="0" w:color="C2D9BA"/>
              <w:bottom w:val="single" w:sz="4" w:space="0" w:color="C2D9BA"/>
            </w:tcBorders>
          </w:tcPr>
          <w:p w14:paraId="2727AC5A" w14:textId="77777777" w:rsidR="005C4F42" w:rsidRPr="004B55C9" w:rsidRDefault="005C4F42" w:rsidP="005C4F42">
            <w:pPr>
              <w:pStyle w:val="TableText"/>
            </w:pPr>
            <w:r w:rsidRPr="004B55C9">
              <w:t>Number of men wi</w:t>
            </w:r>
            <w:r>
              <w:t>th prostate cancer treated with:</w:t>
            </w:r>
          </w:p>
          <w:p w14:paraId="380BD157" w14:textId="77777777" w:rsidR="005C4F42" w:rsidRPr="004B55C9" w:rsidRDefault="005C4F42" w:rsidP="005C4F42">
            <w:pPr>
              <w:pStyle w:val="TableText"/>
              <w:ind w:left="284" w:hanging="284"/>
            </w:pPr>
            <w:r>
              <w:t>A.</w:t>
            </w:r>
            <w:r>
              <w:tab/>
              <w:t>r</w:t>
            </w:r>
            <w:r w:rsidRPr="004B55C9">
              <w:t>adical surgery</w:t>
            </w:r>
          </w:p>
          <w:p w14:paraId="386ABC84" w14:textId="77777777" w:rsidR="005C4F42" w:rsidRPr="004B55C9" w:rsidRDefault="005C4F42" w:rsidP="005C4F42">
            <w:pPr>
              <w:pStyle w:val="TableText"/>
              <w:ind w:left="284" w:hanging="284"/>
            </w:pPr>
            <w:r>
              <w:t>B.</w:t>
            </w:r>
            <w:r>
              <w:tab/>
              <w:t>c</w:t>
            </w:r>
            <w:r w:rsidRPr="004B55C9">
              <w:t>urative radiation treatment</w:t>
            </w:r>
          </w:p>
          <w:p w14:paraId="71CED97C" w14:textId="77777777" w:rsidR="006E2EB8" w:rsidRPr="000825B5" w:rsidRDefault="005C4F42" w:rsidP="005C4F42">
            <w:pPr>
              <w:pStyle w:val="TableText"/>
              <w:ind w:left="284" w:hanging="284"/>
            </w:pPr>
            <w:r>
              <w:t>C.</w:t>
            </w:r>
            <w:r>
              <w:tab/>
              <w:t>r</w:t>
            </w:r>
            <w:r w:rsidRPr="004B55C9">
              <w:t>adical surgery or curative radiation treatment</w:t>
            </w:r>
          </w:p>
        </w:tc>
      </w:tr>
      <w:tr w:rsidR="006E2EB8" w:rsidRPr="000825B5" w14:paraId="3A94AA7F" w14:textId="77777777" w:rsidTr="001C316E">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1BC707F8" w14:textId="77777777" w:rsidR="006E2EB8" w:rsidRPr="00B558BE" w:rsidRDefault="006E2EB8"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3D89717D" w14:textId="77777777" w:rsidR="006E2EB8" w:rsidRPr="00B558BE" w:rsidRDefault="006E2EB8" w:rsidP="00C621D9">
            <w:pPr>
              <w:pStyle w:val="TableText"/>
              <w:rPr>
                <w:b/>
              </w:rPr>
            </w:pPr>
            <w:r w:rsidRPr="00B558BE">
              <w:rPr>
                <w:b/>
              </w:rPr>
              <w:t>Denominator</w:t>
            </w:r>
          </w:p>
        </w:tc>
        <w:tc>
          <w:tcPr>
            <w:tcW w:w="4819" w:type="dxa"/>
            <w:tcBorders>
              <w:top w:val="single" w:sz="4" w:space="0" w:color="C2D9BA"/>
              <w:bottom w:val="single" w:sz="4" w:space="0" w:color="C2D9BA"/>
            </w:tcBorders>
          </w:tcPr>
          <w:p w14:paraId="5CD38B52" w14:textId="77777777" w:rsidR="006E2EB8" w:rsidRPr="000825B5" w:rsidRDefault="005C4F42" w:rsidP="00C621D9">
            <w:pPr>
              <w:pStyle w:val="TableText"/>
            </w:pPr>
            <w:r w:rsidRPr="000825B5">
              <w:t>Number of men diagnosed with prostate cancer</w:t>
            </w:r>
          </w:p>
        </w:tc>
      </w:tr>
      <w:tr w:rsidR="005C4F42" w:rsidRPr="000825B5" w14:paraId="0B221630" w14:textId="77777777" w:rsidTr="005C4F42">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745D9E94" w14:textId="77777777" w:rsidR="005C4F42" w:rsidRPr="00B558BE" w:rsidRDefault="005C4F42"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69988CE" w14:textId="77777777" w:rsidR="005C4F42" w:rsidRPr="000825B5" w:rsidRDefault="005C4F42" w:rsidP="007A5E4E">
            <w:pPr>
              <w:pStyle w:val="TableText"/>
            </w:pPr>
            <w:r w:rsidRPr="000825B5">
              <w:t xml:space="preserve">NZCR, NNPAC, NMDS, </w:t>
            </w:r>
            <w:r>
              <w:t>PHARMS</w:t>
            </w:r>
            <w:r w:rsidRPr="000825B5">
              <w:t>, ROC</w:t>
            </w:r>
          </w:p>
        </w:tc>
      </w:tr>
      <w:tr w:rsidR="005C4F42" w:rsidRPr="000825B5" w14:paraId="743A2A97" w14:textId="77777777" w:rsidTr="001C316E">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35B9F0A0" w14:textId="77777777" w:rsidR="005C4F42" w:rsidRPr="00B558BE" w:rsidRDefault="005C4F42" w:rsidP="00C621D9">
            <w:pPr>
              <w:pStyle w:val="TableText"/>
              <w:ind w:right="57"/>
              <w:rPr>
                <w:b/>
              </w:rPr>
            </w:pPr>
            <w:r>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9510504" w14:textId="77777777" w:rsidR="005C4F42" w:rsidRPr="000825B5" w:rsidRDefault="005C4F42" w:rsidP="007A5E4E">
            <w:pPr>
              <w:pStyle w:val="TableText"/>
            </w:pPr>
            <w:r>
              <w:t xml:space="preserve">The development of this indicator considered the inclusion of the proportion of men receiving </w:t>
            </w:r>
            <w:r w:rsidRPr="000825B5">
              <w:t xml:space="preserve">systemic treatment, active </w:t>
            </w:r>
            <w:proofErr w:type="gramStart"/>
            <w:r w:rsidRPr="000825B5">
              <w:t>surveillance</w:t>
            </w:r>
            <w:proofErr w:type="gramEnd"/>
            <w:r w:rsidRPr="000825B5">
              <w:t xml:space="preserve"> or watchful wait</w:t>
            </w:r>
            <w:r>
              <w:t>; however, national data was not available.</w:t>
            </w:r>
          </w:p>
        </w:tc>
      </w:tr>
    </w:tbl>
    <w:p w14:paraId="7680CF46" w14:textId="77777777" w:rsidR="00A23E54" w:rsidRPr="00C71161" w:rsidRDefault="00A23E54" w:rsidP="001C316E">
      <w:bookmarkStart w:id="111" w:name="_Ref535568074"/>
    </w:p>
    <w:p w14:paraId="469CAA57" w14:textId="77777777" w:rsidR="00A23E54" w:rsidRDefault="00A23E54" w:rsidP="007C278F">
      <w:pPr>
        <w:pStyle w:val="Heading2"/>
        <w:keepNext w:val="0"/>
        <w:pageBreakBefore/>
        <w:spacing w:before="0"/>
      </w:pPr>
      <w:bookmarkStart w:id="112" w:name="_Toc3791480"/>
      <w:bookmarkStart w:id="113" w:name="_Toc3817778"/>
      <w:bookmarkStart w:id="114" w:name="_Toc8116715"/>
      <w:bookmarkStart w:id="115" w:name="_Toc13561063"/>
      <w:bookmarkStart w:id="116" w:name="_Toc18056780"/>
      <w:bookmarkStart w:id="117" w:name="_Ref67909470"/>
      <w:bookmarkStart w:id="118" w:name="_Toc79501569"/>
      <w:bookmarkStart w:id="119" w:name="_Toc82433289"/>
      <w:bookmarkStart w:id="120" w:name="_Ref535925564"/>
      <w:bookmarkStart w:id="121" w:name="_Toc3791476"/>
      <w:bookmarkStart w:id="122" w:name="_Toc3817774"/>
      <w:r w:rsidRPr="00C71161">
        <w:lastRenderedPageBreak/>
        <w:t>PCQI 10.</w:t>
      </w:r>
      <w:r>
        <w:t xml:space="preserve"> </w:t>
      </w:r>
      <w:r w:rsidRPr="00C71161">
        <w:t>Timeliness of treatment pathway</w:t>
      </w:r>
      <w:bookmarkEnd w:id="112"/>
      <w:bookmarkEnd w:id="113"/>
      <w:bookmarkEnd w:id="114"/>
      <w:bookmarkEnd w:id="115"/>
      <w:bookmarkEnd w:id="116"/>
      <w:bookmarkEnd w:id="117"/>
      <w:bookmarkEnd w:id="118"/>
      <w:bookmarkEnd w:id="119"/>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6237"/>
      </w:tblGrid>
      <w:tr w:rsidR="006E2EB8" w:rsidRPr="000825B5" w14:paraId="46C3CE82"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033F9377" w14:textId="77777777" w:rsidR="006E2EB8" w:rsidRPr="00B558BE" w:rsidRDefault="006E2EB8" w:rsidP="00C621D9">
            <w:pPr>
              <w:pStyle w:val="TableText"/>
              <w:ind w:right="57"/>
              <w:rPr>
                <w:b/>
              </w:rPr>
            </w:pPr>
            <w:r w:rsidRPr="00B558BE">
              <w:rPr>
                <w:b/>
              </w:rPr>
              <w:t>Indicator description</w:t>
            </w:r>
          </w:p>
        </w:tc>
        <w:tc>
          <w:tcPr>
            <w:tcW w:w="6237" w:type="dxa"/>
            <w:tcBorders>
              <w:top w:val="single" w:sz="4" w:space="0" w:color="C2D9BA"/>
              <w:bottom w:val="single" w:sz="4" w:space="0" w:color="C2D9BA"/>
            </w:tcBorders>
            <w:tcMar>
              <w:top w:w="0" w:type="dxa"/>
              <w:left w:w="57" w:type="dxa"/>
              <w:bottom w:w="0" w:type="dxa"/>
              <w:right w:w="57" w:type="dxa"/>
            </w:tcMar>
          </w:tcPr>
          <w:p w14:paraId="3908F720" w14:textId="77777777" w:rsidR="006E2EB8" w:rsidRPr="000825B5" w:rsidRDefault="005C4F42" w:rsidP="005C4F42">
            <w:pPr>
              <w:pStyle w:val="TableText"/>
              <w:ind w:left="284" w:hanging="284"/>
            </w:pPr>
            <w:r>
              <w:t>A.</w:t>
            </w:r>
            <w:r>
              <w:tab/>
            </w:r>
            <w:r w:rsidR="006E2EB8" w:rsidRPr="000825B5">
              <w:t>Time from receipt of</w:t>
            </w:r>
            <w:r>
              <w:t xml:space="preserve"> referral to FSA</w:t>
            </w:r>
          </w:p>
          <w:p w14:paraId="27FD57A0" w14:textId="77777777" w:rsidR="006E2EB8" w:rsidRPr="000825B5" w:rsidRDefault="006E2EB8" w:rsidP="005C4F42">
            <w:pPr>
              <w:pStyle w:val="TableText"/>
              <w:ind w:left="284" w:hanging="284"/>
            </w:pPr>
            <w:r>
              <w:t>B.</w:t>
            </w:r>
            <w:r w:rsidR="005C4F42">
              <w:tab/>
            </w:r>
            <w:r w:rsidRPr="000825B5">
              <w:t>Time from receipt of referral to diagnosis</w:t>
            </w:r>
          </w:p>
          <w:p w14:paraId="3D176D2B" w14:textId="77777777" w:rsidR="006E2EB8" w:rsidRPr="000825B5" w:rsidRDefault="006E2EB8" w:rsidP="005C4F42">
            <w:pPr>
              <w:pStyle w:val="TableText"/>
              <w:ind w:left="284" w:hanging="284"/>
            </w:pPr>
            <w:r>
              <w:t>C.</w:t>
            </w:r>
            <w:r w:rsidR="005C4F42">
              <w:tab/>
            </w:r>
            <w:r w:rsidRPr="000825B5">
              <w:t>Time from decision to treat to first treatment</w:t>
            </w:r>
          </w:p>
        </w:tc>
      </w:tr>
      <w:tr w:rsidR="006E2EB8" w:rsidRPr="000825B5" w14:paraId="53944A7C"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0D61A6E" w14:textId="77777777" w:rsidR="006E2EB8" w:rsidRPr="00B558BE" w:rsidRDefault="006E2EB8" w:rsidP="00C621D9">
            <w:pPr>
              <w:pStyle w:val="TableText"/>
              <w:ind w:right="57"/>
              <w:rPr>
                <w:b/>
              </w:rPr>
            </w:pPr>
            <w:r w:rsidRPr="00B558BE">
              <w:rPr>
                <w:b/>
              </w:rPr>
              <w:t>Rationale and evidence</w:t>
            </w:r>
          </w:p>
        </w:tc>
        <w:tc>
          <w:tcPr>
            <w:tcW w:w="6237" w:type="dxa"/>
            <w:tcBorders>
              <w:top w:val="single" w:sz="4" w:space="0" w:color="C2D9BA"/>
              <w:bottom w:val="single" w:sz="4" w:space="0" w:color="C2D9BA"/>
            </w:tcBorders>
            <w:tcMar>
              <w:top w:w="0" w:type="dxa"/>
              <w:left w:w="57" w:type="dxa"/>
              <w:bottom w:w="0" w:type="dxa"/>
              <w:right w:w="57" w:type="dxa"/>
            </w:tcMar>
          </w:tcPr>
          <w:p w14:paraId="10C0D990" w14:textId="77777777" w:rsidR="006E2EB8" w:rsidRPr="000825B5" w:rsidRDefault="006E2EB8" w:rsidP="005C4F42">
            <w:pPr>
              <w:pStyle w:val="TableText"/>
              <w:rPr>
                <w:rFonts w:eastAsia="Calibri" w:cs="Segoe UI"/>
                <w:u w:color="000000"/>
                <w:bdr w:val="nil"/>
                <w:lang w:val="en-US" w:eastAsia="en-US"/>
              </w:rPr>
            </w:pPr>
            <w:r w:rsidRPr="000825B5">
              <w:rPr>
                <w:rFonts w:eastAsia="Calibri" w:cs="Segoe UI"/>
                <w:u w:color="000000"/>
                <w:bdr w:val="nil"/>
                <w:lang w:val="en-US" w:eastAsia="en-US"/>
              </w:rPr>
              <w:t>Timely and equitable access to quality cancer management is important to support good health outcomes and to reduce inequities for men with prostate cancer.</w:t>
            </w:r>
          </w:p>
          <w:p w14:paraId="5167167E" w14:textId="77777777" w:rsidR="006E2EB8" w:rsidRPr="000825B5" w:rsidRDefault="006E2EB8" w:rsidP="005C4F42">
            <w:pPr>
              <w:pStyle w:val="TableText"/>
              <w:rPr>
                <w:rFonts w:eastAsia="Calibri" w:cs="Segoe UI"/>
                <w:u w:color="000000"/>
                <w:bdr w:val="nil"/>
                <w:lang w:val="en-US" w:eastAsia="en-US"/>
              </w:rPr>
            </w:pPr>
            <w:r w:rsidRPr="000825B5">
              <w:rPr>
                <w:rFonts w:eastAsia="Calibri" w:cs="Segoe UI"/>
                <w:u w:color="000000"/>
                <w:bdr w:val="nil"/>
                <w:lang w:val="en-US" w:eastAsia="en-US"/>
              </w:rPr>
              <w:t>Key components of successful cancer management include early recognition and reporting of symptoms, expertise in identifying men requiring prompt referral and rapid access to investigations and treatment.</w:t>
            </w:r>
          </w:p>
          <w:p w14:paraId="7AD6CDEA" w14:textId="77777777" w:rsidR="006E2EB8" w:rsidRDefault="006E2EB8" w:rsidP="005C4F42">
            <w:pPr>
              <w:pStyle w:val="TableText"/>
            </w:pPr>
            <w:r w:rsidRPr="000825B5">
              <w:t>A suspicion of cancer or cancer diagnosis is very stressful for men and their family/whānau. It is important that men, family/whānau and general practitioners know as soon as possible when treatment will start. Long waiting times may affect local control and survival benefit for some men with high</w:t>
            </w:r>
            <w:r>
              <w:t>-</w:t>
            </w:r>
            <w:r w:rsidRPr="000825B5">
              <w:t xml:space="preserve">risk prostate cancer and can result in delayed symptom management for men receiving palliative treatment </w:t>
            </w:r>
            <w:r>
              <w:t>(Berg et al 2015; Fossati et al 2017; Gupta et al 2018).</w:t>
            </w:r>
          </w:p>
          <w:p w14:paraId="1DA68AAA" w14:textId="77777777" w:rsidR="006E2EB8" w:rsidRDefault="006E2EB8" w:rsidP="005C4F42">
            <w:pPr>
              <w:pStyle w:val="TableText"/>
            </w:pPr>
            <w:r w:rsidRPr="000825B5">
              <w:t xml:space="preserve">Men referred to a specialist with a high suspicion of prostate cancer requiring immediate or urgent referral must be seen within 14 days of referral </w:t>
            </w:r>
            <w:r>
              <w:t>(Prostate Cancer Taskforce 2012).</w:t>
            </w:r>
          </w:p>
          <w:p w14:paraId="19224A97" w14:textId="77777777" w:rsidR="006E2EB8" w:rsidRPr="000825B5" w:rsidRDefault="006E2EB8" w:rsidP="005C4F42">
            <w:pPr>
              <w:pStyle w:val="TableText"/>
            </w:pPr>
            <w:r w:rsidRPr="000825B5">
              <w:t>Many factors may delay first treatment for men with prostate cancer</w:t>
            </w:r>
            <w:r>
              <w:t>. T</w:t>
            </w:r>
            <w:r w:rsidRPr="000825B5">
              <w:t>reatment should be delivered in a timely manner once a decisio</w:t>
            </w:r>
            <w:r w:rsidR="005C4F42">
              <w:t>n to treat has been made.</w:t>
            </w:r>
          </w:p>
        </w:tc>
      </w:tr>
      <w:tr w:rsidR="006E2EB8" w:rsidRPr="000825B5" w14:paraId="7DC3F9F3"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7AFA69C2" w14:textId="77777777" w:rsidR="006E2EB8" w:rsidRPr="00B558BE" w:rsidRDefault="006E2EB8" w:rsidP="00C621D9">
            <w:pPr>
              <w:pStyle w:val="TableText"/>
              <w:ind w:right="57"/>
              <w:rPr>
                <w:b/>
              </w:rPr>
            </w:pPr>
            <w:r w:rsidRPr="00B558BE">
              <w:rPr>
                <w:b/>
              </w:rPr>
              <w:t>Equity / Māori health gain</w:t>
            </w:r>
          </w:p>
        </w:tc>
        <w:tc>
          <w:tcPr>
            <w:tcW w:w="6237" w:type="dxa"/>
            <w:tcBorders>
              <w:top w:val="single" w:sz="4" w:space="0" w:color="C2D9BA"/>
              <w:bottom w:val="single" w:sz="4" w:space="0" w:color="C2D9BA"/>
            </w:tcBorders>
            <w:tcMar>
              <w:top w:w="0" w:type="dxa"/>
              <w:left w:w="57" w:type="dxa"/>
              <w:bottom w:w="0" w:type="dxa"/>
              <w:right w:w="57" w:type="dxa"/>
            </w:tcMar>
          </w:tcPr>
          <w:p w14:paraId="73B83B33" w14:textId="77777777" w:rsidR="006E2EB8" w:rsidRPr="000825B5" w:rsidRDefault="006E2EB8" w:rsidP="005C4F42">
            <w:pPr>
              <w:pStyle w:val="TableText"/>
            </w:pPr>
            <w:r w:rsidRPr="000825B5">
              <w:t>Poorer prostate cancer survival for Māori men can be attributed to a series of differences along the prostate cancer care pathway, including less intensive diagnostic investigations, later stage at diagnosis, longer wait times and differences in treatment modalities for both localised and metastatic prostate cancer</w:t>
            </w:r>
            <w:r>
              <w:t xml:space="preserve"> (</w:t>
            </w:r>
            <w:r w:rsidRPr="000825B5">
              <w:rPr>
                <w:noProof/>
              </w:rPr>
              <w:t>Obertová</w:t>
            </w:r>
            <w:r w:rsidR="005C4F42">
              <w:rPr>
                <w:noProof/>
              </w:rPr>
              <w:t xml:space="preserve"> 2015).</w:t>
            </w:r>
          </w:p>
        </w:tc>
      </w:tr>
      <w:tr w:rsidR="005C4F42" w:rsidRPr="000825B5" w14:paraId="734CD626" w14:textId="77777777" w:rsidTr="007C01AD">
        <w:trPr>
          <w:cantSplit/>
        </w:trPr>
        <w:tc>
          <w:tcPr>
            <w:tcW w:w="1843" w:type="dxa"/>
            <w:tcBorders>
              <w:top w:val="single" w:sz="4" w:space="0" w:color="FFFFFF" w:themeColor="background1"/>
            </w:tcBorders>
            <w:shd w:val="clear" w:color="auto" w:fill="C2D9BA"/>
            <w:tcMar>
              <w:top w:w="0" w:type="dxa"/>
              <w:left w:w="57" w:type="dxa"/>
              <w:bottom w:w="0" w:type="dxa"/>
              <w:right w:w="57" w:type="dxa"/>
            </w:tcMar>
          </w:tcPr>
          <w:p w14:paraId="6258EB2B" w14:textId="77777777" w:rsidR="005C4F42" w:rsidRPr="00B558BE" w:rsidRDefault="005C4F42" w:rsidP="00C621D9">
            <w:pPr>
              <w:pStyle w:val="TableText"/>
              <w:ind w:right="57"/>
              <w:rPr>
                <w:b/>
              </w:rPr>
            </w:pPr>
            <w:r w:rsidRPr="00B558BE">
              <w:rPr>
                <w:b/>
              </w:rPr>
              <w:t>Specifications</w:t>
            </w:r>
          </w:p>
        </w:tc>
        <w:tc>
          <w:tcPr>
            <w:tcW w:w="6237" w:type="dxa"/>
            <w:tcBorders>
              <w:top w:val="single" w:sz="4" w:space="0" w:color="C2D9BA"/>
            </w:tcBorders>
            <w:tcMar>
              <w:top w:w="0" w:type="dxa"/>
              <w:left w:w="57" w:type="dxa"/>
              <w:bottom w:w="0" w:type="dxa"/>
              <w:right w:w="57" w:type="dxa"/>
            </w:tcMar>
          </w:tcPr>
          <w:p w14:paraId="0842AF42" w14:textId="77777777" w:rsidR="005C4F42" w:rsidRPr="000825B5" w:rsidRDefault="005C4F42" w:rsidP="007A5E4E">
            <w:pPr>
              <w:pStyle w:val="TableText"/>
              <w:rPr>
                <w:szCs w:val="21"/>
              </w:rPr>
            </w:pPr>
            <w:r>
              <w:t>There are three options:</w:t>
            </w:r>
          </w:p>
          <w:p w14:paraId="014A3A44" w14:textId="77777777" w:rsidR="005C4F42" w:rsidRPr="000825B5" w:rsidRDefault="005C4F42" w:rsidP="005C4F42">
            <w:pPr>
              <w:pStyle w:val="TableText"/>
              <w:ind w:left="284" w:hanging="284"/>
              <w:rPr>
                <w:szCs w:val="21"/>
              </w:rPr>
            </w:pPr>
            <w:r>
              <w:rPr>
                <w:szCs w:val="21"/>
              </w:rPr>
              <w:t>A.</w:t>
            </w:r>
            <w:r>
              <w:rPr>
                <w:szCs w:val="21"/>
              </w:rPr>
              <w:tab/>
            </w:r>
            <w:r w:rsidRPr="000825B5">
              <w:rPr>
                <w:szCs w:val="21"/>
              </w:rPr>
              <w:t xml:space="preserve">Median time </w:t>
            </w:r>
            <w:r>
              <w:rPr>
                <w:szCs w:val="21"/>
              </w:rPr>
              <w:t>from receipt of referral to FSA</w:t>
            </w:r>
          </w:p>
          <w:p w14:paraId="17A9FA87" w14:textId="77777777" w:rsidR="005C4F42" w:rsidRPr="000825B5" w:rsidRDefault="005C4F42" w:rsidP="005C4F42">
            <w:pPr>
              <w:pStyle w:val="TableText"/>
              <w:ind w:left="284" w:hanging="284"/>
              <w:rPr>
                <w:szCs w:val="21"/>
              </w:rPr>
            </w:pPr>
            <w:r>
              <w:rPr>
                <w:szCs w:val="21"/>
              </w:rPr>
              <w:t>B.</w:t>
            </w:r>
            <w:r>
              <w:rPr>
                <w:szCs w:val="21"/>
              </w:rPr>
              <w:tab/>
            </w:r>
            <w:r w:rsidRPr="000825B5">
              <w:rPr>
                <w:szCs w:val="21"/>
              </w:rPr>
              <w:t xml:space="preserve">Median </w:t>
            </w:r>
            <w:r>
              <w:rPr>
                <w:szCs w:val="21"/>
              </w:rPr>
              <w:t>time from referral to diagnosis</w:t>
            </w:r>
          </w:p>
          <w:p w14:paraId="6EFCCCE1" w14:textId="77777777" w:rsidR="005C4F42" w:rsidRPr="000825B5" w:rsidRDefault="005C4F42" w:rsidP="005C4F42">
            <w:pPr>
              <w:pStyle w:val="TableText"/>
              <w:ind w:left="284" w:hanging="284"/>
              <w:rPr>
                <w:szCs w:val="21"/>
              </w:rPr>
            </w:pPr>
            <w:r>
              <w:rPr>
                <w:szCs w:val="21"/>
              </w:rPr>
              <w:t>C.</w:t>
            </w:r>
            <w:r>
              <w:rPr>
                <w:szCs w:val="21"/>
              </w:rPr>
              <w:tab/>
            </w:r>
            <w:r w:rsidRPr="000825B5">
              <w:rPr>
                <w:szCs w:val="21"/>
              </w:rPr>
              <w:t xml:space="preserve">Median time from decision to treat to first treatment </w:t>
            </w:r>
            <w:r>
              <w:rPr>
                <w:szCs w:val="21"/>
              </w:rPr>
              <w:t>(radical prostatectomy or radical radiation treatment)</w:t>
            </w:r>
          </w:p>
        </w:tc>
      </w:tr>
      <w:tr w:rsidR="005C4F42" w:rsidRPr="000825B5" w14:paraId="5E9C63FE"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5C06285" w14:textId="77777777" w:rsidR="005C4F42" w:rsidRPr="00B558BE" w:rsidRDefault="005C4F42" w:rsidP="00C621D9">
            <w:pPr>
              <w:pStyle w:val="TableText"/>
              <w:ind w:right="57"/>
              <w:rPr>
                <w:b/>
              </w:rPr>
            </w:pPr>
            <w:r w:rsidRPr="00B558BE">
              <w:rPr>
                <w:b/>
              </w:rPr>
              <w:t>Data sources</w:t>
            </w:r>
          </w:p>
        </w:tc>
        <w:tc>
          <w:tcPr>
            <w:tcW w:w="6237" w:type="dxa"/>
            <w:tcBorders>
              <w:top w:val="single" w:sz="4" w:space="0" w:color="C2D9BA"/>
              <w:bottom w:val="single" w:sz="4" w:space="0" w:color="C2D9BA"/>
            </w:tcBorders>
            <w:tcMar>
              <w:top w:w="0" w:type="dxa"/>
              <w:left w:w="57" w:type="dxa"/>
              <w:bottom w:w="0" w:type="dxa"/>
              <w:right w:w="57" w:type="dxa"/>
            </w:tcMar>
          </w:tcPr>
          <w:p w14:paraId="209065C1" w14:textId="77777777" w:rsidR="005C4F42" w:rsidRPr="000825B5" w:rsidRDefault="005C4F42" w:rsidP="007A5E4E">
            <w:pPr>
              <w:pStyle w:val="TableText"/>
              <w:rPr>
                <w:szCs w:val="21"/>
              </w:rPr>
            </w:pPr>
            <w:r w:rsidRPr="000825B5">
              <w:rPr>
                <w:szCs w:val="21"/>
              </w:rPr>
              <w:t>NZCR, FCT</w:t>
            </w:r>
          </w:p>
        </w:tc>
      </w:tr>
      <w:tr w:rsidR="005C4F42" w:rsidRPr="000825B5" w14:paraId="7D78BF8B" w14:textId="77777777" w:rsidTr="00C621D9">
        <w:trPr>
          <w:cantSplit/>
        </w:trPr>
        <w:tc>
          <w:tcPr>
            <w:tcW w:w="1843" w:type="dxa"/>
            <w:tcBorders>
              <w:top w:val="single" w:sz="4" w:space="0" w:color="FFFFFF" w:themeColor="background1"/>
              <w:bottom w:val="nil"/>
            </w:tcBorders>
            <w:shd w:val="clear" w:color="auto" w:fill="C2D9BA"/>
            <w:tcMar>
              <w:top w:w="0" w:type="dxa"/>
              <w:left w:w="57" w:type="dxa"/>
              <w:bottom w:w="0" w:type="dxa"/>
              <w:right w:w="57" w:type="dxa"/>
            </w:tcMar>
          </w:tcPr>
          <w:p w14:paraId="30B50108" w14:textId="77777777" w:rsidR="005C4F42" w:rsidRPr="00B558BE" w:rsidRDefault="005C4F42" w:rsidP="00C621D9">
            <w:pPr>
              <w:pStyle w:val="TableText"/>
              <w:ind w:right="57"/>
              <w:rPr>
                <w:b/>
              </w:rPr>
            </w:pPr>
            <w:r w:rsidRPr="00B558BE">
              <w:rPr>
                <w:b/>
              </w:rPr>
              <w:t>Notes</w:t>
            </w:r>
          </w:p>
        </w:tc>
        <w:tc>
          <w:tcPr>
            <w:tcW w:w="6237" w:type="dxa"/>
            <w:tcBorders>
              <w:top w:val="single" w:sz="4" w:space="0" w:color="C2D9BA"/>
              <w:bottom w:val="single" w:sz="4" w:space="0" w:color="C2D9BA"/>
            </w:tcBorders>
            <w:tcMar>
              <w:top w:w="0" w:type="dxa"/>
              <w:left w:w="57" w:type="dxa"/>
              <w:bottom w:w="0" w:type="dxa"/>
              <w:right w:w="57" w:type="dxa"/>
            </w:tcMar>
          </w:tcPr>
          <w:p w14:paraId="2AF5701E" w14:textId="77777777" w:rsidR="005C4F42" w:rsidRPr="000825B5" w:rsidRDefault="005C4F42" w:rsidP="007A5E4E">
            <w:pPr>
              <w:pStyle w:val="TableText"/>
              <w:rPr>
                <w:szCs w:val="21"/>
              </w:rPr>
            </w:pPr>
            <w:r w:rsidRPr="000825B5">
              <w:rPr>
                <w:szCs w:val="21"/>
              </w:rPr>
              <w:t>Proportion measures will be developed after reviewing the distribution of the time data and choosing appropriate timeframes (</w:t>
            </w:r>
            <w:r>
              <w:rPr>
                <w:szCs w:val="21"/>
              </w:rPr>
              <w:t>for example,</w:t>
            </w:r>
            <w:r w:rsidRPr="000825B5">
              <w:rPr>
                <w:szCs w:val="21"/>
              </w:rPr>
              <w:t xml:space="preserve"> more than </w:t>
            </w:r>
            <w:r>
              <w:rPr>
                <w:szCs w:val="21"/>
              </w:rPr>
              <w:t xml:space="preserve">two </w:t>
            </w:r>
            <w:r w:rsidRPr="000825B5">
              <w:rPr>
                <w:szCs w:val="21"/>
              </w:rPr>
              <w:t>weeks from referral to diagnosis).</w:t>
            </w:r>
          </w:p>
          <w:p w14:paraId="24DAEB11" w14:textId="77777777" w:rsidR="005C4F42" w:rsidRPr="000825B5" w:rsidRDefault="005C4F42" w:rsidP="007A5E4E">
            <w:pPr>
              <w:pStyle w:val="TableText"/>
              <w:rPr>
                <w:szCs w:val="21"/>
              </w:rPr>
            </w:pPr>
            <w:r w:rsidRPr="000825B5">
              <w:rPr>
                <w:szCs w:val="21"/>
              </w:rPr>
              <w:t>Treatment modalities will include radical prostatectomy and radical radiation treatment</w:t>
            </w:r>
            <w:r>
              <w:rPr>
                <w:szCs w:val="21"/>
              </w:rPr>
              <w:t>.</w:t>
            </w:r>
          </w:p>
        </w:tc>
      </w:tr>
    </w:tbl>
    <w:p w14:paraId="1C592591" w14:textId="77777777" w:rsidR="00A23E54" w:rsidRPr="00C71161" w:rsidRDefault="00A23E54" w:rsidP="005C4F42">
      <w:r w:rsidRPr="00C71161">
        <w:fldChar w:fldCharType="begin"/>
      </w:r>
      <w:r w:rsidRPr="00C71161">
        <w:instrText xml:space="preserve"> ADDIN EN.SECTION.REFLIST </w:instrText>
      </w:r>
      <w:r w:rsidRPr="00C71161">
        <w:fldChar w:fldCharType="end"/>
      </w:r>
    </w:p>
    <w:p w14:paraId="2302FF13" w14:textId="77777777" w:rsidR="00A23E54" w:rsidRDefault="00A23E54" w:rsidP="007C278F">
      <w:pPr>
        <w:pStyle w:val="Heading2"/>
        <w:keepNext w:val="0"/>
        <w:pageBreakBefore/>
        <w:spacing w:before="0"/>
      </w:pPr>
      <w:bookmarkStart w:id="123" w:name="_Toc8116716"/>
      <w:bookmarkStart w:id="124" w:name="_Toc13561064"/>
      <w:bookmarkStart w:id="125" w:name="_Toc18056781"/>
      <w:bookmarkStart w:id="126" w:name="_Ref67909480"/>
      <w:bookmarkStart w:id="127" w:name="_Toc79501570"/>
      <w:bookmarkStart w:id="128" w:name="_Toc82433290"/>
      <w:r w:rsidRPr="00C71161">
        <w:lastRenderedPageBreak/>
        <w:t>PCQI 11.</w:t>
      </w:r>
      <w:r>
        <w:t xml:space="preserve"> </w:t>
      </w:r>
      <w:r w:rsidRPr="00C71161">
        <w:t>Quality of life</w:t>
      </w:r>
      <w:bookmarkEnd w:id="111"/>
      <w:bookmarkEnd w:id="120"/>
      <w:bookmarkEnd w:id="121"/>
      <w:bookmarkEnd w:id="122"/>
      <w:bookmarkEnd w:id="123"/>
      <w:bookmarkEnd w:id="124"/>
      <w:bookmarkEnd w:id="125"/>
      <w:bookmarkEnd w:id="126"/>
      <w:bookmarkEnd w:id="127"/>
      <w:bookmarkEnd w:id="128"/>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057B91BC"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450035BF"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41AC2EB" w14:textId="77777777" w:rsidR="006E2EB8" w:rsidRPr="000825B5" w:rsidRDefault="006E2EB8" w:rsidP="008D5E77">
            <w:pPr>
              <w:pStyle w:val="TableText"/>
            </w:pPr>
            <w:r w:rsidRPr="000825B5">
              <w:t xml:space="preserve">Proportion of men </w:t>
            </w:r>
            <w:proofErr w:type="gramStart"/>
            <w:r w:rsidRPr="000825B5">
              <w:t>whose</w:t>
            </w:r>
            <w:proofErr w:type="gramEnd"/>
            <w:r w:rsidRPr="000825B5">
              <w:t xml:space="preserve"> mental and/or physical quality of life is </w:t>
            </w:r>
            <w:r>
              <w:t xml:space="preserve">significantly </w:t>
            </w:r>
            <w:r w:rsidRPr="000825B5">
              <w:t>affe</w:t>
            </w:r>
            <w:r w:rsidR="008D5E77">
              <w:t>cted after (radical) treatment.</w:t>
            </w:r>
          </w:p>
          <w:p w14:paraId="01B485BF" w14:textId="77777777" w:rsidR="006E2EB8" w:rsidRPr="000825B5" w:rsidRDefault="006E2EB8" w:rsidP="008D5E77">
            <w:pPr>
              <w:pStyle w:val="TableText"/>
            </w:pPr>
            <w:r w:rsidRPr="000825B5">
              <w:t xml:space="preserve">Measure of men’s functional outcome by assessing proportion of men in each EPIC category: urinary incontinence, urinary irritation, urinary obstruction, bowel habits, sexual </w:t>
            </w:r>
            <w:proofErr w:type="gramStart"/>
            <w:r w:rsidRPr="000825B5">
              <w:t>function</w:t>
            </w:r>
            <w:proofErr w:type="gramEnd"/>
            <w:r w:rsidRPr="000825B5">
              <w:t xml:space="preserve"> and hormonal function</w:t>
            </w:r>
            <w:r w:rsidR="008D5E77">
              <w:t>.</w:t>
            </w:r>
          </w:p>
        </w:tc>
      </w:tr>
      <w:tr w:rsidR="006E2EB8" w:rsidRPr="000825B5" w14:paraId="5A116248"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70928641"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0355BD9" w14:textId="77777777" w:rsidR="006E2EB8" w:rsidRPr="000825B5" w:rsidRDefault="006E2EB8" w:rsidP="008D5E77">
            <w:pPr>
              <w:pStyle w:val="TableText"/>
            </w:pPr>
            <w:r>
              <w:t xml:space="preserve">Men’s </w:t>
            </w:r>
            <w:r w:rsidRPr="000825B5">
              <w:t xml:space="preserve">quality of life can be affected following all types of treatment for prostate cancer. </w:t>
            </w:r>
            <w:r>
              <w:t>S</w:t>
            </w:r>
            <w:r w:rsidRPr="000825B5">
              <w:t xml:space="preserve">ide effects may include urinary, sexual and bowel dysfunction and psychosocial effects. There is also a high prevalence of depression and anxiety in men with prostate cancer, across the treatment spectrum </w:t>
            </w:r>
            <w:r>
              <w:t>(Anderson et al 2014; Watts et al 2014).</w:t>
            </w:r>
          </w:p>
        </w:tc>
      </w:tr>
      <w:tr w:rsidR="006E2EB8" w:rsidRPr="000825B5" w14:paraId="35A72124"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7F444D0"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100C58B" w14:textId="77777777" w:rsidR="006E2EB8" w:rsidRPr="000825B5" w:rsidRDefault="006E2EB8" w:rsidP="008D5E77">
            <w:pPr>
              <w:pStyle w:val="TableText"/>
            </w:pPr>
            <w:r>
              <w:rPr>
                <w:szCs w:val="21"/>
              </w:rPr>
              <w:t>Literature/ data not available</w:t>
            </w:r>
          </w:p>
        </w:tc>
      </w:tr>
      <w:tr w:rsidR="008D5E77" w:rsidRPr="000825B5" w14:paraId="6EE79433"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67AF2C08" w14:textId="77777777" w:rsidR="008D5E77" w:rsidRPr="00B558BE" w:rsidRDefault="008D5E77"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46391376" w14:textId="77777777" w:rsidR="008D5E77" w:rsidRPr="00B558BE" w:rsidRDefault="008D5E77" w:rsidP="00C621D9">
            <w:pPr>
              <w:pStyle w:val="TableText"/>
              <w:rPr>
                <w:b/>
              </w:rPr>
            </w:pPr>
            <w:r w:rsidRPr="00B558BE">
              <w:rPr>
                <w:b/>
              </w:rPr>
              <w:t>Numerator</w:t>
            </w:r>
          </w:p>
        </w:tc>
        <w:tc>
          <w:tcPr>
            <w:tcW w:w="4819" w:type="dxa"/>
            <w:tcBorders>
              <w:top w:val="single" w:sz="4" w:space="0" w:color="C2D9BA"/>
              <w:bottom w:val="single" w:sz="4" w:space="0" w:color="C2D9BA"/>
            </w:tcBorders>
          </w:tcPr>
          <w:p w14:paraId="16AC6691" w14:textId="77777777" w:rsidR="008D5E77" w:rsidRPr="000825B5" w:rsidRDefault="008D5E77" w:rsidP="007A5E4E">
            <w:pPr>
              <w:pStyle w:val="TableText"/>
            </w:pPr>
            <w:r w:rsidRPr="000825B5">
              <w:t xml:space="preserve">Number of men with prostate cancer within each of </w:t>
            </w:r>
            <w:r>
              <w:t xml:space="preserve">the </w:t>
            </w:r>
            <w:r w:rsidRPr="000825B5">
              <w:t xml:space="preserve">six EPIC categories at 6 months </w:t>
            </w:r>
            <w:r>
              <w:t xml:space="preserve">and </w:t>
            </w:r>
            <w:r w:rsidRPr="000825B5">
              <w:t>1, 2 and 5 years after treatment</w:t>
            </w:r>
          </w:p>
        </w:tc>
      </w:tr>
      <w:tr w:rsidR="008D5E77" w:rsidRPr="000825B5" w14:paraId="4C98D306" w14:textId="77777777" w:rsidTr="00C621D9">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452D6C54" w14:textId="77777777" w:rsidR="008D5E77" w:rsidRPr="00B558BE" w:rsidRDefault="008D5E77"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7AA19978" w14:textId="77777777" w:rsidR="008D5E77" w:rsidRPr="00B558BE" w:rsidRDefault="008D5E77" w:rsidP="00C621D9">
            <w:pPr>
              <w:pStyle w:val="TableText"/>
              <w:rPr>
                <w:b/>
              </w:rPr>
            </w:pPr>
            <w:r w:rsidRPr="00B558BE">
              <w:rPr>
                <w:b/>
              </w:rPr>
              <w:t>Denominator</w:t>
            </w:r>
          </w:p>
        </w:tc>
        <w:tc>
          <w:tcPr>
            <w:tcW w:w="4819" w:type="dxa"/>
            <w:tcBorders>
              <w:top w:val="single" w:sz="4" w:space="0" w:color="C2D9BA"/>
              <w:bottom w:val="single" w:sz="4" w:space="0" w:color="C2D9BA"/>
            </w:tcBorders>
          </w:tcPr>
          <w:p w14:paraId="24899153" w14:textId="77777777" w:rsidR="008D5E77" w:rsidRPr="000825B5" w:rsidRDefault="008D5E77" w:rsidP="007A5E4E">
            <w:pPr>
              <w:pStyle w:val="TableText"/>
            </w:pPr>
            <w:r w:rsidRPr="000825B5">
              <w:t xml:space="preserve">Number of men with prostate cancer alive </w:t>
            </w:r>
            <w:r>
              <w:t xml:space="preserve">at </w:t>
            </w:r>
            <w:r w:rsidRPr="000825B5">
              <w:t xml:space="preserve">6 months </w:t>
            </w:r>
            <w:r>
              <w:t xml:space="preserve">and </w:t>
            </w:r>
            <w:r w:rsidRPr="000825B5">
              <w:t>1, 2 and 5 years after treatment</w:t>
            </w:r>
          </w:p>
        </w:tc>
      </w:tr>
      <w:tr w:rsidR="008D5E77" w:rsidRPr="000825B5" w14:paraId="22641D3C" w14:textId="77777777" w:rsidTr="003B4FE1">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1DE47E06" w14:textId="77777777" w:rsidR="008D5E77" w:rsidRPr="00B558BE" w:rsidRDefault="008D5E77"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61C374C9" w14:textId="77777777" w:rsidR="008D5E77" w:rsidRPr="000825B5" w:rsidRDefault="008D5E77" w:rsidP="007A5E4E">
            <w:pPr>
              <w:pStyle w:val="TableText"/>
            </w:pPr>
            <w:r w:rsidRPr="000825B5">
              <w:t xml:space="preserve">NZCR, NNPAC, NMDS, </w:t>
            </w:r>
            <w:r>
              <w:t>PHARMS</w:t>
            </w:r>
            <w:r w:rsidRPr="000825B5">
              <w:t>, PCOR</w:t>
            </w:r>
          </w:p>
        </w:tc>
      </w:tr>
      <w:tr w:rsidR="008D5E77" w:rsidRPr="000825B5" w14:paraId="465656E5" w14:textId="77777777" w:rsidTr="003B4FE1">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75C254F2" w14:textId="77777777" w:rsidR="008D5E77" w:rsidRPr="00B558BE" w:rsidRDefault="008D5E77" w:rsidP="00C621D9">
            <w:pPr>
              <w:pStyle w:val="TableText"/>
              <w:ind w:right="57"/>
              <w:rPr>
                <w:b/>
              </w:rPr>
            </w:pPr>
            <w:r w:rsidRPr="00B558BE">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B41B310" w14:textId="77777777" w:rsidR="008D5E77" w:rsidRPr="000825B5" w:rsidRDefault="008D5E77" w:rsidP="007A5E4E">
            <w:pPr>
              <w:pStyle w:val="TableText"/>
            </w:pPr>
            <w:r w:rsidRPr="000825B5">
              <w:t>At present</w:t>
            </w:r>
            <w:r>
              <w:t>,</w:t>
            </w:r>
            <w:r w:rsidRPr="000825B5">
              <w:t xml:space="preserve"> PCOR collects patient report outcome data from men at one year after treatment </w:t>
            </w:r>
            <w:r>
              <w:t>(Papa et al 2021).</w:t>
            </w:r>
          </w:p>
          <w:p w14:paraId="627F3D0F" w14:textId="77777777" w:rsidR="008D5E77" w:rsidRPr="000825B5" w:rsidRDefault="008D5E77" w:rsidP="007A5E4E">
            <w:pPr>
              <w:pStyle w:val="TableText"/>
            </w:pPr>
            <w:r>
              <w:t>I</w:t>
            </w:r>
            <w:r w:rsidRPr="000825B5">
              <w:t xml:space="preserve">ndicator results </w:t>
            </w:r>
            <w:r>
              <w:t xml:space="preserve">will be reported </w:t>
            </w:r>
            <w:r w:rsidRPr="000825B5">
              <w:t>by treatment modality.</w:t>
            </w:r>
          </w:p>
        </w:tc>
      </w:tr>
    </w:tbl>
    <w:p w14:paraId="79505EFD" w14:textId="77777777" w:rsidR="00A23E54" w:rsidRPr="00C71161" w:rsidRDefault="00A23E54" w:rsidP="003B4FE1">
      <w:r w:rsidRPr="00C71161">
        <w:fldChar w:fldCharType="begin"/>
      </w:r>
      <w:r w:rsidRPr="00C71161">
        <w:instrText xml:space="preserve"> ADDIN EN.SECTION.REFLIST </w:instrText>
      </w:r>
      <w:r w:rsidRPr="00C71161">
        <w:fldChar w:fldCharType="end"/>
      </w:r>
    </w:p>
    <w:p w14:paraId="1B58FAE9" w14:textId="77777777" w:rsidR="00A23E54" w:rsidRDefault="00A23E54" w:rsidP="007C278F">
      <w:pPr>
        <w:pStyle w:val="Heading2"/>
        <w:keepNext w:val="0"/>
        <w:pageBreakBefore/>
        <w:spacing w:before="0"/>
      </w:pPr>
      <w:bookmarkStart w:id="129" w:name="_Toc8116717"/>
      <w:bookmarkStart w:id="130" w:name="_Toc13561065"/>
      <w:bookmarkStart w:id="131" w:name="_Toc18056782"/>
      <w:bookmarkStart w:id="132" w:name="_Ref67909502"/>
      <w:bookmarkStart w:id="133" w:name="_Toc79501571"/>
      <w:bookmarkStart w:id="134" w:name="_Toc82433291"/>
      <w:bookmarkStart w:id="135" w:name="_Toc3791477"/>
      <w:bookmarkStart w:id="136" w:name="_Toc3817775"/>
      <w:r w:rsidRPr="00C71161">
        <w:lastRenderedPageBreak/>
        <w:t>PCQI 12.</w:t>
      </w:r>
      <w:r>
        <w:t xml:space="preserve"> </w:t>
      </w:r>
      <w:r w:rsidRPr="00C71161">
        <w:t>Progression-free survival</w:t>
      </w:r>
      <w:bookmarkEnd w:id="129"/>
      <w:bookmarkEnd w:id="130"/>
      <w:bookmarkEnd w:id="131"/>
      <w:bookmarkEnd w:id="132"/>
      <w:bookmarkEnd w:id="133"/>
      <w:bookmarkEnd w:id="134"/>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720B8AC8"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3F9E7ECE"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E738D96" w14:textId="77777777" w:rsidR="006E2EB8" w:rsidRPr="000825B5" w:rsidRDefault="006E2EB8" w:rsidP="008D5E77">
            <w:pPr>
              <w:pStyle w:val="TableText"/>
            </w:pPr>
            <w:r w:rsidRPr="000825B5">
              <w:t>Proportion of men enrolled in active surveillance, or having undergone radiation treatment or radical prostatectomy, who show no objective evidence of biochemical disease progression at 2, 5 and 10 years after treatment</w:t>
            </w:r>
          </w:p>
        </w:tc>
      </w:tr>
      <w:tr w:rsidR="006E2EB8" w:rsidRPr="000825B5" w14:paraId="0230604D"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3FD80BF3"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5E4F3554" w14:textId="77777777" w:rsidR="006E2EB8" w:rsidRPr="000825B5" w:rsidRDefault="006E2EB8" w:rsidP="008D5E77">
            <w:pPr>
              <w:pStyle w:val="TableText"/>
            </w:pPr>
            <w:r w:rsidRPr="000825B5">
              <w:t>In some men</w:t>
            </w:r>
            <w:r>
              <w:t>,</w:t>
            </w:r>
            <w:r w:rsidRPr="000825B5">
              <w:t xml:space="preserve"> </w:t>
            </w:r>
            <w:r w:rsidRPr="00724C24">
              <w:t>prostate cance</w:t>
            </w:r>
            <w:r w:rsidRPr="000825B5">
              <w:t>r is a slow</w:t>
            </w:r>
            <w:r>
              <w:t>-</w:t>
            </w:r>
            <w:r w:rsidRPr="000825B5">
              <w:t>growing tumour and</w:t>
            </w:r>
            <w:r>
              <w:t xml:space="preserve"> when this is the case </w:t>
            </w:r>
            <w:r w:rsidRPr="000825B5">
              <w:t xml:space="preserve">there is debate as to the risks of treatment versus any survival advantage gained </w:t>
            </w:r>
            <w:r>
              <w:t xml:space="preserve">(United States </w:t>
            </w:r>
            <w:r w:rsidRPr="00724C24">
              <w:t xml:space="preserve">Preventive Services Task </w:t>
            </w:r>
            <w:r>
              <w:t xml:space="preserve">Force et al 2018). </w:t>
            </w:r>
            <w:r w:rsidRPr="000825B5">
              <w:t>Conversely, men with high</w:t>
            </w:r>
            <w:r>
              <w:t>-</w:t>
            </w:r>
            <w:r w:rsidRPr="000825B5">
              <w:t>risk disease may progress soon after treatment and may be best managed with aggressive multimodality treatment.</w:t>
            </w:r>
          </w:p>
          <w:p w14:paraId="1FBDBF5E" w14:textId="77777777" w:rsidR="006E2EB8" w:rsidRDefault="006E2EB8" w:rsidP="008D5E77">
            <w:pPr>
              <w:pStyle w:val="TableText"/>
            </w:pPr>
            <w:r w:rsidRPr="000825B5">
              <w:t xml:space="preserve">It is expected that men having undergone radiation treatment </w:t>
            </w:r>
            <w:r>
              <w:t xml:space="preserve">or </w:t>
            </w:r>
            <w:r w:rsidRPr="000825B5">
              <w:t>radical prostatectomy or receiving treatment after being in an active surveillance programme will have high disease</w:t>
            </w:r>
            <w:r>
              <w:t>-</w:t>
            </w:r>
            <w:r w:rsidRPr="000825B5">
              <w:t xml:space="preserve">free survival at 2, 5 and 10 years from diagnosis </w:t>
            </w:r>
            <w:r>
              <w:t>(Beaver 2018).</w:t>
            </w:r>
          </w:p>
          <w:p w14:paraId="4D63498C" w14:textId="77777777" w:rsidR="006E2EB8" w:rsidRPr="000825B5" w:rsidRDefault="006E2EB8" w:rsidP="008D5E77">
            <w:pPr>
              <w:pStyle w:val="TableText"/>
            </w:pPr>
            <w:r>
              <w:rPr>
                <w:szCs w:val="21"/>
              </w:rPr>
              <w:t>Note that</w:t>
            </w:r>
            <w:r w:rsidRPr="000825B5">
              <w:rPr>
                <w:szCs w:val="21"/>
              </w:rPr>
              <w:t xml:space="preserve"> overdiagnosis of clinically unimportant disease will lead to higher</w:t>
            </w:r>
            <w:r>
              <w:rPr>
                <w:szCs w:val="21"/>
              </w:rPr>
              <w:t xml:space="preserve"> reported</w:t>
            </w:r>
            <w:r w:rsidRPr="000825B5">
              <w:rPr>
                <w:szCs w:val="21"/>
              </w:rPr>
              <w:t xml:space="preserve"> survival. Therefore, results must be interpreted with some caution.</w:t>
            </w:r>
          </w:p>
          <w:p w14:paraId="750955E0" w14:textId="77777777" w:rsidR="006E2EB8" w:rsidRPr="000825B5" w:rsidRDefault="006E2EB8" w:rsidP="008D5E77">
            <w:pPr>
              <w:pStyle w:val="TableText"/>
            </w:pPr>
            <w:r w:rsidRPr="000825B5">
              <w:t xml:space="preserve">Identifying services </w:t>
            </w:r>
            <w:r>
              <w:t>that</w:t>
            </w:r>
            <w:r w:rsidRPr="000825B5">
              <w:t xml:space="preserve"> are significant outliers may indicate inappropriate management for risk-stratification, inadequate </w:t>
            </w:r>
            <w:proofErr w:type="gramStart"/>
            <w:r w:rsidRPr="000825B5">
              <w:t>staging</w:t>
            </w:r>
            <w:proofErr w:type="gramEnd"/>
            <w:r w:rsidRPr="000825B5">
              <w:t xml:space="preserve"> or technical shortcomings.</w:t>
            </w:r>
          </w:p>
        </w:tc>
      </w:tr>
      <w:tr w:rsidR="006E2EB8" w:rsidRPr="000825B5" w14:paraId="642927E8"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14EB0912"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17C7B9A2" w14:textId="77777777" w:rsidR="006E2EB8" w:rsidRPr="000825B5" w:rsidRDefault="006E2EB8" w:rsidP="008D5E77">
            <w:pPr>
              <w:pStyle w:val="TableText"/>
            </w:pPr>
            <w:r>
              <w:rPr>
                <w:szCs w:val="21"/>
              </w:rPr>
              <w:t>Literature/ data not available</w:t>
            </w:r>
          </w:p>
        </w:tc>
      </w:tr>
      <w:tr w:rsidR="008D5E77" w:rsidRPr="000825B5" w14:paraId="5C4B74BE"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19ECE7FE" w14:textId="77777777" w:rsidR="008D5E77" w:rsidRPr="00B558BE" w:rsidRDefault="008D5E77"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308CC6A7" w14:textId="77777777" w:rsidR="008D5E77" w:rsidRPr="00B558BE" w:rsidRDefault="008D5E77" w:rsidP="00C621D9">
            <w:pPr>
              <w:pStyle w:val="TableText"/>
              <w:rPr>
                <w:b/>
              </w:rPr>
            </w:pPr>
            <w:r w:rsidRPr="00B558BE">
              <w:rPr>
                <w:b/>
              </w:rPr>
              <w:t>Numerator</w:t>
            </w:r>
          </w:p>
        </w:tc>
        <w:tc>
          <w:tcPr>
            <w:tcW w:w="4819" w:type="dxa"/>
            <w:tcBorders>
              <w:top w:val="single" w:sz="4" w:space="0" w:color="C2D9BA"/>
              <w:bottom w:val="single" w:sz="4" w:space="0" w:color="C2D9BA"/>
            </w:tcBorders>
          </w:tcPr>
          <w:p w14:paraId="23ADC42B" w14:textId="77777777" w:rsidR="008D5E77" w:rsidRPr="000825B5" w:rsidRDefault="008D5E77" w:rsidP="007A5E4E">
            <w:pPr>
              <w:pStyle w:val="TableText"/>
            </w:pPr>
            <w:r w:rsidRPr="000825B5">
              <w:t>Number of men with prostate cancer that has not progressed 2, 5 and 10 years after the</w:t>
            </w:r>
            <w:r>
              <w:t xml:space="preserve"> end of their primary treatment</w:t>
            </w:r>
          </w:p>
        </w:tc>
      </w:tr>
      <w:tr w:rsidR="008D5E77" w:rsidRPr="000825B5" w14:paraId="60278A44" w14:textId="77777777" w:rsidTr="00C621D9">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55CA9608" w14:textId="77777777" w:rsidR="008D5E77" w:rsidRPr="00B558BE" w:rsidRDefault="008D5E77"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57EA9828" w14:textId="77777777" w:rsidR="008D5E77" w:rsidRPr="00B558BE" w:rsidRDefault="008D5E77" w:rsidP="00C621D9">
            <w:pPr>
              <w:pStyle w:val="TableText"/>
              <w:rPr>
                <w:b/>
              </w:rPr>
            </w:pPr>
            <w:r w:rsidRPr="00B558BE">
              <w:rPr>
                <w:b/>
              </w:rPr>
              <w:t>Denominator</w:t>
            </w:r>
          </w:p>
        </w:tc>
        <w:tc>
          <w:tcPr>
            <w:tcW w:w="4819" w:type="dxa"/>
            <w:tcBorders>
              <w:top w:val="single" w:sz="4" w:space="0" w:color="C2D9BA"/>
              <w:bottom w:val="single" w:sz="4" w:space="0" w:color="C2D9BA"/>
            </w:tcBorders>
          </w:tcPr>
          <w:p w14:paraId="5DDC1BE8" w14:textId="77777777" w:rsidR="008D5E77" w:rsidRPr="000825B5" w:rsidRDefault="008D5E77" w:rsidP="007A5E4E">
            <w:pPr>
              <w:pStyle w:val="TableText"/>
            </w:pPr>
            <w:r w:rsidRPr="000825B5">
              <w:t>Number of men with prostate cancer treated with radiation treatment, radical prostatectomy or enrolled in active surveillance</w:t>
            </w:r>
          </w:p>
        </w:tc>
      </w:tr>
      <w:tr w:rsidR="008D5E77" w:rsidRPr="000825B5" w14:paraId="6BB57414"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7F03DA0" w14:textId="77777777" w:rsidR="008D5E77" w:rsidRPr="00B558BE" w:rsidRDefault="008D5E77"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067904AF" w14:textId="77777777" w:rsidR="008D5E77" w:rsidRPr="000825B5" w:rsidRDefault="008D5E77" w:rsidP="007A5E4E">
            <w:pPr>
              <w:pStyle w:val="TableText"/>
            </w:pPr>
            <w:r w:rsidRPr="000825B5">
              <w:t xml:space="preserve">NZCR, NNPAC, NMDS, </w:t>
            </w:r>
            <w:r>
              <w:t>PHARMS</w:t>
            </w:r>
          </w:p>
        </w:tc>
      </w:tr>
      <w:tr w:rsidR="008D5E77" w:rsidRPr="000825B5" w14:paraId="03F8DC5C" w14:textId="77777777" w:rsidTr="00C621D9">
        <w:trPr>
          <w:cantSplit/>
        </w:trPr>
        <w:tc>
          <w:tcPr>
            <w:tcW w:w="1843" w:type="dxa"/>
            <w:tcBorders>
              <w:top w:val="single" w:sz="4" w:space="0" w:color="FFFFFF" w:themeColor="background1"/>
              <w:bottom w:val="nil"/>
            </w:tcBorders>
            <w:shd w:val="clear" w:color="auto" w:fill="C2D9BA"/>
            <w:tcMar>
              <w:top w:w="0" w:type="dxa"/>
              <w:left w:w="57" w:type="dxa"/>
              <w:bottom w:w="0" w:type="dxa"/>
              <w:right w:w="57" w:type="dxa"/>
            </w:tcMar>
          </w:tcPr>
          <w:p w14:paraId="2B33208C" w14:textId="77777777" w:rsidR="008D5E77" w:rsidRPr="00B558BE" w:rsidRDefault="008D5E77" w:rsidP="00C621D9">
            <w:pPr>
              <w:pStyle w:val="TableText"/>
              <w:ind w:right="57"/>
              <w:rPr>
                <w:b/>
              </w:rPr>
            </w:pPr>
            <w:r w:rsidRPr="00B558BE">
              <w:rPr>
                <w:b/>
              </w:rPr>
              <w:t>Notes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6374694F" w14:textId="77777777" w:rsidR="008D5E77" w:rsidRPr="000825B5" w:rsidRDefault="008D5E77" w:rsidP="007A5E4E">
            <w:pPr>
              <w:pStyle w:val="TableText"/>
            </w:pPr>
            <w:r w:rsidRPr="000825B5">
              <w:t>This</w:t>
            </w:r>
            <w:r>
              <w:t xml:space="preserve"> QPI</w:t>
            </w:r>
            <w:r w:rsidRPr="000825B5">
              <w:t xml:space="preserve"> is designed as a comparative analysis </w:t>
            </w:r>
            <w:r>
              <w:t xml:space="preserve">not </w:t>
            </w:r>
            <w:r w:rsidRPr="000825B5">
              <w:t>between treatment modalities but rather between centres and/or regions.</w:t>
            </w:r>
          </w:p>
        </w:tc>
      </w:tr>
    </w:tbl>
    <w:p w14:paraId="7D2A7508" w14:textId="77777777" w:rsidR="00A23E54" w:rsidRPr="00C71161" w:rsidRDefault="00A23E54" w:rsidP="00CB4609"/>
    <w:p w14:paraId="60D8BC46" w14:textId="77777777" w:rsidR="00A23E54" w:rsidRDefault="00A23E54" w:rsidP="007C278F">
      <w:pPr>
        <w:pStyle w:val="Heading2"/>
        <w:keepNext w:val="0"/>
        <w:pageBreakBefore/>
        <w:spacing w:before="0"/>
      </w:pPr>
      <w:bookmarkStart w:id="137" w:name="_Toc3791483"/>
      <w:bookmarkStart w:id="138" w:name="_Toc3817781"/>
      <w:bookmarkStart w:id="139" w:name="_Toc8116718"/>
      <w:bookmarkStart w:id="140" w:name="_Toc13561066"/>
      <w:bookmarkStart w:id="141" w:name="_Toc18056783"/>
      <w:bookmarkStart w:id="142" w:name="_Ref67909510"/>
      <w:bookmarkStart w:id="143" w:name="_Toc79501572"/>
      <w:bookmarkStart w:id="144" w:name="_Toc82433292"/>
      <w:bookmarkEnd w:id="135"/>
      <w:bookmarkEnd w:id="136"/>
      <w:r w:rsidRPr="00C71161">
        <w:lastRenderedPageBreak/>
        <w:t>PCQI 13.</w:t>
      </w:r>
      <w:r>
        <w:t xml:space="preserve"> </w:t>
      </w:r>
      <w:r w:rsidRPr="00C71161">
        <w:t>Overall survival</w:t>
      </w:r>
      <w:bookmarkEnd w:id="137"/>
      <w:bookmarkEnd w:id="138"/>
      <w:bookmarkEnd w:id="139"/>
      <w:bookmarkEnd w:id="140"/>
      <w:bookmarkEnd w:id="141"/>
      <w:bookmarkEnd w:id="142"/>
      <w:bookmarkEnd w:id="143"/>
      <w:bookmarkEnd w:id="144"/>
    </w:p>
    <w:tbl>
      <w:tblPr>
        <w:tblW w:w="8080" w:type="dxa"/>
        <w:tblInd w:w="57"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843"/>
        <w:gridCol w:w="1418"/>
        <w:gridCol w:w="4819"/>
      </w:tblGrid>
      <w:tr w:rsidR="006E2EB8" w:rsidRPr="000825B5" w14:paraId="31B0C666" w14:textId="77777777" w:rsidTr="00C621D9">
        <w:trPr>
          <w:cantSplit/>
        </w:trPr>
        <w:tc>
          <w:tcPr>
            <w:tcW w:w="1843" w:type="dxa"/>
            <w:tcBorders>
              <w:top w:val="nil"/>
              <w:bottom w:val="single" w:sz="4" w:space="0" w:color="FFFFFF" w:themeColor="background1"/>
            </w:tcBorders>
            <w:shd w:val="clear" w:color="auto" w:fill="C2D9BA"/>
            <w:tcMar>
              <w:top w:w="0" w:type="dxa"/>
              <w:left w:w="57" w:type="dxa"/>
              <w:bottom w:w="0" w:type="dxa"/>
              <w:right w:w="57" w:type="dxa"/>
            </w:tcMar>
          </w:tcPr>
          <w:p w14:paraId="75BBB9BF" w14:textId="77777777" w:rsidR="006E2EB8" w:rsidRPr="00B558BE" w:rsidRDefault="006E2EB8" w:rsidP="00C621D9">
            <w:pPr>
              <w:pStyle w:val="TableText"/>
              <w:ind w:right="57"/>
              <w:rPr>
                <w:b/>
              </w:rPr>
            </w:pPr>
            <w:r w:rsidRPr="00B558BE">
              <w:rPr>
                <w:b/>
              </w:rPr>
              <w:t>Indicator description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3DD1B8F1" w14:textId="77777777" w:rsidR="006E2EB8" w:rsidRPr="000825B5" w:rsidRDefault="006E2EB8" w:rsidP="008D5E77">
            <w:pPr>
              <w:pStyle w:val="TableText"/>
            </w:pPr>
            <w:r w:rsidRPr="000825B5">
              <w:t>Overall survival for men with prostate cancer at 1, 3, 5 and 10 years from diagnosis by stage</w:t>
            </w:r>
          </w:p>
        </w:tc>
      </w:tr>
      <w:tr w:rsidR="006E2EB8" w:rsidRPr="000825B5" w14:paraId="6BD27679"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65B81084" w14:textId="77777777" w:rsidR="006E2EB8" w:rsidRPr="00B558BE" w:rsidRDefault="006E2EB8" w:rsidP="00C621D9">
            <w:pPr>
              <w:pStyle w:val="TableText"/>
              <w:ind w:right="57"/>
              <w:rPr>
                <w:b/>
              </w:rPr>
            </w:pPr>
            <w:r w:rsidRPr="00B558BE">
              <w:rPr>
                <w:b/>
              </w:rPr>
              <w:t>Rationale and evidence</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615E9382" w14:textId="77777777" w:rsidR="006E2EB8" w:rsidRPr="000825B5" w:rsidRDefault="006E2EB8" w:rsidP="008D5E77">
            <w:pPr>
              <w:pStyle w:val="TableText"/>
            </w:pPr>
            <w:r w:rsidRPr="000825B5">
              <w:t>An individual man’s prognosis following diagnosis with prostate cancer depends on stage at diagnosis and quality of treatment</w:t>
            </w:r>
            <w:r>
              <w:t>,</w:t>
            </w:r>
            <w:r w:rsidRPr="000825B5">
              <w:t xml:space="preserve"> as well as </w:t>
            </w:r>
            <w:r>
              <w:t xml:space="preserve">the man’s </w:t>
            </w:r>
            <w:r w:rsidRPr="000825B5">
              <w:t>age and general h</w:t>
            </w:r>
            <w:r w:rsidR="008D5E77">
              <w:t>ealth at the time of diagnosis.</w:t>
            </w:r>
          </w:p>
          <w:p w14:paraId="044DD03A" w14:textId="77777777" w:rsidR="006E2EB8" w:rsidRPr="000825B5" w:rsidRDefault="006E2EB8" w:rsidP="008D5E77">
            <w:pPr>
              <w:pStyle w:val="TableText"/>
            </w:pPr>
            <w:r w:rsidRPr="000825B5">
              <w:t>Prostate cancer is often a slow</w:t>
            </w:r>
            <w:r>
              <w:t>-</w:t>
            </w:r>
            <w:r w:rsidRPr="000825B5">
              <w:t xml:space="preserve">growing tumour. In men with prostate cancer that is of low or intermediated risk, there is much debate as to the risks of treatment versus any survival advantage gained </w:t>
            </w:r>
            <w:r>
              <w:t>(Hamdy et al 2016).</w:t>
            </w:r>
            <w:r w:rsidRPr="000825B5">
              <w:t xml:space="preserve"> In addition</w:t>
            </w:r>
            <w:r>
              <w:t>,</w:t>
            </w:r>
            <w:r w:rsidRPr="000825B5">
              <w:t xml:space="preserve"> for elderly or men</w:t>
            </w:r>
            <w:r>
              <w:t xml:space="preserve"> with comorbidities</w:t>
            </w:r>
            <w:r w:rsidRPr="000825B5">
              <w:t>, prostate cancer may not be their primary cause of death.</w:t>
            </w:r>
          </w:p>
          <w:p w14:paraId="3839E70F" w14:textId="77777777" w:rsidR="006E2EB8" w:rsidRDefault="006E2EB8" w:rsidP="008D5E77">
            <w:pPr>
              <w:pStyle w:val="TableText"/>
            </w:pPr>
            <w:r w:rsidRPr="000825B5">
              <w:t>Benchmarking of prostate cancer survival rates between treatment providers allows identification of areas where survival rates fall below expectation</w:t>
            </w:r>
            <w:r>
              <w:t>;</w:t>
            </w:r>
            <w:r w:rsidRPr="000825B5">
              <w:t xml:space="preserve"> investigation is needed to un</w:t>
            </w:r>
            <w:r w:rsidR="008D5E77">
              <w:t>derstand the reasons for this.</w:t>
            </w:r>
          </w:p>
          <w:p w14:paraId="206207D0" w14:textId="77777777" w:rsidR="006E2EB8" w:rsidRPr="000825B5" w:rsidRDefault="006E2EB8" w:rsidP="008D5E77">
            <w:pPr>
              <w:pStyle w:val="TableText"/>
              <w:rPr>
                <w:b/>
              </w:rPr>
            </w:pPr>
            <w:r>
              <w:t>Note that</w:t>
            </w:r>
            <w:r w:rsidRPr="000825B5">
              <w:t xml:space="preserve"> overdiagnosis of clinically unimportant disease will lead to higher</w:t>
            </w:r>
            <w:r>
              <w:t xml:space="preserve"> reported</w:t>
            </w:r>
            <w:r w:rsidRPr="000825B5">
              <w:t xml:space="preserve"> survival. Therefore, results must be interpreted with some caution.</w:t>
            </w:r>
          </w:p>
        </w:tc>
      </w:tr>
      <w:tr w:rsidR="006E2EB8" w:rsidRPr="000825B5" w14:paraId="55DB1F74" w14:textId="77777777" w:rsidTr="00C621D9">
        <w:trPr>
          <w:cantSplit/>
        </w:trPr>
        <w:tc>
          <w:tcPr>
            <w:tcW w:w="1843" w:type="dxa"/>
            <w:tcBorders>
              <w:top w:val="single" w:sz="4" w:space="0" w:color="FFFFFF" w:themeColor="background1"/>
              <w:bottom w:val="single" w:sz="4" w:space="0" w:color="FFFFFF" w:themeColor="background1"/>
            </w:tcBorders>
            <w:shd w:val="clear" w:color="auto" w:fill="C2D9BA"/>
            <w:tcMar>
              <w:top w:w="0" w:type="dxa"/>
              <w:left w:w="57" w:type="dxa"/>
              <w:bottom w:w="0" w:type="dxa"/>
              <w:right w:w="57" w:type="dxa"/>
            </w:tcMar>
          </w:tcPr>
          <w:p w14:paraId="0417FDD7" w14:textId="77777777" w:rsidR="006E2EB8" w:rsidRPr="00B558BE" w:rsidRDefault="006E2EB8" w:rsidP="00C621D9">
            <w:pPr>
              <w:pStyle w:val="TableText"/>
              <w:ind w:right="57"/>
              <w:rPr>
                <w:b/>
              </w:rPr>
            </w:pPr>
            <w:r w:rsidRPr="00B558BE">
              <w:rPr>
                <w:b/>
              </w:rPr>
              <w:t>Equity / Māori health gain</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2771DA94" w14:textId="77777777" w:rsidR="006E2EB8" w:rsidRPr="000825B5" w:rsidRDefault="006E2EB8" w:rsidP="008D5E77">
            <w:pPr>
              <w:pStyle w:val="TableText"/>
            </w:pPr>
            <w:r w:rsidRPr="000825B5">
              <w:rPr>
                <w:shd w:val="clear" w:color="auto" w:fill="FFFFFF"/>
              </w:rPr>
              <w:t>Māori men ha</w:t>
            </w:r>
            <w:r>
              <w:rPr>
                <w:shd w:val="clear" w:color="auto" w:fill="FFFFFF"/>
              </w:rPr>
              <w:t>ve</w:t>
            </w:r>
            <w:r w:rsidRPr="000825B5">
              <w:rPr>
                <w:shd w:val="clear" w:color="auto" w:fill="FFFFFF"/>
              </w:rPr>
              <w:t xml:space="preserve"> significantly poorer survival than non-Māori, particularly when diagnosed with regional prostate cancer </w:t>
            </w:r>
            <w:r>
              <w:rPr>
                <w:shd w:val="clear" w:color="auto" w:fill="FFFFFF"/>
              </w:rPr>
              <w:t>(</w:t>
            </w:r>
            <w:r w:rsidRPr="000825B5">
              <w:rPr>
                <w:noProof/>
              </w:rPr>
              <w:t xml:space="preserve">Obertová </w:t>
            </w:r>
            <w:r>
              <w:rPr>
                <w:noProof/>
              </w:rPr>
              <w:t xml:space="preserve">et al 2015). </w:t>
            </w:r>
            <w:r w:rsidRPr="000825B5">
              <w:rPr>
                <w:shd w:val="clear" w:color="auto" w:fill="FFFFFF"/>
              </w:rPr>
              <w:t>Most of the disparity is due to the later stage at diagnosis for Māori men and ethnicity-based differences in treatment</w:t>
            </w:r>
            <w:r w:rsidR="008D5E77">
              <w:rPr>
                <w:shd w:val="clear" w:color="auto" w:fill="FFFFFF"/>
              </w:rPr>
              <w:t xml:space="preserve"> (Egan et al 2020).</w:t>
            </w:r>
          </w:p>
        </w:tc>
      </w:tr>
      <w:tr w:rsidR="008D5E77" w:rsidRPr="000825B5" w14:paraId="6C161775" w14:textId="77777777" w:rsidTr="00C621D9">
        <w:trPr>
          <w:cantSplit/>
        </w:trPr>
        <w:tc>
          <w:tcPr>
            <w:tcW w:w="1843" w:type="dxa"/>
            <w:vMerge w:val="restart"/>
            <w:tcBorders>
              <w:top w:val="single" w:sz="4" w:space="0" w:color="FFFFFF" w:themeColor="background1"/>
            </w:tcBorders>
            <w:shd w:val="clear" w:color="auto" w:fill="C2D9BA"/>
            <w:tcMar>
              <w:top w:w="0" w:type="dxa"/>
              <w:left w:w="57" w:type="dxa"/>
              <w:bottom w:w="0" w:type="dxa"/>
              <w:right w:w="57" w:type="dxa"/>
            </w:tcMar>
          </w:tcPr>
          <w:p w14:paraId="52528E1D" w14:textId="77777777" w:rsidR="008D5E77" w:rsidRPr="00B558BE" w:rsidRDefault="008D5E77" w:rsidP="00C621D9">
            <w:pPr>
              <w:pStyle w:val="TableText"/>
              <w:ind w:right="57"/>
              <w:rPr>
                <w:b/>
              </w:rPr>
            </w:pPr>
            <w:r w:rsidRPr="00B558BE">
              <w:rPr>
                <w:b/>
              </w:rPr>
              <w:t>Specifications</w:t>
            </w:r>
          </w:p>
        </w:tc>
        <w:tc>
          <w:tcPr>
            <w:tcW w:w="1418" w:type="dxa"/>
            <w:tcBorders>
              <w:top w:val="single" w:sz="4" w:space="0" w:color="C2D9BA"/>
              <w:bottom w:val="single" w:sz="4" w:space="0" w:color="C2D9BA"/>
            </w:tcBorders>
            <w:tcMar>
              <w:top w:w="0" w:type="dxa"/>
              <w:left w:w="57" w:type="dxa"/>
              <w:bottom w:w="0" w:type="dxa"/>
              <w:right w:w="57" w:type="dxa"/>
            </w:tcMar>
          </w:tcPr>
          <w:p w14:paraId="4422DABB" w14:textId="77777777" w:rsidR="008D5E77" w:rsidRPr="00B558BE" w:rsidRDefault="008D5E77" w:rsidP="00C621D9">
            <w:pPr>
              <w:pStyle w:val="TableText"/>
              <w:rPr>
                <w:b/>
              </w:rPr>
            </w:pPr>
            <w:r w:rsidRPr="00B558BE">
              <w:rPr>
                <w:b/>
              </w:rPr>
              <w:t>Numerator</w:t>
            </w:r>
          </w:p>
        </w:tc>
        <w:tc>
          <w:tcPr>
            <w:tcW w:w="4819" w:type="dxa"/>
            <w:tcBorders>
              <w:top w:val="single" w:sz="4" w:space="0" w:color="C2D9BA"/>
              <w:bottom w:val="single" w:sz="4" w:space="0" w:color="C2D9BA"/>
            </w:tcBorders>
          </w:tcPr>
          <w:p w14:paraId="082E1CDE" w14:textId="77777777" w:rsidR="008D5E77" w:rsidRPr="000825B5" w:rsidRDefault="008D5E77" w:rsidP="007A5E4E">
            <w:pPr>
              <w:pStyle w:val="TableText"/>
            </w:pPr>
            <w:r w:rsidRPr="000825B5">
              <w:t xml:space="preserve">Number of men who survive 1, 3, 5 </w:t>
            </w:r>
            <w:r>
              <w:t xml:space="preserve">and </w:t>
            </w:r>
            <w:r w:rsidRPr="000825B5">
              <w:t>10 years from diagnosis</w:t>
            </w:r>
            <w:r>
              <w:t>,</w:t>
            </w:r>
            <w:r w:rsidRPr="000825B5">
              <w:t xml:space="preserve"> by stage</w:t>
            </w:r>
          </w:p>
        </w:tc>
      </w:tr>
      <w:tr w:rsidR="008D5E77" w:rsidRPr="000825B5" w14:paraId="6908E95A" w14:textId="77777777" w:rsidTr="000A31DD">
        <w:trPr>
          <w:cantSplit/>
        </w:trPr>
        <w:tc>
          <w:tcPr>
            <w:tcW w:w="1843" w:type="dxa"/>
            <w:vMerge/>
            <w:tcBorders>
              <w:bottom w:val="single" w:sz="4" w:space="0" w:color="FFFFFF" w:themeColor="background1"/>
            </w:tcBorders>
            <w:shd w:val="clear" w:color="auto" w:fill="C2D9BA"/>
            <w:tcMar>
              <w:top w:w="0" w:type="dxa"/>
              <w:left w:w="57" w:type="dxa"/>
              <w:bottom w:w="0" w:type="dxa"/>
              <w:right w:w="57" w:type="dxa"/>
            </w:tcMar>
          </w:tcPr>
          <w:p w14:paraId="268EE728" w14:textId="77777777" w:rsidR="008D5E77" w:rsidRPr="00B558BE" w:rsidRDefault="008D5E77" w:rsidP="00C621D9">
            <w:pPr>
              <w:pStyle w:val="TableText"/>
              <w:ind w:right="57"/>
              <w:rPr>
                <w:b/>
              </w:rPr>
            </w:pPr>
          </w:p>
        </w:tc>
        <w:tc>
          <w:tcPr>
            <w:tcW w:w="1418" w:type="dxa"/>
            <w:tcBorders>
              <w:top w:val="single" w:sz="4" w:space="0" w:color="C2D9BA"/>
              <w:bottom w:val="single" w:sz="4" w:space="0" w:color="C2D9BA"/>
            </w:tcBorders>
            <w:tcMar>
              <w:top w:w="0" w:type="dxa"/>
              <w:left w:w="57" w:type="dxa"/>
              <w:bottom w:w="0" w:type="dxa"/>
              <w:right w:w="57" w:type="dxa"/>
            </w:tcMar>
          </w:tcPr>
          <w:p w14:paraId="5346A28D" w14:textId="77777777" w:rsidR="008D5E77" w:rsidRPr="00B558BE" w:rsidRDefault="008D5E77" w:rsidP="00C621D9">
            <w:pPr>
              <w:pStyle w:val="TableText"/>
              <w:rPr>
                <w:b/>
              </w:rPr>
            </w:pPr>
            <w:r w:rsidRPr="00B558BE">
              <w:rPr>
                <w:b/>
              </w:rPr>
              <w:t>Denominator</w:t>
            </w:r>
          </w:p>
        </w:tc>
        <w:tc>
          <w:tcPr>
            <w:tcW w:w="4819" w:type="dxa"/>
            <w:tcBorders>
              <w:top w:val="single" w:sz="4" w:space="0" w:color="C2D9BA"/>
              <w:bottom w:val="single" w:sz="4" w:space="0" w:color="C2D9BA"/>
            </w:tcBorders>
          </w:tcPr>
          <w:p w14:paraId="57D6DDD4" w14:textId="77777777" w:rsidR="008D5E77" w:rsidRPr="000825B5" w:rsidRDefault="008D5E77" w:rsidP="007A5E4E">
            <w:pPr>
              <w:pStyle w:val="TableText"/>
            </w:pPr>
            <w:r w:rsidRPr="000825B5">
              <w:t>Number of men diagnosed with prostate cancer</w:t>
            </w:r>
          </w:p>
        </w:tc>
      </w:tr>
      <w:tr w:rsidR="008D5E77" w:rsidRPr="000825B5" w14:paraId="77F41EEE" w14:textId="77777777" w:rsidTr="000A31DD">
        <w:trPr>
          <w:cantSplit/>
        </w:trPr>
        <w:tc>
          <w:tcPr>
            <w:tcW w:w="1843" w:type="dxa"/>
            <w:tcBorders>
              <w:top w:val="single" w:sz="4" w:space="0" w:color="FFFFFF" w:themeColor="background1"/>
              <w:bottom w:val="single" w:sz="4" w:space="0" w:color="C2D9BA"/>
            </w:tcBorders>
            <w:shd w:val="clear" w:color="auto" w:fill="C2D9BA"/>
            <w:tcMar>
              <w:top w:w="0" w:type="dxa"/>
              <w:left w:w="57" w:type="dxa"/>
              <w:bottom w:w="0" w:type="dxa"/>
              <w:right w:w="57" w:type="dxa"/>
            </w:tcMar>
          </w:tcPr>
          <w:p w14:paraId="15ED0BA6" w14:textId="77777777" w:rsidR="008D5E77" w:rsidRPr="00B558BE" w:rsidRDefault="008D5E77" w:rsidP="00C621D9">
            <w:pPr>
              <w:pStyle w:val="TableText"/>
              <w:ind w:right="57"/>
              <w:rPr>
                <w:b/>
              </w:rPr>
            </w:pPr>
            <w:r w:rsidRPr="00B558BE">
              <w:rPr>
                <w:b/>
              </w:rPr>
              <w:t>Data sources</w:t>
            </w:r>
          </w:p>
        </w:tc>
        <w:tc>
          <w:tcPr>
            <w:tcW w:w="6237" w:type="dxa"/>
            <w:gridSpan w:val="2"/>
            <w:tcBorders>
              <w:top w:val="single" w:sz="4" w:space="0" w:color="C2D9BA"/>
              <w:bottom w:val="single" w:sz="4" w:space="0" w:color="C2D9BA"/>
            </w:tcBorders>
            <w:tcMar>
              <w:top w:w="0" w:type="dxa"/>
              <w:left w:w="57" w:type="dxa"/>
              <w:bottom w:w="0" w:type="dxa"/>
              <w:right w:w="57" w:type="dxa"/>
            </w:tcMar>
          </w:tcPr>
          <w:p w14:paraId="41E48CA3" w14:textId="77777777" w:rsidR="008D5E77" w:rsidRPr="000825B5" w:rsidRDefault="008D5E77" w:rsidP="00C621D9">
            <w:pPr>
              <w:pStyle w:val="TableText"/>
            </w:pPr>
            <w:r w:rsidRPr="000825B5">
              <w:t>NZCR, Mortality Collection</w:t>
            </w:r>
          </w:p>
        </w:tc>
      </w:tr>
    </w:tbl>
    <w:p w14:paraId="6B5388DE" w14:textId="77777777" w:rsidR="00C621D9" w:rsidRPr="00C621D9" w:rsidRDefault="00C621D9" w:rsidP="000A31DD"/>
    <w:p w14:paraId="7EB6A8F3" w14:textId="77777777" w:rsidR="00A23E54" w:rsidRPr="00C71161" w:rsidRDefault="00A23E54" w:rsidP="007C278F">
      <w:pPr>
        <w:pStyle w:val="Heading1"/>
      </w:pPr>
      <w:bookmarkStart w:id="145" w:name="_Toc13561069"/>
      <w:bookmarkStart w:id="146" w:name="_Toc18056785"/>
      <w:bookmarkStart w:id="147" w:name="_Toc79501573"/>
      <w:bookmarkStart w:id="148" w:name="_Toc82433293"/>
      <w:r w:rsidRPr="00C71161">
        <w:lastRenderedPageBreak/>
        <w:t xml:space="preserve">Appendix 1: Working Group </w:t>
      </w:r>
      <w:r>
        <w:t>m</w:t>
      </w:r>
      <w:r w:rsidRPr="00C71161">
        <w:t>embers</w:t>
      </w:r>
      <w:bookmarkEnd w:id="145"/>
      <w:bookmarkEnd w:id="146"/>
      <w:bookmarkEnd w:id="147"/>
      <w:bookmarkEnd w:id="148"/>
    </w:p>
    <w:p w14:paraId="407C7FAB" w14:textId="77777777" w:rsidR="00A23E54" w:rsidRPr="00C71161" w:rsidRDefault="00A23E54" w:rsidP="00CA2E43">
      <w:r w:rsidRPr="00C71161">
        <w:t xml:space="preserve">The National </w:t>
      </w:r>
      <w:r>
        <w:t xml:space="preserve">Urological </w:t>
      </w:r>
      <w:r w:rsidRPr="00C71161">
        <w:t xml:space="preserve">Cancer Working Group </w:t>
      </w:r>
      <w:r>
        <w:t>comprised:</w:t>
      </w:r>
    </w:p>
    <w:p w14:paraId="033A93AC" w14:textId="77777777" w:rsidR="00A23E54" w:rsidRPr="00C71161" w:rsidRDefault="00A23E54" w:rsidP="00CA2E43"/>
    <w:p w14:paraId="793FEB13" w14:textId="77777777" w:rsidR="00A23E54" w:rsidRPr="00C71161" w:rsidRDefault="00A23E54" w:rsidP="00CA2E43">
      <w:pPr>
        <w:pStyle w:val="Heading4"/>
      </w:pPr>
      <w:bookmarkStart w:id="149" w:name="_Toc526173716"/>
      <w:bookmarkStart w:id="150" w:name="_Toc1738372"/>
      <w:r w:rsidRPr="00C71161">
        <w:t>Chair</w:t>
      </w:r>
      <w:bookmarkEnd w:id="149"/>
    </w:p>
    <w:p w14:paraId="242A1D96" w14:textId="77777777" w:rsidR="006E2EB8" w:rsidRPr="001A66A2" w:rsidRDefault="006E2EB8" w:rsidP="00C9666B">
      <w:r w:rsidRPr="001A66A2">
        <w:t xml:space="preserve">Mr Andrew Williams, Urologist, </w:t>
      </w:r>
      <w:proofErr w:type="gramStart"/>
      <w:r w:rsidRPr="001A66A2">
        <w:t>Auckland</w:t>
      </w:r>
      <w:proofErr w:type="gramEnd"/>
      <w:r w:rsidRPr="001A66A2">
        <w:t xml:space="preserve"> and Counties Manukau District Health Board</w:t>
      </w:r>
    </w:p>
    <w:p w14:paraId="7EBDBA43" w14:textId="77777777" w:rsidR="006E2EB8" w:rsidRPr="00C71161" w:rsidRDefault="006E2EB8" w:rsidP="00C9666B"/>
    <w:p w14:paraId="4F9F9413" w14:textId="77777777" w:rsidR="006E2EB8" w:rsidRPr="00C71161" w:rsidRDefault="006E2EB8" w:rsidP="00C9666B">
      <w:pPr>
        <w:pStyle w:val="Heading4"/>
      </w:pPr>
      <w:r w:rsidRPr="00C71161">
        <w:t>Deputy Chair</w:t>
      </w:r>
    </w:p>
    <w:p w14:paraId="380080EF" w14:textId="77777777" w:rsidR="006E2EB8" w:rsidRPr="001A66A2" w:rsidRDefault="006E2EB8" w:rsidP="00C9666B">
      <w:r w:rsidRPr="001A66A2">
        <w:t>Dr Suzanne Beuker, Urologist, Nelson Marlborough District Health Board</w:t>
      </w:r>
    </w:p>
    <w:p w14:paraId="065F171C" w14:textId="77777777" w:rsidR="006E2EB8" w:rsidRPr="001A66A2" w:rsidRDefault="006E2EB8" w:rsidP="00C9666B"/>
    <w:p w14:paraId="09064F30" w14:textId="77777777" w:rsidR="006E2EB8" w:rsidRPr="00C71161" w:rsidRDefault="006E2EB8" w:rsidP="00C9666B">
      <w:pPr>
        <w:pStyle w:val="Heading4"/>
      </w:pPr>
      <w:r w:rsidRPr="00C71161">
        <w:t>Members</w:t>
      </w:r>
    </w:p>
    <w:p w14:paraId="521898E3" w14:textId="77777777" w:rsidR="006E2EB8" w:rsidRPr="001A66A2" w:rsidRDefault="006E2EB8" w:rsidP="00C9666B">
      <w:r w:rsidRPr="001A66A2">
        <w:t>Emma Drake, Cancer Nurse Specialist, Southern District Health Board</w:t>
      </w:r>
    </w:p>
    <w:p w14:paraId="14AE1C00" w14:textId="77777777" w:rsidR="006E2EB8" w:rsidRPr="001A66A2" w:rsidRDefault="006E2EB8" w:rsidP="00C9666B">
      <w:pPr>
        <w:spacing w:before="60"/>
      </w:pPr>
      <w:r w:rsidRPr="001A66A2">
        <w:t>Dr Peter Fong, Medical Oncologist, Auckland District Health Board</w:t>
      </w:r>
    </w:p>
    <w:p w14:paraId="7674F62D" w14:textId="77777777" w:rsidR="006E2EB8" w:rsidRPr="001A66A2" w:rsidRDefault="006E2EB8" w:rsidP="00C9666B">
      <w:pPr>
        <w:spacing w:before="60"/>
      </w:pPr>
      <w:r w:rsidRPr="001A66A2">
        <w:t>Dr Jason Gurney, Senior Research Fellow, Cancer Control and Screening Research Group, University of Otago</w:t>
      </w:r>
    </w:p>
    <w:p w14:paraId="001515D0" w14:textId="77777777" w:rsidR="006E2EB8" w:rsidRPr="001A66A2" w:rsidRDefault="006E2EB8" w:rsidP="00C9666B">
      <w:pPr>
        <w:spacing w:before="60"/>
      </w:pPr>
      <w:r w:rsidRPr="001A66A2">
        <w:t xml:space="preserve">Tui Hancock, Whānau Ora Nurse Practitioner, Central Primary Health Organisation </w:t>
      </w:r>
    </w:p>
    <w:p w14:paraId="43F26A9C" w14:textId="77777777" w:rsidR="006E2EB8" w:rsidRPr="001A66A2" w:rsidRDefault="006E2EB8" w:rsidP="00C9666B">
      <w:pPr>
        <w:spacing w:before="60"/>
      </w:pPr>
      <w:r w:rsidRPr="001A66A2">
        <w:t>Sharon Harber, Cancer Nurse Specialist, South Canterbury District Health Board</w:t>
      </w:r>
    </w:p>
    <w:p w14:paraId="45F0B64B" w14:textId="77777777" w:rsidR="006E2EB8" w:rsidRPr="001A66A2" w:rsidRDefault="006E2EB8" w:rsidP="00C9666B">
      <w:pPr>
        <w:spacing w:before="60"/>
      </w:pPr>
      <w:r w:rsidRPr="001A66A2">
        <w:t>Mr Quinten King, Urologist, MidCentral District Health Board</w:t>
      </w:r>
    </w:p>
    <w:p w14:paraId="3E8E37A2" w14:textId="77777777" w:rsidR="006E2EB8" w:rsidRPr="001A66A2" w:rsidRDefault="006E2EB8" w:rsidP="00C9666B">
      <w:pPr>
        <w:spacing w:before="60"/>
      </w:pPr>
      <w:r w:rsidRPr="001A66A2">
        <w:t>Madhu Koya, Consultant Urologist, Waitemata District Health Board</w:t>
      </w:r>
    </w:p>
    <w:p w14:paraId="70F91A44" w14:textId="77777777" w:rsidR="006E2EB8" w:rsidRPr="001A66A2" w:rsidRDefault="006E2EB8" w:rsidP="00C9666B">
      <w:pPr>
        <w:spacing w:before="60"/>
      </w:pPr>
      <w:r w:rsidRPr="001A66A2">
        <w:t>Dr Remy Lim, Consultant Radiologist, Auckland District Health Board</w:t>
      </w:r>
    </w:p>
    <w:p w14:paraId="1F71896F" w14:textId="77777777" w:rsidR="006E2EB8" w:rsidRPr="001A66A2" w:rsidRDefault="006E2EB8" w:rsidP="00C9666B">
      <w:pPr>
        <w:spacing w:before="60"/>
      </w:pPr>
      <w:r w:rsidRPr="001A66A2">
        <w:t>Rob Macfarlane, Consumer</w:t>
      </w:r>
    </w:p>
    <w:p w14:paraId="61B21BFF" w14:textId="77777777" w:rsidR="006E2EB8" w:rsidRPr="001A66A2" w:rsidRDefault="006E2EB8" w:rsidP="00C9666B">
      <w:pPr>
        <w:spacing w:before="60"/>
      </w:pPr>
      <w:r w:rsidRPr="001A66A2">
        <w:t>Mr Stephen Mark, Urologist, Canterbury District Health Board</w:t>
      </w:r>
    </w:p>
    <w:p w14:paraId="08E8FA14" w14:textId="77777777" w:rsidR="006E2EB8" w:rsidRPr="001A66A2" w:rsidRDefault="006E2EB8" w:rsidP="00C9666B">
      <w:pPr>
        <w:spacing w:before="60"/>
      </w:pPr>
      <w:r w:rsidRPr="001A66A2">
        <w:t>Dr John Matthews, Consultant Radiation Oncologist, Auckland DHB</w:t>
      </w:r>
    </w:p>
    <w:p w14:paraId="6CCE8F14" w14:textId="77777777" w:rsidR="006E2EB8" w:rsidRPr="001A66A2" w:rsidRDefault="006E2EB8" w:rsidP="00C9666B">
      <w:pPr>
        <w:spacing w:before="60"/>
      </w:pPr>
      <w:r w:rsidRPr="001A66A2">
        <w:t>Sarah Mortimer, Operations Manager, Blood, Cancer, Renal &amp; Palliative Care, Capital &amp; Coast District Health Board</w:t>
      </w:r>
    </w:p>
    <w:p w14:paraId="4B53ECD9" w14:textId="77777777" w:rsidR="006E2EB8" w:rsidRPr="001A66A2" w:rsidRDefault="006E2EB8" w:rsidP="00C9666B">
      <w:pPr>
        <w:spacing w:before="60"/>
      </w:pPr>
      <w:r w:rsidRPr="001A66A2">
        <w:t>Tiffany Schwass, Cancer Nurse Specialist, Waikato District Health Board</w:t>
      </w:r>
    </w:p>
    <w:p w14:paraId="6DB220F6" w14:textId="77777777" w:rsidR="006E2EB8" w:rsidRPr="001A66A2" w:rsidRDefault="006E2EB8" w:rsidP="00C9666B">
      <w:pPr>
        <w:spacing w:before="60"/>
      </w:pPr>
      <w:r w:rsidRPr="001A66A2">
        <w:t>Dr Alvin Tan, Medical Oncologist, Waikato District Health Board</w:t>
      </w:r>
    </w:p>
    <w:p w14:paraId="65A77F4A" w14:textId="77777777" w:rsidR="006E2EB8" w:rsidRPr="001A66A2" w:rsidRDefault="006E2EB8" w:rsidP="00C9666B">
      <w:pPr>
        <w:spacing w:before="60"/>
      </w:pPr>
      <w:r w:rsidRPr="001A66A2">
        <w:t>Mr Simon van Rij, Urologist, Auckland District Health Board</w:t>
      </w:r>
    </w:p>
    <w:p w14:paraId="65CB38E2" w14:textId="77777777" w:rsidR="006E2EB8" w:rsidRPr="001A66A2" w:rsidRDefault="006E2EB8" w:rsidP="00C9666B">
      <w:pPr>
        <w:spacing w:before="60"/>
      </w:pPr>
      <w:r w:rsidRPr="001A66A2">
        <w:t>Dr Jonathan Zwi, Pathologist, Auckland District Health Board</w:t>
      </w:r>
    </w:p>
    <w:bookmarkEnd w:id="150"/>
    <w:p w14:paraId="405231BC" w14:textId="77777777" w:rsidR="00A23E54" w:rsidRDefault="00A23E54" w:rsidP="00CA2E43"/>
    <w:p w14:paraId="2C4AC7E6" w14:textId="77777777" w:rsidR="00A23E54" w:rsidRPr="00C71161" w:rsidRDefault="00A23E54" w:rsidP="007C278F">
      <w:pPr>
        <w:pStyle w:val="Heading1"/>
      </w:pPr>
      <w:bookmarkStart w:id="151" w:name="_Toc45525019"/>
      <w:bookmarkStart w:id="152" w:name="_Toc64389652"/>
      <w:bookmarkStart w:id="153" w:name="_Toc64557764"/>
      <w:bookmarkStart w:id="154" w:name="_Toc79501574"/>
      <w:bookmarkStart w:id="155" w:name="_Toc82433294"/>
      <w:r w:rsidRPr="00C71161">
        <w:lastRenderedPageBreak/>
        <w:t>Appendix 2: Stratifying variables</w:t>
      </w:r>
      <w:bookmarkEnd w:id="151"/>
      <w:bookmarkEnd w:id="152"/>
      <w:bookmarkEnd w:id="153"/>
      <w:bookmarkEnd w:id="154"/>
      <w:bookmarkEnd w:id="155"/>
    </w:p>
    <w:p w14:paraId="4BE38AC9" w14:textId="77777777" w:rsidR="006E2EB8" w:rsidRPr="00C71161" w:rsidRDefault="006E2EB8" w:rsidP="00D07EC1">
      <w:r w:rsidRPr="00C71161">
        <w:t>In addition to DHB and regional cancer network, the indicators will be stratified by the following variables</w:t>
      </w:r>
      <w:r>
        <w:t>,</w:t>
      </w:r>
      <w:r w:rsidRPr="00C71161">
        <w:t xml:space="preserve"> where possible:</w:t>
      </w:r>
    </w:p>
    <w:p w14:paraId="73501EC1" w14:textId="77777777" w:rsidR="006E2EB8" w:rsidRPr="00512C03" w:rsidRDefault="006E2EB8" w:rsidP="00D07EC1">
      <w:pPr>
        <w:pStyle w:val="Bullet"/>
      </w:pPr>
      <w:r w:rsidRPr="00512C03">
        <w:t>age</w:t>
      </w:r>
    </w:p>
    <w:p w14:paraId="63B8B4DE" w14:textId="77777777" w:rsidR="006E2EB8" w:rsidRPr="00512C03" w:rsidRDefault="006E2EB8" w:rsidP="00D07EC1">
      <w:pPr>
        <w:pStyle w:val="Bullet"/>
      </w:pPr>
      <w:r w:rsidRPr="00512C03">
        <w:t>sex</w:t>
      </w:r>
    </w:p>
    <w:p w14:paraId="3FFF9213" w14:textId="77777777" w:rsidR="006E2EB8" w:rsidRPr="00512C03" w:rsidRDefault="006E2EB8" w:rsidP="00D07EC1">
      <w:pPr>
        <w:pStyle w:val="Bullet"/>
      </w:pPr>
      <w:r w:rsidRPr="00512C03">
        <w:t xml:space="preserve">ethnicity </w:t>
      </w:r>
    </w:p>
    <w:p w14:paraId="4A93AC2F" w14:textId="77777777" w:rsidR="006E2EB8" w:rsidRPr="00512C03" w:rsidRDefault="006E2EB8" w:rsidP="00D07EC1">
      <w:pPr>
        <w:pStyle w:val="Bullet"/>
      </w:pPr>
      <w:r>
        <w:t>New Zealand Index of Deprivation 2013 (</w:t>
      </w:r>
      <w:r w:rsidRPr="00512C03">
        <w:t>NZDep2013</w:t>
      </w:r>
      <w:r>
        <w:t>)</w:t>
      </w:r>
      <w:r w:rsidRPr="00512C03">
        <w:t xml:space="preserve"> quintile</w:t>
      </w:r>
    </w:p>
    <w:p w14:paraId="1E415347" w14:textId="77777777" w:rsidR="006E2EB8" w:rsidRPr="00512C03" w:rsidRDefault="006E2EB8" w:rsidP="00D07EC1">
      <w:pPr>
        <w:pStyle w:val="Bullet"/>
      </w:pPr>
      <w:r w:rsidRPr="00512C03">
        <w:rPr>
          <w:rFonts w:cs="Segoe UI"/>
        </w:rPr>
        <w:t>Gleason score</w:t>
      </w:r>
    </w:p>
    <w:p w14:paraId="4B249A37" w14:textId="77777777" w:rsidR="006E2EB8" w:rsidRPr="00512C03" w:rsidRDefault="006E2EB8" w:rsidP="00D07EC1">
      <w:pPr>
        <w:pStyle w:val="Bullet"/>
      </w:pPr>
      <w:r w:rsidRPr="00512C03">
        <w:rPr>
          <w:rFonts w:cs="Segoe UI"/>
        </w:rPr>
        <w:t>ISUP grade group</w:t>
      </w:r>
      <w:r>
        <w:rPr>
          <w:rFonts w:cs="Segoe UI"/>
        </w:rPr>
        <w:t>.</w:t>
      </w:r>
    </w:p>
    <w:p w14:paraId="563D1E80" w14:textId="77777777" w:rsidR="00A23E54" w:rsidRPr="00C71161" w:rsidRDefault="00A23E54" w:rsidP="00D07EC1"/>
    <w:p w14:paraId="01C7EB45" w14:textId="77777777" w:rsidR="00A23E54" w:rsidRPr="00512C03" w:rsidRDefault="00A23E54" w:rsidP="007C278F">
      <w:pPr>
        <w:pStyle w:val="Heading1"/>
      </w:pPr>
      <w:bookmarkStart w:id="156" w:name="_Toc79501575"/>
      <w:bookmarkStart w:id="157" w:name="_Toc82433295"/>
      <w:r>
        <w:lastRenderedPageBreak/>
        <w:t>R</w:t>
      </w:r>
      <w:r w:rsidR="007C278F">
        <w:t>eferences</w:t>
      </w:r>
      <w:bookmarkEnd w:id="156"/>
      <w:bookmarkEnd w:id="157"/>
    </w:p>
    <w:p w14:paraId="6D997694" w14:textId="77777777" w:rsidR="006E2EB8" w:rsidRPr="0017754A" w:rsidRDefault="006E2EB8" w:rsidP="001450B5">
      <w:pPr>
        <w:pStyle w:val="References"/>
      </w:pPr>
      <w:r w:rsidRPr="0017754A">
        <w:t xml:space="preserve">Ahmed HU, El-Shater Bosaily A, Brown LC, et al. 2017. Diagnostic accuracy of multi-parametric MRI and TRUS biopsy in prostate cancer (PROMIS): a paired validating confirmatory study. </w:t>
      </w:r>
      <w:r w:rsidRPr="001450B5">
        <w:rPr>
          <w:i/>
        </w:rPr>
        <w:t>Lancet</w:t>
      </w:r>
      <w:r w:rsidRPr="0017754A">
        <w:t xml:space="preserve"> 389(10071): 815–22. DOI: 10.1016/s0140-6736(16)32</w:t>
      </w:r>
      <w:r w:rsidR="001450B5">
        <w:t>401-1 (accessed 5 August 2021).</w:t>
      </w:r>
    </w:p>
    <w:p w14:paraId="3366F4AB" w14:textId="77777777" w:rsidR="006E2EB8" w:rsidRPr="0017754A" w:rsidRDefault="006E2EB8" w:rsidP="001450B5">
      <w:pPr>
        <w:pStyle w:val="References"/>
      </w:pPr>
      <w:r w:rsidRPr="0017754A">
        <w:t xml:space="preserve">Alkhateeb S, Alibhai S, Fleshner N, et al. 2010. Impact of positive surgical margins after radical prostatectomy differs by disease risk group. </w:t>
      </w:r>
      <w:r w:rsidRPr="001450B5">
        <w:rPr>
          <w:i/>
        </w:rPr>
        <w:t>Journal of Urology</w:t>
      </w:r>
      <w:r w:rsidRPr="0017754A">
        <w:t xml:space="preserve"> 183(1): 145–50. DOI: 10.1016/j.juro.2009.08.13 (accessed 5 August 2021).</w:t>
      </w:r>
    </w:p>
    <w:p w14:paraId="0FC51A11" w14:textId="77777777" w:rsidR="006E2EB8" w:rsidRPr="0017754A" w:rsidRDefault="006E2EB8" w:rsidP="001450B5">
      <w:pPr>
        <w:pStyle w:val="References"/>
      </w:pPr>
      <w:r w:rsidRPr="0017754A">
        <w:t xml:space="preserve">Anderson J, Burney S, Brooker JE, et al. 2014. Anxiety in the management of localised prostate cancer by active surveillance. </w:t>
      </w:r>
      <w:r w:rsidRPr="001450B5">
        <w:rPr>
          <w:i/>
        </w:rPr>
        <w:t>BJU International</w:t>
      </w:r>
      <w:r w:rsidRPr="0017754A">
        <w:t xml:space="preserve"> 114</w:t>
      </w:r>
      <w:r w:rsidR="001450B5">
        <w:t>(</w:t>
      </w:r>
      <w:r w:rsidRPr="0017754A">
        <w:t>Suppl 1</w:t>
      </w:r>
      <w:r w:rsidR="001450B5">
        <w:t>)</w:t>
      </w:r>
      <w:r w:rsidRPr="0017754A">
        <w:t>: 55–61. DOI: 10.1111/bju.12765 (accessed 5 August 2021).</w:t>
      </w:r>
    </w:p>
    <w:p w14:paraId="1785BEC4" w14:textId="77777777" w:rsidR="006E2EB8" w:rsidRPr="0017754A" w:rsidRDefault="006E2EB8" w:rsidP="001450B5">
      <w:pPr>
        <w:pStyle w:val="References"/>
      </w:pPr>
      <w:r w:rsidRPr="0017754A">
        <w:t xml:space="preserve">Beaver JA, Kluetz PG, Pazdur R. 2018. Metastasis-free survival – a new end point in prostate cancer trials. </w:t>
      </w:r>
      <w:r w:rsidRPr="001450B5">
        <w:rPr>
          <w:i/>
        </w:rPr>
        <w:t>New England Journal of Medicine</w:t>
      </w:r>
      <w:r w:rsidRPr="0017754A">
        <w:t xml:space="preserve"> 378(26): 2456–8. DOI: 10.1056/NEJMp1802313 (accessed 6 August 2021).</w:t>
      </w:r>
    </w:p>
    <w:p w14:paraId="00F42EB6" w14:textId="77777777" w:rsidR="006E2EB8" w:rsidRPr="0017754A" w:rsidRDefault="006E2EB8" w:rsidP="001450B5">
      <w:pPr>
        <w:pStyle w:val="References"/>
      </w:pPr>
      <w:r w:rsidRPr="0017754A">
        <w:t xml:space="preserve">Bechis SK, Carroll PR, Cooperberg MR. 2011. Impact of age at diagnosis on prostate cancer treatment and survival. </w:t>
      </w:r>
      <w:r w:rsidRPr="001450B5">
        <w:rPr>
          <w:i/>
        </w:rPr>
        <w:t>Journal of Clinical Oncology</w:t>
      </w:r>
      <w:r w:rsidRPr="0017754A">
        <w:t xml:space="preserve"> 29(2): 235–41. DOI: 10.1200/JCO.2010.30.2075 (accessed 5 August 2021).</w:t>
      </w:r>
    </w:p>
    <w:p w14:paraId="32B0B6DD" w14:textId="77777777" w:rsidR="006E2EB8" w:rsidRPr="0017754A" w:rsidRDefault="006E2EB8" w:rsidP="001450B5">
      <w:pPr>
        <w:pStyle w:val="References"/>
      </w:pPr>
      <w:r w:rsidRPr="0017754A">
        <w:t xml:space="preserve">Berg WT, Danzig MR, Pak JS. 2015. Delay from biopsy to radical prostatectomy influences the rate of adverse pathologic outcomes. </w:t>
      </w:r>
      <w:r w:rsidRPr="001450B5">
        <w:rPr>
          <w:i/>
        </w:rPr>
        <w:t>Prostate</w:t>
      </w:r>
      <w:r w:rsidRPr="0017754A">
        <w:t xml:space="preserve"> 75: 1085–91. DOI: 10.1002/pros.22992 (accessed 5 August 2021).</w:t>
      </w:r>
    </w:p>
    <w:p w14:paraId="4063FF59" w14:textId="77777777" w:rsidR="006E2EB8" w:rsidRPr="0017754A" w:rsidRDefault="006E2EB8" w:rsidP="001450B5">
      <w:pPr>
        <w:pStyle w:val="References"/>
      </w:pPr>
      <w:r w:rsidRPr="0017754A">
        <w:t>Chaloupka M, Herlemann A, D'Anastasi M, et al. 2017. (68)</w:t>
      </w:r>
      <w:r>
        <w:t xml:space="preserve"> </w:t>
      </w:r>
      <w:r w:rsidRPr="0017754A">
        <w:t xml:space="preserve">Gallium-prostate-specific membrane antigen PET/computed tomography for primary and secondary staging in prostate cancer. </w:t>
      </w:r>
      <w:r w:rsidRPr="001450B5">
        <w:rPr>
          <w:i/>
        </w:rPr>
        <w:t>Urologic Clinics of North America</w:t>
      </w:r>
      <w:r w:rsidRPr="0017754A">
        <w:t xml:space="preserve"> 44(4): 557–63. DOI: 10.1016/j.ucl.2017.07.004 (accessed 5 August 2021).</w:t>
      </w:r>
    </w:p>
    <w:p w14:paraId="5747CE1D" w14:textId="77777777" w:rsidR="006E2EB8" w:rsidRPr="0017754A" w:rsidRDefault="006E2EB8" w:rsidP="001450B5">
      <w:pPr>
        <w:pStyle w:val="References"/>
      </w:pPr>
      <w:r w:rsidRPr="0017754A">
        <w:t>Dewes S, Schiller K, Sauter K, et al. 2016. Integration of (68)</w:t>
      </w:r>
      <w:r>
        <w:t xml:space="preserve"> </w:t>
      </w:r>
      <w:r w:rsidRPr="0017754A">
        <w:t xml:space="preserve">Ga-PSMA-PET imaging in planning of primary definitive radiotherapy in prostate cancer: a retrospective study. </w:t>
      </w:r>
      <w:r w:rsidRPr="001450B5">
        <w:rPr>
          <w:i/>
        </w:rPr>
        <w:t>Radiation Oncology</w:t>
      </w:r>
      <w:r w:rsidRPr="0017754A">
        <w:t xml:space="preserve"> 11: 73. DOI: 10.1186/s13014-016-0646-2 (accessed 5 August 2021).</w:t>
      </w:r>
    </w:p>
    <w:p w14:paraId="78BB0958" w14:textId="77777777" w:rsidR="006E2EB8" w:rsidRPr="0017754A" w:rsidRDefault="006E2EB8" w:rsidP="001450B5">
      <w:pPr>
        <w:pStyle w:val="References"/>
      </w:pPr>
      <w:r w:rsidRPr="0017754A">
        <w:t xml:space="preserve">Donovan JL, Hamdy FC, Lane JA, et al. 2016. Patient-reported outcomes after monitoring, surgery, or radiotherapy for prostate cancer. </w:t>
      </w:r>
      <w:r w:rsidRPr="001450B5">
        <w:rPr>
          <w:i/>
        </w:rPr>
        <w:t>New England Journal of Medicine</w:t>
      </w:r>
      <w:r w:rsidRPr="0017754A">
        <w:t xml:space="preserve"> 375(15): 1425–37. DOI: 10.1056/NEJMoa1606221 (accessed 5 August 2021).</w:t>
      </w:r>
    </w:p>
    <w:p w14:paraId="3A627ADE" w14:textId="77777777" w:rsidR="006E2EB8" w:rsidRPr="0017754A" w:rsidRDefault="006E2EB8" w:rsidP="001450B5">
      <w:pPr>
        <w:pStyle w:val="References"/>
      </w:pPr>
      <w:r w:rsidRPr="0017754A">
        <w:t xml:space="preserve">ECOG-ACRIN Cancer Research Group. 2013. Androgen ablation therapy with or without chemotherapy in treating patients with metastatic prostate cancer (CHAARTED). URL: </w:t>
      </w:r>
      <w:hyperlink r:id="rId24" w:history="1">
        <w:r w:rsidR="001450B5" w:rsidRPr="001450B5">
          <w:rPr>
            <w:rStyle w:val="Hyperlink"/>
          </w:rPr>
          <w:t>https://clinicaltrials.gov/ct2/show/NCT00309985</w:t>
        </w:r>
      </w:hyperlink>
      <w:r w:rsidRPr="0017754A">
        <w:t xml:space="preserve"> (accessed 5 August 2021).</w:t>
      </w:r>
    </w:p>
    <w:p w14:paraId="6F1060E6" w14:textId="77777777" w:rsidR="006E2EB8" w:rsidRPr="0017754A" w:rsidRDefault="006E2EB8" w:rsidP="001450B5">
      <w:pPr>
        <w:pStyle w:val="References"/>
      </w:pPr>
      <w:r w:rsidRPr="0017754A">
        <w:t xml:space="preserve">Egan R, Lawrenson R, Kidd J, et al. 2020. Inequalities between Māori and non-Māori men with prostate cancer in Aotearoa New Zealand. </w:t>
      </w:r>
      <w:r w:rsidRPr="001450B5">
        <w:rPr>
          <w:i/>
        </w:rPr>
        <w:t>New Zealand Medical Journal</w:t>
      </w:r>
      <w:r w:rsidRPr="0017754A">
        <w:t xml:space="preserve"> 133(1521): 69–76. URL: </w:t>
      </w:r>
      <w:hyperlink r:id="rId25" w:history="1">
        <w:r w:rsidR="001450B5" w:rsidRPr="001450B5">
          <w:rPr>
            <w:rStyle w:val="Hyperlink"/>
          </w:rPr>
          <w:t>https://www.nzma.org.nz/journal-articles/inequalities-between-maori-and-non-maori-men-with-prostate-cancer-in-aotearoa-new-zealand</w:t>
        </w:r>
      </w:hyperlink>
      <w:r w:rsidRPr="0017754A">
        <w:t xml:space="preserve"> (accessed 6 August 2021).</w:t>
      </w:r>
    </w:p>
    <w:p w14:paraId="626257FB" w14:textId="77777777" w:rsidR="006E2EB8" w:rsidRPr="0017754A" w:rsidRDefault="006E2EB8" w:rsidP="001450B5">
      <w:pPr>
        <w:pStyle w:val="References"/>
        <w:keepNext/>
      </w:pPr>
      <w:r w:rsidRPr="0017754A">
        <w:lastRenderedPageBreak/>
        <w:t>Einspieler I, Rauscher I, Duwel C, et al. 2017. Detection efficacy of hybrid (68)</w:t>
      </w:r>
      <w:r>
        <w:t xml:space="preserve"> </w:t>
      </w:r>
      <w:r w:rsidRPr="0017754A">
        <w:t xml:space="preserve">Ga-PSMA ligand PET/CT in prostate cancer patients with biochemical recurrence after primary radiation therapy defined by Phoenix criteria. </w:t>
      </w:r>
      <w:r w:rsidRPr="001450B5">
        <w:rPr>
          <w:i/>
        </w:rPr>
        <w:t>Journal of Nuclear Medecine</w:t>
      </w:r>
      <w:r w:rsidRPr="0017754A">
        <w:t xml:space="preserve"> 58(7): 1081–7. DOI: 10.2967/jnumed.116.184457 (accessed 5 August 2021).</w:t>
      </w:r>
    </w:p>
    <w:p w14:paraId="71D61EE8" w14:textId="77777777" w:rsidR="006E2EB8" w:rsidRPr="0017754A" w:rsidRDefault="006E2EB8" w:rsidP="001450B5">
      <w:pPr>
        <w:pStyle w:val="References"/>
      </w:pPr>
      <w:r w:rsidRPr="0017754A">
        <w:t>Emmett L, van Leeuwen PJ, Nandurkar R, et al. 2017. Treatment outcomes from (68)</w:t>
      </w:r>
      <w:r>
        <w:t xml:space="preserve"> </w:t>
      </w:r>
      <w:r w:rsidRPr="0017754A">
        <w:t>Ga</w:t>
      </w:r>
      <w:r w:rsidR="001450B5">
        <w:noBreakHyphen/>
      </w:r>
      <w:r w:rsidRPr="0017754A">
        <w:t xml:space="preserve">PSMA PET/CT-informed salvage radiation treatment in men with rising PSA after radical prostatectomy: prognostic value of a negative PSMA PET. </w:t>
      </w:r>
      <w:r w:rsidRPr="007B282B">
        <w:rPr>
          <w:i/>
        </w:rPr>
        <w:t>Journal of Nuclear Medecine</w:t>
      </w:r>
      <w:r w:rsidRPr="0017754A">
        <w:t xml:space="preserve"> 58(12): 1972–6. DOI: 10.2967/jnumed.117.196683 (accessed 5 August 2021).</w:t>
      </w:r>
    </w:p>
    <w:p w14:paraId="3E6CAB9C" w14:textId="77777777" w:rsidR="006E2EB8" w:rsidRPr="0017754A" w:rsidRDefault="006E2EB8" w:rsidP="001450B5">
      <w:pPr>
        <w:pStyle w:val="References"/>
      </w:pPr>
      <w:r w:rsidRPr="0017754A">
        <w:t xml:space="preserve">Evans SM, Millar JL, Frydenberg M, et al. 2014. Positive surgical margins: rate, contributing factors and impact on further treatment: findings from the Prostate Cancer Registry. </w:t>
      </w:r>
      <w:r w:rsidRPr="007B282B">
        <w:rPr>
          <w:i/>
        </w:rPr>
        <w:t>BJU International</w:t>
      </w:r>
      <w:r w:rsidRPr="0017754A">
        <w:t xml:space="preserve"> 114(5): 680–90. DOI: 10.1111/bju.12509 (accessed 5 August 2021).</w:t>
      </w:r>
    </w:p>
    <w:p w14:paraId="6A0046ED" w14:textId="77777777" w:rsidR="006E2EB8" w:rsidRPr="0017754A" w:rsidRDefault="006E2EB8" w:rsidP="001450B5">
      <w:pPr>
        <w:pStyle w:val="References"/>
      </w:pPr>
      <w:r w:rsidRPr="0017754A">
        <w:t xml:space="preserve">Forbes LJ, Warburton F, Richards MA, et al. 2014. Risk factors for delay in symptomatic presentation: a survey of cancer patients. </w:t>
      </w:r>
      <w:r w:rsidRPr="007B282B">
        <w:rPr>
          <w:i/>
        </w:rPr>
        <w:t>British Journal of Cancer</w:t>
      </w:r>
      <w:r w:rsidRPr="0017754A">
        <w:t xml:space="preserve"> 111(3): 581–8. DOI: 10.1038/bjc.2014.304 (accessed 5 August 2021).</w:t>
      </w:r>
    </w:p>
    <w:p w14:paraId="27ADE856" w14:textId="77777777" w:rsidR="006E2EB8" w:rsidRPr="0017754A" w:rsidRDefault="006E2EB8" w:rsidP="001450B5">
      <w:pPr>
        <w:pStyle w:val="References"/>
      </w:pPr>
      <w:r w:rsidRPr="0017754A">
        <w:t xml:space="preserve">Fossati N, Rossi MS, Cucchiara V, et al. 2017. Evaluating the effect of time from prostate cancer diagnosis to radical prostatectomy on cancer control: Can surgery be postponed safely? </w:t>
      </w:r>
      <w:r w:rsidRPr="007B282B">
        <w:rPr>
          <w:i/>
        </w:rPr>
        <w:t>Urologic Oncology: Seminars and Original Investigations</w:t>
      </w:r>
      <w:r w:rsidRPr="0017754A">
        <w:t xml:space="preserve"> 35(4): 150.e159–150.e115. DOI: 10.1016/j.urolonc.2016.11.010 (accessed 5 August 2021).</w:t>
      </w:r>
    </w:p>
    <w:p w14:paraId="55B6F6D8" w14:textId="77777777" w:rsidR="006E2EB8" w:rsidRPr="0017754A" w:rsidRDefault="006E2EB8" w:rsidP="001450B5">
      <w:pPr>
        <w:pStyle w:val="References"/>
      </w:pPr>
      <w:r w:rsidRPr="0017754A">
        <w:t xml:space="preserve">Gupta N, Bivalacqua TJ, Han M, et al. 2018. Evaluating the impact of length of time from diagnosis to surgery in patients with unfavourable intermediate-risk to very-high-risk clinically localised prostate cancer. </w:t>
      </w:r>
      <w:r w:rsidRPr="007B282B">
        <w:rPr>
          <w:i/>
        </w:rPr>
        <w:t>BJU International</w:t>
      </w:r>
      <w:r w:rsidRPr="0017754A">
        <w:t xml:space="preserve"> 124(2): 268–74. DOI: 10.1111/bju.14659 (accessed 5 August 2021).</w:t>
      </w:r>
    </w:p>
    <w:p w14:paraId="6728A0DF" w14:textId="77777777" w:rsidR="006E2EB8" w:rsidRPr="0017754A" w:rsidRDefault="006E2EB8" w:rsidP="001450B5">
      <w:pPr>
        <w:pStyle w:val="References"/>
      </w:pPr>
      <w:r w:rsidRPr="0017754A">
        <w:t xml:space="preserve">Hamdy FC, Donovan JL, Lane JA, et al. 2016. 10-year outcomes after monitoring, surgery, or radiotherapy for localized prostate cancer. </w:t>
      </w:r>
      <w:r w:rsidRPr="007B282B">
        <w:rPr>
          <w:i/>
        </w:rPr>
        <w:t>New England Journal of Medicine</w:t>
      </w:r>
      <w:r w:rsidRPr="0017754A">
        <w:t xml:space="preserve"> 375(15): 1415–24. DOI: 10.1056/NEJMoa1606220 (accessed 5 August 2021).</w:t>
      </w:r>
    </w:p>
    <w:p w14:paraId="1CB07423" w14:textId="77777777" w:rsidR="006E2EB8" w:rsidRPr="0017754A" w:rsidRDefault="006E2EB8" w:rsidP="001450B5">
      <w:pPr>
        <w:pStyle w:val="References"/>
      </w:pPr>
      <w:r w:rsidRPr="0017754A">
        <w:t xml:space="preserve">Hijazi S, Meller B, Leitsmann C, et al. 2015. Pelvic lymph node dissection for nodal oligometastatic prostate cancer detected by 68Ga-PSMA-positron emission tomography/computerized tomography. </w:t>
      </w:r>
      <w:r w:rsidRPr="007B282B">
        <w:rPr>
          <w:i/>
        </w:rPr>
        <w:t>Prostate</w:t>
      </w:r>
      <w:r w:rsidRPr="0017754A">
        <w:t xml:space="preserve"> 75(16): 1934–40. DOI: 10.1002/pros.23091 (accessed 5 August 2021).</w:t>
      </w:r>
    </w:p>
    <w:p w14:paraId="3864367C" w14:textId="77777777" w:rsidR="006E2EB8" w:rsidRPr="0017754A" w:rsidRDefault="006E2EB8" w:rsidP="001450B5">
      <w:pPr>
        <w:pStyle w:val="References"/>
      </w:pPr>
      <w:r w:rsidRPr="0017754A">
        <w:t>Kishan AU, Cook RR, Ciezki JP, et al. 2018. Radical prostatectomy, external beam radiotherapy, or external beam radiotherapy with brachytherapy boost and disease progression and mortality in patients with Gleason score 9–10 prostate cancer.</w:t>
      </w:r>
      <w:r w:rsidRPr="007B282B">
        <w:rPr>
          <w:i/>
        </w:rPr>
        <w:t xml:space="preserve"> JAMA</w:t>
      </w:r>
      <w:r w:rsidRPr="0017754A">
        <w:t xml:space="preserve"> 319(9): 896–905. DOI: 10.1001/jama.2018.0587 (accessed 5 August 2021).</w:t>
      </w:r>
    </w:p>
    <w:p w14:paraId="778B0FBB" w14:textId="77777777" w:rsidR="006E2EB8" w:rsidRPr="0017754A" w:rsidRDefault="006E2EB8" w:rsidP="001450B5">
      <w:pPr>
        <w:pStyle w:val="References"/>
      </w:pPr>
      <w:r w:rsidRPr="0017754A">
        <w:t xml:space="preserve">Kasivisvanathan V, Rannikko AS, Borghi M, et al. 2018. MRI-targeted or standard biopsy for prostate-cancer diagnosis. </w:t>
      </w:r>
      <w:r w:rsidRPr="007B282B">
        <w:rPr>
          <w:i/>
        </w:rPr>
        <w:t>New England Journal of Medicine</w:t>
      </w:r>
      <w:r w:rsidRPr="0017754A">
        <w:t xml:space="preserve"> 378(19): 1767–77. DOI: 10.1056/NEJMoa1801993 (accessed </w:t>
      </w:r>
      <w:r w:rsidR="007B282B">
        <w:t>5 August 2021).</w:t>
      </w:r>
    </w:p>
    <w:p w14:paraId="2CE76D39" w14:textId="77777777" w:rsidR="006E2EB8" w:rsidRPr="0017754A" w:rsidRDefault="006E2EB8" w:rsidP="001450B5">
      <w:pPr>
        <w:pStyle w:val="References"/>
      </w:pPr>
      <w:r w:rsidRPr="0017754A">
        <w:t xml:space="preserve">Lim R, Tarr G, Kashyap P, et al. 2018. Impact of pre-operative staging of </w:t>
      </w:r>
      <w:proofErr w:type="gramStart"/>
      <w:r w:rsidRPr="0017754A">
        <w:t>high risk</w:t>
      </w:r>
      <w:proofErr w:type="gramEnd"/>
      <w:r w:rsidRPr="0017754A">
        <w:t xml:space="preserve"> prostate cancer with PSMA PET/CT. Paper presented at the Royal Australian and New Zealand College of Radiologists New Zealand Annual Scientific Meeting, Queenstown, 2018. URL: </w:t>
      </w:r>
      <w:hyperlink r:id="rId26" w:history="1">
        <w:r w:rsidR="007B282B" w:rsidRPr="007B282B">
          <w:rPr>
            <w:rStyle w:val="Hyperlink"/>
          </w:rPr>
          <w:t>https://az659834.vo.msecnd.net/eventsairseasiaprod/production-outshine-public/c910f7b4b82b4467a3cdf7c7ea5cc972</w:t>
        </w:r>
      </w:hyperlink>
      <w:r w:rsidRPr="0017754A">
        <w:t xml:space="preserve"> (accessed 5 August 2021).</w:t>
      </w:r>
    </w:p>
    <w:p w14:paraId="4555F9F3" w14:textId="77777777" w:rsidR="006E2EB8" w:rsidRPr="0017754A" w:rsidRDefault="006E2EB8" w:rsidP="007B282B">
      <w:pPr>
        <w:pStyle w:val="References"/>
        <w:keepNext/>
      </w:pPr>
      <w:r w:rsidRPr="0017754A">
        <w:lastRenderedPageBreak/>
        <w:t xml:space="preserve">Lin C, Wan F, Lu Y, et al. 2019. Enhanced recovery after surgery protocol for prostate cancer patients undergoing laparoscopic radical prostatectomy. </w:t>
      </w:r>
      <w:r w:rsidRPr="007B282B">
        <w:rPr>
          <w:i/>
        </w:rPr>
        <w:t>Journal of International Medical Research</w:t>
      </w:r>
      <w:r w:rsidRPr="0017754A">
        <w:t xml:space="preserve"> 47(1): 114–21. DOI: 10.1177/0300060518796758 (accessed 5 August 2021).</w:t>
      </w:r>
    </w:p>
    <w:p w14:paraId="0E62BBBE" w14:textId="77777777" w:rsidR="006E2EB8" w:rsidRPr="0017754A" w:rsidRDefault="006E2EB8" w:rsidP="001450B5">
      <w:pPr>
        <w:pStyle w:val="References"/>
      </w:pPr>
      <w:r w:rsidRPr="0017754A">
        <w:t xml:space="preserve">Ministry of Health. 2019. New Zealand Cancer Action Plan 2019–2029 – Te Mahere mō te Mate Pukupuku o Aotearoa 2019–2029. Wellington: Ministry of Health. URL: </w:t>
      </w:r>
      <w:hyperlink r:id="rId27" w:history="1">
        <w:r w:rsidR="007B282B" w:rsidRPr="007B282B">
          <w:rPr>
            <w:rStyle w:val="Hyperlink"/>
          </w:rPr>
          <w:t>https://www.health.govt.nz/publication/new-zealand-cancer-action-plan-2019-2029</w:t>
        </w:r>
      </w:hyperlink>
      <w:r w:rsidRPr="0017754A">
        <w:t xml:space="preserve"> (accessed 5 August 2021).</w:t>
      </w:r>
    </w:p>
    <w:p w14:paraId="7CC9210A" w14:textId="77777777" w:rsidR="006E2EB8" w:rsidRPr="0017754A" w:rsidRDefault="006E2EB8" w:rsidP="001450B5">
      <w:pPr>
        <w:pStyle w:val="References"/>
      </w:pPr>
      <w:r w:rsidRPr="0017754A">
        <w:t xml:space="preserve">Morris MJ, Rumble B, Basch E, et al. 2018. Optimizing anticancer therapy in metastatic non-castrate prostate cancer: American Society of Clinical Oncology clinical practice guideline. </w:t>
      </w:r>
      <w:r w:rsidRPr="007B282B">
        <w:rPr>
          <w:i/>
        </w:rPr>
        <w:t>Journal of Clinical Oncology</w:t>
      </w:r>
      <w:r w:rsidRPr="0017754A">
        <w:t xml:space="preserve"> 36(15). DOI: 10.1200/JCO (accessed 5 August 2021).</w:t>
      </w:r>
    </w:p>
    <w:p w14:paraId="4B05859A" w14:textId="77777777" w:rsidR="006E2EB8" w:rsidRPr="0017754A" w:rsidRDefault="006E2EB8" w:rsidP="001450B5">
      <w:pPr>
        <w:pStyle w:val="References"/>
      </w:pPr>
      <w:r w:rsidRPr="0017754A">
        <w:t xml:space="preserve">National Institute for Health and Care Excellence. 2015. </w:t>
      </w:r>
      <w:r w:rsidRPr="007B282B">
        <w:rPr>
          <w:i/>
        </w:rPr>
        <w:t>Prostate Cancer: Quality standard</w:t>
      </w:r>
      <w:r w:rsidRPr="0017754A">
        <w:t xml:space="preserve">. URL: </w:t>
      </w:r>
      <w:hyperlink r:id="rId28" w:history="1">
        <w:r w:rsidR="007B282B" w:rsidRPr="007B282B">
          <w:rPr>
            <w:rStyle w:val="Hyperlink"/>
          </w:rPr>
          <w:t>https://www.nice.org.uk/guidance/qs91</w:t>
        </w:r>
      </w:hyperlink>
      <w:r w:rsidRPr="0017754A">
        <w:t xml:space="preserve"> (accessed 5 August 2021).</w:t>
      </w:r>
    </w:p>
    <w:p w14:paraId="2DE34049" w14:textId="77777777" w:rsidR="006E2EB8" w:rsidRPr="0017754A" w:rsidRDefault="006E2EB8" w:rsidP="001450B5">
      <w:pPr>
        <w:pStyle w:val="References"/>
      </w:pPr>
      <w:r w:rsidRPr="0017754A">
        <w:t xml:space="preserve">National Institute for Health and Care Excellence. 2019. </w:t>
      </w:r>
      <w:r w:rsidRPr="007B282B">
        <w:rPr>
          <w:i/>
        </w:rPr>
        <w:t xml:space="preserve">Prostate Cancer: diagnosis and management. Evidence </w:t>
      </w:r>
      <w:proofErr w:type="gramStart"/>
      <w:r w:rsidRPr="007B282B">
        <w:rPr>
          <w:i/>
        </w:rPr>
        <w:t>review</w:t>
      </w:r>
      <w:proofErr w:type="gramEnd"/>
      <w:r w:rsidRPr="007B282B">
        <w:rPr>
          <w:i/>
        </w:rPr>
        <w:t xml:space="preserve"> for docetaxel in people with hormone sensitive prostate cancer</w:t>
      </w:r>
      <w:r w:rsidRPr="0017754A">
        <w:t xml:space="preserve">. London: National Institute for Health and Care Excellence. URL: </w:t>
      </w:r>
      <w:hyperlink r:id="rId29" w:history="1">
        <w:r w:rsidR="007B282B" w:rsidRPr="007B282B">
          <w:rPr>
            <w:rStyle w:val="Hyperlink"/>
          </w:rPr>
          <w:t>https://www.nice.org.uk/guidance/ng131/documents/evidence-review-2</w:t>
        </w:r>
      </w:hyperlink>
      <w:r w:rsidRPr="0017754A">
        <w:t xml:space="preserve"> (accessed 5</w:t>
      </w:r>
      <w:r w:rsidR="007B282B">
        <w:t> </w:t>
      </w:r>
      <w:r w:rsidRPr="0017754A">
        <w:t>August 2021).</w:t>
      </w:r>
    </w:p>
    <w:p w14:paraId="0225F41C" w14:textId="77777777" w:rsidR="006E2EB8" w:rsidRPr="0017754A" w:rsidRDefault="006E2EB8" w:rsidP="001450B5">
      <w:pPr>
        <w:pStyle w:val="References"/>
      </w:pPr>
      <w:r w:rsidRPr="0017754A">
        <w:t xml:space="preserve">NCCN. 2020. </w:t>
      </w:r>
      <w:r w:rsidRPr="007B282B">
        <w:rPr>
          <w:i/>
        </w:rPr>
        <w:t>Prostate Cancer Diagnosis and Treatment Clinical Guideline</w:t>
      </w:r>
      <w:r w:rsidRPr="0017754A">
        <w:t xml:space="preserve">. Plymouth Meeting, PA: National Comprehensive Cancer Network. URL: </w:t>
      </w:r>
      <w:hyperlink r:id="rId30" w:history="1">
        <w:r w:rsidR="007B282B" w:rsidRPr="007B282B">
          <w:rPr>
            <w:rStyle w:val="Hyperlink"/>
          </w:rPr>
          <w:t>https://www.nccn.org/professionals/physician_gls/pdf/prostate.pdf</w:t>
        </w:r>
      </w:hyperlink>
      <w:r w:rsidRPr="0017754A">
        <w:t xml:space="preserve"> (accessed 6 August 2021).</w:t>
      </w:r>
    </w:p>
    <w:p w14:paraId="05128382" w14:textId="77777777" w:rsidR="006E2EB8" w:rsidRPr="0017754A" w:rsidRDefault="006E2EB8" w:rsidP="001450B5">
      <w:pPr>
        <w:pStyle w:val="References"/>
      </w:pPr>
      <w:r w:rsidRPr="0017754A">
        <w:t xml:space="preserve">Obertová Z, Lawrenson R, Scott N, et al. 2015. Treatment modalities for Māori and New Zealand European men with localised prostate cancer. </w:t>
      </w:r>
      <w:r w:rsidRPr="007B282B">
        <w:rPr>
          <w:i/>
        </w:rPr>
        <w:t>International Journal of Clinical Oncology</w:t>
      </w:r>
      <w:r w:rsidRPr="0017754A">
        <w:t xml:space="preserve"> 20(4): 814–20. DOI: 10.1007/s10147-014-0781-4 (accessed 5 August 2021).</w:t>
      </w:r>
    </w:p>
    <w:p w14:paraId="324BC196" w14:textId="77777777" w:rsidR="006E2EB8" w:rsidRPr="0017754A" w:rsidRDefault="006E2EB8" w:rsidP="001450B5">
      <w:pPr>
        <w:pStyle w:val="References"/>
      </w:pPr>
      <w:r w:rsidRPr="0052311C">
        <w:t xml:space="preserve">Papa N, O’Callaghan M, James E, et al. 2021. </w:t>
      </w:r>
      <w:r w:rsidRPr="007B282B">
        <w:rPr>
          <w:i/>
        </w:rPr>
        <w:t>Prostate Cancer in Australian and New Zealand Men: Patterns of care within PCOR-ANZ 2015–2018</w:t>
      </w:r>
      <w:r w:rsidRPr="0052311C">
        <w:t>. Melbourne:</w:t>
      </w:r>
      <w:r>
        <w:t xml:space="preserve"> Monash University &amp; Movember; March 2021. URL: </w:t>
      </w:r>
      <w:hyperlink r:id="rId31" w:history="1">
        <w:r w:rsidR="007B282B" w:rsidRPr="007B282B">
          <w:rPr>
            <w:rStyle w:val="Hyperlink"/>
          </w:rPr>
          <w:t>https://prostatecancerregistry.org/publications/annual-reports/</w:t>
        </w:r>
      </w:hyperlink>
      <w:r>
        <w:t xml:space="preserve"> (accessed 5 August 2021).</w:t>
      </w:r>
    </w:p>
    <w:p w14:paraId="1F4E5A2C" w14:textId="77777777" w:rsidR="006E2EB8" w:rsidRDefault="006E2EB8" w:rsidP="001450B5">
      <w:pPr>
        <w:pStyle w:val="References"/>
      </w:pPr>
      <w:r w:rsidRPr="0017754A">
        <w:t xml:space="preserve">Ploussard G, Agamy MA, Alenda O, et al. 2011. Impact of positive surgical margins on prostate-specific antigen failure after radical prostatectomy in adjuvant treatment – naive patients. </w:t>
      </w:r>
      <w:r w:rsidRPr="007B282B">
        <w:rPr>
          <w:i/>
        </w:rPr>
        <w:t>BJU International</w:t>
      </w:r>
      <w:r w:rsidRPr="0017754A">
        <w:t xml:space="preserve"> 107(11): 1748–54. DOI: 10.1111/j.1464-410X.</w:t>
      </w:r>
      <w:proofErr w:type="gramStart"/>
      <w:r w:rsidRPr="0017754A">
        <w:t>2010.09728.x</w:t>
      </w:r>
      <w:proofErr w:type="gramEnd"/>
      <w:r w:rsidRPr="0017754A">
        <w:t xml:space="preserve"> (accessed 6 August 2021).</w:t>
      </w:r>
    </w:p>
    <w:p w14:paraId="1BE6078A" w14:textId="77777777" w:rsidR="006E2EB8" w:rsidRPr="00ED4E0A" w:rsidRDefault="006E2EB8" w:rsidP="001450B5">
      <w:pPr>
        <w:pStyle w:val="References"/>
      </w:pPr>
      <w:r w:rsidRPr="00ED4E0A">
        <w:rPr>
          <w:iCs/>
        </w:rPr>
        <w:t>Prostate Cancer Taskforce. 2012.</w:t>
      </w:r>
      <w:r w:rsidRPr="00ED4E0A">
        <w:rPr>
          <w:i/>
        </w:rPr>
        <w:t xml:space="preserve"> </w:t>
      </w:r>
      <w:r w:rsidRPr="007B282B">
        <w:rPr>
          <w:i/>
          <w:iCs/>
        </w:rPr>
        <w:t>Diagnosis and Management of Prostate Cancer in New Zealand Men: Recommendations from the Prostate Cancer Taskforce</w:t>
      </w:r>
      <w:r w:rsidRPr="00444D2F">
        <w:rPr>
          <w:iCs/>
        </w:rPr>
        <w:t>.</w:t>
      </w:r>
      <w:r w:rsidRPr="00ED4E0A">
        <w:rPr>
          <w:iCs/>
        </w:rPr>
        <w:t xml:space="preserve"> Wellington: Ministry of Health. URL: </w:t>
      </w:r>
      <w:hyperlink r:id="rId32" w:history="1">
        <w:r w:rsidR="007B282B" w:rsidRPr="007B282B">
          <w:rPr>
            <w:rStyle w:val="Hyperlink"/>
            <w:iCs/>
          </w:rPr>
          <w:t>https://www.health.govt.nz/publication/diagnosis-and-management-prostate-cancer-new-zealand-men-recommendations-prostate-cancer-taskforce</w:t>
        </w:r>
      </w:hyperlink>
      <w:r w:rsidRPr="00ED4E0A">
        <w:rPr>
          <w:iCs/>
        </w:rPr>
        <w:t xml:space="preserve"> (accessed 5 August 2021).</w:t>
      </w:r>
    </w:p>
    <w:p w14:paraId="62BC0825" w14:textId="77777777" w:rsidR="006E2EB8" w:rsidRPr="0017754A" w:rsidRDefault="006E2EB8" w:rsidP="001450B5">
      <w:pPr>
        <w:pStyle w:val="References"/>
      </w:pPr>
      <w:r w:rsidRPr="0017754A">
        <w:t>Roach PJ, Francis R, Emmett L, et al. 2018. The impact of (68)</w:t>
      </w:r>
      <w:r>
        <w:t xml:space="preserve"> </w:t>
      </w:r>
      <w:r w:rsidRPr="0017754A">
        <w:t xml:space="preserve">Ga-PSMA PET/CT on management intent in prostate cancer: results of an Australian prospective multicenter study. </w:t>
      </w:r>
      <w:r w:rsidR="007B282B" w:rsidRPr="007B282B">
        <w:rPr>
          <w:i/>
        </w:rPr>
        <w:t>Journal of Nuclear Medicine</w:t>
      </w:r>
      <w:r w:rsidRPr="0017754A">
        <w:t xml:space="preserve"> 59(1): 82–8. DOI: 10.2967/jnumed.117.197160 (accessed 5</w:t>
      </w:r>
      <w:r w:rsidR="007B282B">
        <w:t> </w:t>
      </w:r>
      <w:r w:rsidRPr="0017754A">
        <w:t>August 2021).</w:t>
      </w:r>
    </w:p>
    <w:p w14:paraId="62914ED1" w14:textId="77777777" w:rsidR="006E2EB8" w:rsidRPr="0017754A" w:rsidRDefault="006E2EB8" w:rsidP="007B282B">
      <w:pPr>
        <w:pStyle w:val="References"/>
        <w:keepNext/>
      </w:pPr>
      <w:r w:rsidRPr="0017754A">
        <w:lastRenderedPageBreak/>
        <w:t xml:space="preserve">Tempany C, Carrol P, Leapman M. 2018. The role of magnetic resonance imaging in prostate cancer. </w:t>
      </w:r>
      <w:r w:rsidRPr="007B282B">
        <w:rPr>
          <w:i/>
        </w:rPr>
        <w:t>UpToDate</w:t>
      </w:r>
      <w:r w:rsidRPr="0017754A">
        <w:t xml:space="preserve">. URL: </w:t>
      </w:r>
      <w:hyperlink r:id="rId33" w:history="1">
        <w:r w:rsidR="007B282B" w:rsidRPr="007B282B">
          <w:rPr>
            <w:rStyle w:val="Hyperlink"/>
          </w:rPr>
          <w:t>https://www.uptodate.com/contents/the-role-of-magnetic-resonance-imaging-in-prostate-cancer</w:t>
        </w:r>
      </w:hyperlink>
      <w:r w:rsidRPr="0017754A">
        <w:t xml:space="preserve"> (accessed 5 August 2021).</w:t>
      </w:r>
    </w:p>
    <w:p w14:paraId="7B898223" w14:textId="77777777" w:rsidR="006E2EB8" w:rsidRPr="0017754A" w:rsidRDefault="006E2EB8" w:rsidP="001450B5">
      <w:pPr>
        <w:pStyle w:val="References"/>
      </w:pPr>
      <w:r w:rsidRPr="0017754A">
        <w:t xml:space="preserve">United States Preventive Services Task Force, Grossman DC, Curry SJ, et al. 2018. Screening for prostate cancer: US Preventive Services Task Force recommendation statement. </w:t>
      </w:r>
      <w:r w:rsidRPr="007B282B">
        <w:rPr>
          <w:i/>
        </w:rPr>
        <w:t>JAMA</w:t>
      </w:r>
      <w:r w:rsidRPr="0017754A">
        <w:t xml:space="preserve"> 319(18): 1901–13. DOI: 10.1001/jama.2018.3710 (accessed 6 August 2021).</w:t>
      </w:r>
    </w:p>
    <w:p w14:paraId="65526D3A" w14:textId="77777777" w:rsidR="006E2EB8" w:rsidRPr="0017754A" w:rsidRDefault="006E2EB8" w:rsidP="001450B5">
      <w:pPr>
        <w:pStyle w:val="References"/>
      </w:pPr>
      <w:r w:rsidRPr="0017754A">
        <w:t xml:space="preserve">Watts S, Leydon G, Birch B, et al. 2014. Depression and anxiety in prostate cancer: a systematic review and meta-analysis of prevalence rates. </w:t>
      </w:r>
      <w:r w:rsidRPr="007B282B">
        <w:rPr>
          <w:i/>
        </w:rPr>
        <w:t>BMJ Open</w:t>
      </w:r>
      <w:r w:rsidRPr="0017754A">
        <w:t xml:space="preserve"> 4(3): e003901. DOI: 10.1136/bmjopen-2013-003901 (accessed 5 August 2021).</w:t>
      </w:r>
    </w:p>
    <w:p w14:paraId="2635354B" w14:textId="77777777" w:rsidR="006E2EB8" w:rsidRPr="00C71161" w:rsidRDefault="006E2EB8" w:rsidP="001450B5">
      <w:pPr>
        <w:pStyle w:val="References"/>
      </w:pPr>
      <w:r w:rsidRPr="0017754A">
        <w:t xml:space="preserve">Wright J, Dalkin BL, True LD, et al. 2010. Positive surgical margins at radical prostatectomy predict prostate cancer specific mortality. </w:t>
      </w:r>
      <w:r w:rsidRPr="007B282B">
        <w:rPr>
          <w:i/>
        </w:rPr>
        <w:t>Journal of Urology</w:t>
      </w:r>
      <w:r w:rsidR="007B282B">
        <w:br/>
      </w:r>
      <w:r w:rsidRPr="0017754A">
        <w:t>183(6):</w:t>
      </w:r>
      <w:r w:rsidR="007B282B">
        <w:t> </w:t>
      </w:r>
      <w:r w:rsidRPr="0017754A">
        <w:t>2213–18. DOI: 10.1016/j.juro.2010.02.017 (accessed 5 August 2021).</w:t>
      </w:r>
      <w:r w:rsidRPr="00C71161">
        <w:fldChar w:fldCharType="begin"/>
      </w:r>
      <w:r w:rsidRPr="00C71161">
        <w:instrText xml:space="preserve"> ADDIN EN.REFLIST </w:instrText>
      </w:r>
      <w:r w:rsidRPr="00C71161">
        <w:fldChar w:fldCharType="end"/>
      </w:r>
    </w:p>
    <w:p w14:paraId="624A5550" w14:textId="77777777" w:rsidR="00A23E54" w:rsidRDefault="00A23E54" w:rsidP="007C278F"/>
    <w:sectPr w:rsidR="00A23E54" w:rsidSect="002B7BEC">
      <w:footerReference w:type="even" r:id="rId34"/>
      <w:footerReference w:type="default" r:id="rId35"/>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91C4B" w14:textId="77777777" w:rsidR="00955EE3" w:rsidRDefault="00955EE3">
      <w:r>
        <w:separator/>
      </w:r>
    </w:p>
    <w:p w14:paraId="10DF40B1" w14:textId="77777777" w:rsidR="00955EE3" w:rsidRDefault="00955EE3"/>
  </w:endnote>
  <w:endnote w:type="continuationSeparator" w:id="0">
    <w:p w14:paraId="1C443AA6" w14:textId="77777777" w:rsidR="00955EE3" w:rsidRDefault="00955EE3">
      <w:r>
        <w:continuationSeparator/>
      </w:r>
    </w:p>
    <w:p w14:paraId="008AB48C" w14:textId="77777777" w:rsidR="00955EE3" w:rsidRDefault="0095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E65A4" w14:textId="77777777" w:rsidR="006E2EB8" w:rsidRPr="005A79E5" w:rsidRDefault="006E2EB8" w:rsidP="00CC6EA4">
    <w:pPr>
      <w:pStyle w:val="Footer"/>
      <w:pBdr>
        <w:bottom w:val="single" w:sz="4" w:space="1" w:color="auto"/>
      </w:pBdr>
      <w:tabs>
        <w:tab w:val="right" w:pos="9639"/>
      </w:tabs>
      <w:rPr>
        <w:sz w:val="2"/>
        <w:szCs w:val="2"/>
      </w:rPr>
    </w:pPr>
    <w:r w:rsidRPr="005718A6">
      <w:t>Released 20</w:t>
    </w:r>
    <w:r>
      <w:t>21</w:t>
    </w:r>
    <w:r w:rsidRPr="005718A6">
      <w:tab/>
    </w:r>
    <w:hyperlink r:id="rId1" w:history="1">
      <w:r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0E5E" w14:textId="77777777" w:rsidR="006E2EB8" w:rsidRDefault="006E2EB8"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FA5C" w14:textId="77777777" w:rsidR="006E2EB8" w:rsidRDefault="006E2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080"/>
      <w:gridCol w:w="992"/>
    </w:tblGrid>
    <w:tr w:rsidR="006E2EB8" w14:paraId="7996E93E" w14:textId="77777777" w:rsidTr="00852C5D">
      <w:trPr>
        <w:cantSplit/>
      </w:trPr>
      <w:tc>
        <w:tcPr>
          <w:tcW w:w="675" w:type="dxa"/>
          <w:vAlign w:val="center"/>
        </w:tcPr>
        <w:p w14:paraId="142E76C1" w14:textId="77777777" w:rsidR="006E2EB8" w:rsidRPr="00931466" w:rsidRDefault="006E2EB8" w:rsidP="00C621D9">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558E7F16" w14:textId="77777777" w:rsidR="006E2EB8" w:rsidRDefault="006E2EB8" w:rsidP="00C621D9">
          <w:pPr>
            <w:pStyle w:val="RectoFooter"/>
            <w:ind w:left="-108"/>
          </w:pPr>
          <w:r>
            <w:t>[title]: [subhead]</w:t>
          </w:r>
        </w:p>
      </w:tc>
      <w:tc>
        <w:tcPr>
          <w:tcW w:w="992" w:type="dxa"/>
          <w:vAlign w:val="center"/>
        </w:tcPr>
        <w:p w14:paraId="56AE58F1" w14:textId="77777777" w:rsidR="006E2EB8" w:rsidRDefault="006E2EB8" w:rsidP="00C621D9">
          <w:pPr>
            <w:pStyle w:val="RectoFooter"/>
            <w:ind w:left="-108"/>
          </w:pPr>
          <w:r>
            <w:rPr>
              <w:noProof/>
              <w:lang w:eastAsia="en-NZ"/>
            </w:rPr>
            <w:drawing>
              <wp:inline distT="0" distB="0" distL="0" distR="0" wp14:anchorId="06DB23C7" wp14:editId="556CD8E3">
                <wp:extent cx="373711" cy="414082"/>
                <wp:effectExtent l="0" t="0" r="762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2D7EEB9B" w14:textId="77777777" w:rsidR="006E2EB8" w:rsidRPr="00571223" w:rsidRDefault="006E2EB8"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6E2EB8" w14:paraId="2CECF047" w14:textId="77777777" w:rsidTr="00B13C0B">
      <w:trPr>
        <w:cantSplit/>
      </w:trPr>
      <w:tc>
        <w:tcPr>
          <w:tcW w:w="709" w:type="dxa"/>
          <w:vAlign w:val="center"/>
        </w:tcPr>
        <w:p w14:paraId="122057EE" w14:textId="77777777" w:rsidR="006E2EB8" w:rsidRDefault="006E2EB8" w:rsidP="00120C4C">
          <w:pPr>
            <w:pStyle w:val="RectoFooter"/>
            <w:spacing w:before="120"/>
            <w:jc w:val="left"/>
          </w:pPr>
          <w:r>
            <w:rPr>
              <w:noProof/>
              <w:lang w:eastAsia="en-NZ"/>
            </w:rPr>
            <w:drawing>
              <wp:inline distT="0" distB="0" distL="0" distR="0" wp14:anchorId="126B15CB" wp14:editId="4FED15DE">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7DD9FF3A" w14:textId="77777777" w:rsidR="006E2EB8" w:rsidRDefault="006E2EB8" w:rsidP="00A23E54">
          <w:pPr>
            <w:pStyle w:val="RectoFooter"/>
            <w:spacing w:before="120"/>
            <w:jc w:val="left"/>
          </w:pPr>
          <w:r w:rsidRPr="00A23E54">
            <w:t>Prostate Cancer Quality Performance Indicators: Descriptions</w:t>
          </w:r>
        </w:p>
      </w:tc>
      <w:tc>
        <w:tcPr>
          <w:tcW w:w="709" w:type="dxa"/>
          <w:vAlign w:val="center"/>
        </w:tcPr>
        <w:p w14:paraId="2F2155FF" w14:textId="77777777" w:rsidR="006E2EB8" w:rsidRPr="00931466" w:rsidRDefault="006E2EB8"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A70ED">
            <w:rPr>
              <w:rStyle w:val="PageNumber"/>
              <w:noProof/>
            </w:rPr>
            <w:t>iii</w:t>
          </w:r>
          <w:r w:rsidRPr="00931466">
            <w:rPr>
              <w:rStyle w:val="PageNumber"/>
            </w:rPr>
            <w:fldChar w:fldCharType="end"/>
          </w:r>
        </w:p>
      </w:tc>
    </w:tr>
  </w:tbl>
  <w:p w14:paraId="18CAA910" w14:textId="77777777" w:rsidR="006E2EB8" w:rsidRPr="00581EB8" w:rsidRDefault="006E2EB8"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222"/>
      <w:gridCol w:w="850"/>
    </w:tblGrid>
    <w:tr w:rsidR="006E2EB8" w14:paraId="0E3FBAB1" w14:textId="77777777" w:rsidTr="00B13C0B">
      <w:trPr>
        <w:cantSplit/>
      </w:trPr>
      <w:tc>
        <w:tcPr>
          <w:tcW w:w="675" w:type="dxa"/>
          <w:vAlign w:val="center"/>
        </w:tcPr>
        <w:p w14:paraId="5E3E3FBD" w14:textId="77777777" w:rsidR="006E2EB8" w:rsidRPr="00931466" w:rsidRDefault="006E2EB8"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A70ED">
            <w:rPr>
              <w:rStyle w:val="PageNumber"/>
              <w:noProof/>
            </w:rPr>
            <w:t>26</w:t>
          </w:r>
          <w:r w:rsidRPr="00931466">
            <w:rPr>
              <w:rStyle w:val="PageNumber"/>
            </w:rPr>
            <w:fldChar w:fldCharType="end"/>
          </w:r>
        </w:p>
      </w:tc>
      <w:tc>
        <w:tcPr>
          <w:tcW w:w="8222" w:type="dxa"/>
          <w:vAlign w:val="center"/>
        </w:tcPr>
        <w:p w14:paraId="15201366" w14:textId="77777777" w:rsidR="006E2EB8" w:rsidRDefault="006E2EB8" w:rsidP="00A23E54">
          <w:pPr>
            <w:pStyle w:val="RectoFooter"/>
            <w:spacing w:before="120"/>
            <w:ind w:left="-108"/>
          </w:pPr>
          <w:r w:rsidRPr="00A23E54">
            <w:t>Prostate Cancer Quality Performance Indicators: Descriptions</w:t>
          </w:r>
        </w:p>
      </w:tc>
      <w:tc>
        <w:tcPr>
          <w:tcW w:w="850" w:type="dxa"/>
          <w:vAlign w:val="center"/>
        </w:tcPr>
        <w:p w14:paraId="0A94EC73" w14:textId="77777777" w:rsidR="006E2EB8" w:rsidRDefault="006E2EB8" w:rsidP="00120C4C">
          <w:pPr>
            <w:pStyle w:val="RectoFooter"/>
            <w:spacing w:before="120"/>
            <w:ind w:left="-108"/>
          </w:pPr>
          <w:r>
            <w:rPr>
              <w:noProof/>
              <w:lang w:eastAsia="en-NZ"/>
            </w:rPr>
            <w:drawing>
              <wp:inline distT="0" distB="0" distL="0" distR="0" wp14:anchorId="0EDFE88A" wp14:editId="65CC7A58">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DE9D3A5" w14:textId="77777777" w:rsidR="006E2EB8" w:rsidRPr="00571223" w:rsidRDefault="006E2EB8"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6E2EB8" w14:paraId="1AA7316A" w14:textId="77777777" w:rsidTr="00B13C0B">
      <w:trPr>
        <w:cantSplit/>
      </w:trPr>
      <w:tc>
        <w:tcPr>
          <w:tcW w:w="709" w:type="dxa"/>
          <w:vAlign w:val="center"/>
        </w:tcPr>
        <w:p w14:paraId="3531E5A4" w14:textId="77777777" w:rsidR="006E2EB8" w:rsidRDefault="006E2EB8" w:rsidP="00120C4C">
          <w:pPr>
            <w:pStyle w:val="RectoFooter"/>
            <w:spacing w:before="120"/>
            <w:jc w:val="left"/>
          </w:pPr>
          <w:r>
            <w:rPr>
              <w:noProof/>
              <w:lang w:eastAsia="en-NZ"/>
            </w:rPr>
            <w:drawing>
              <wp:inline distT="0" distB="0" distL="0" distR="0" wp14:anchorId="7F3E11A6" wp14:editId="707E634C">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564393C7" w14:textId="77777777" w:rsidR="006E2EB8" w:rsidRDefault="006E2EB8" w:rsidP="00A23E54">
          <w:pPr>
            <w:pStyle w:val="RectoFooter"/>
            <w:spacing w:before="120"/>
            <w:jc w:val="left"/>
          </w:pPr>
          <w:r w:rsidRPr="00A23E54">
            <w:t>Prostate Cancer Quality Performance Indicators: Descriptions</w:t>
          </w:r>
        </w:p>
      </w:tc>
      <w:tc>
        <w:tcPr>
          <w:tcW w:w="709" w:type="dxa"/>
          <w:vAlign w:val="center"/>
        </w:tcPr>
        <w:p w14:paraId="798912E7" w14:textId="77777777" w:rsidR="006E2EB8" w:rsidRPr="00931466" w:rsidRDefault="006E2EB8"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1A70ED">
            <w:rPr>
              <w:rStyle w:val="PageNumber"/>
              <w:noProof/>
            </w:rPr>
            <w:t>27</w:t>
          </w:r>
          <w:r w:rsidRPr="00931466">
            <w:rPr>
              <w:rStyle w:val="PageNumber"/>
            </w:rPr>
            <w:fldChar w:fldCharType="end"/>
          </w:r>
        </w:p>
      </w:tc>
    </w:tr>
  </w:tbl>
  <w:p w14:paraId="1B1F6EFA" w14:textId="77777777" w:rsidR="006E2EB8" w:rsidRPr="00581EB8" w:rsidRDefault="006E2EB8"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39F9" w14:textId="77777777" w:rsidR="00955EE3" w:rsidRPr="00A26E6B" w:rsidRDefault="00955EE3" w:rsidP="00A26E6B"/>
  </w:footnote>
  <w:footnote w:type="continuationSeparator" w:id="0">
    <w:p w14:paraId="3A777BB3" w14:textId="77777777" w:rsidR="00955EE3" w:rsidRDefault="00955EE3">
      <w:r>
        <w:continuationSeparator/>
      </w:r>
    </w:p>
    <w:p w14:paraId="14D16563" w14:textId="77777777" w:rsidR="00955EE3" w:rsidRDefault="00955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10"/>
      <w:gridCol w:w="4429"/>
    </w:tblGrid>
    <w:tr w:rsidR="006E2EB8" w14:paraId="51024F68" w14:textId="77777777" w:rsidTr="005A79E5">
      <w:trPr>
        <w:cantSplit/>
      </w:trPr>
      <w:tc>
        <w:tcPr>
          <w:tcW w:w="5210" w:type="dxa"/>
        </w:tcPr>
        <w:p w14:paraId="79C6AF74" w14:textId="77777777" w:rsidR="006E2EB8" w:rsidRDefault="006E2EB8" w:rsidP="008814E8">
          <w:pPr>
            <w:pStyle w:val="Header"/>
          </w:pPr>
          <w:r>
            <w:rPr>
              <w:noProof/>
              <w:lang w:eastAsia="en-NZ"/>
            </w:rPr>
            <w:drawing>
              <wp:inline distT="0" distB="0" distL="0" distR="0" wp14:anchorId="58852AF7" wp14:editId="51E42716">
                <wp:extent cx="1396538" cy="650613"/>
                <wp:effectExtent l="0" t="0" r="0" b="0"/>
                <wp:docPr id="1" name="Picture 1" descr="Te Aho o Te K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 Aho o Te Kahu"/>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5645DB7E" w14:textId="77777777" w:rsidR="006E2EB8" w:rsidRDefault="006E2EB8" w:rsidP="008814E8">
          <w:pPr>
            <w:pStyle w:val="Header"/>
            <w:jc w:val="right"/>
          </w:pPr>
          <w:r>
            <w:rPr>
              <w:noProof/>
              <w:lang w:eastAsia="en-NZ"/>
            </w:rPr>
            <w:drawing>
              <wp:inline distT="0" distB="0" distL="0" distR="0" wp14:anchorId="094D7956" wp14:editId="60D0ED98">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ew Zealand Government logo"/>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60AD326E" w14:textId="77777777" w:rsidR="006E2EB8" w:rsidRPr="005718A6" w:rsidRDefault="006E2EB8">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19D7" w14:textId="77777777" w:rsidR="006E2EB8" w:rsidRDefault="006E2EB8"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313D" w14:textId="77777777" w:rsidR="006E2EB8" w:rsidRDefault="006E2EB8"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C7"/>
    <w:multiLevelType w:val="multilevel"/>
    <w:tmpl w:val="7A1E5B0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11702D12"/>
    <w:multiLevelType w:val="hybridMultilevel"/>
    <w:tmpl w:val="6EF4197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370102"/>
    <w:multiLevelType w:val="hybridMultilevel"/>
    <w:tmpl w:val="E796030E"/>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63A65D3"/>
    <w:multiLevelType w:val="hybridMultilevel"/>
    <w:tmpl w:val="47947A6C"/>
    <w:lvl w:ilvl="0" w:tplc="B36A5834">
      <w:start w:val="1"/>
      <w:numFmt w:val="upperLetter"/>
      <w:lvlText w:val="%1."/>
      <w:lvlJc w:val="left"/>
      <w:pPr>
        <w:ind w:left="720" w:hanging="360"/>
      </w:pPr>
      <w:rPr>
        <w:rFonts w:ascii="Segoe UI" w:hAnsi="Segoe U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DF1E2C"/>
    <w:multiLevelType w:val="hybridMultilevel"/>
    <w:tmpl w:val="6E00533A"/>
    <w:lvl w:ilvl="0" w:tplc="14090015">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2BE707B"/>
    <w:multiLevelType w:val="hybridMultilevel"/>
    <w:tmpl w:val="DB004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51DAA"/>
    <w:multiLevelType w:val="hybridMultilevel"/>
    <w:tmpl w:val="7854CBA6"/>
    <w:lvl w:ilvl="0" w:tplc="3244D1D4">
      <w:start w:val="1"/>
      <w:numFmt w:val="bullet"/>
      <w:lvlText w:val=""/>
      <w:lvlJc w:val="left"/>
      <w:pPr>
        <w:tabs>
          <w:tab w:val="num" w:pos="720"/>
        </w:tabs>
        <w:ind w:left="720" w:hanging="360"/>
      </w:pPr>
      <w:rPr>
        <w:rFonts w:ascii="Symbol" w:hAnsi="Symbol" w:hint="default"/>
      </w:rPr>
    </w:lvl>
    <w:lvl w:ilvl="1" w:tplc="4F48CCCE" w:tentative="1">
      <w:start w:val="1"/>
      <w:numFmt w:val="bullet"/>
      <w:lvlText w:val=""/>
      <w:lvlJc w:val="left"/>
      <w:pPr>
        <w:tabs>
          <w:tab w:val="num" w:pos="1440"/>
        </w:tabs>
        <w:ind w:left="1440" w:hanging="360"/>
      </w:pPr>
      <w:rPr>
        <w:rFonts w:ascii="Symbol" w:hAnsi="Symbol" w:hint="default"/>
      </w:rPr>
    </w:lvl>
    <w:lvl w:ilvl="2" w:tplc="9BF23852" w:tentative="1">
      <w:start w:val="1"/>
      <w:numFmt w:val="bullet"/>
      <w:lvlText w:val=""/>
      <w:lvlJc w:val="left"/>
      <w:pPr>
        <w:tabs>
          <w:tab w:val="num" w:pos="2160"/>
        </w:tabs>
        <w:ind w:left="2160" w:hanging="360"/>
      </w:pPr>
      <w:rPr>
        <w:rFonts w:ascii="Symbol" w:hAnsi="Symbol" w:hint="default"/>
      </w:rPr>
    </w:lvl>
    <w:lvl w:ilvl="3" w:tplc="269C91C8" w:tentative="1">
      <w:start w:val="1"/>
      <w:numFmt w:val="bullet"/>
      <w:lvlText w:val=""/>
      <w:lvlJc w:val="left"/>
      <w:pPr>
        <w:tabs>
          <w:tab w:val="num" w:pos="2880"/>
        </w:tabs>
        <w:ind w:left="2880" w:hanging="360"/>
      </w:pPr>
      <w:rPr>
        <w:rFonts w:ascii="Symbol" w:hAnsi="Symbol" w:hint="default"/>
      </w:rPr>
    </w:lvl>
    <w:lvl w:ilvl="4" w:tplc="2FE02814" w:tentative="1">
      <w:start w:val="1"/>
      <w:numFmt w:val="bullet"/>
      <w:lvlText w:val=""/>
      <w:lvlJc w:val="left"/>
      <w:pPr>
        <w:tabs>
          <w:tab w:val="num" w:pos="3600"/>
        </w:tabs>
        <w:ind w:left="3600" w:hanging="360"/>
      </w:pPr>
      <w:rPr>
        <w:rFonts w:ascii="Symbol" w:hAnsi="Symbol" w:hint="default"/>
      </w:rPr>
    </w:lvl>
    <w:lvl w:ilvl="5" w:tplc="DFEE321A" w:tentative="1">
      <w:start w:val="1"/>
      <w:numFmt w:val="bullet"/>
      <w:lvlText w:val=""/>
      <w:lvlJc w:val="left"/>
      <w:pPr>
        <w:tabs>
          <w:tab w:val="num" w:pos="4320"/>
        </w:tabs>
        <w:ind w:left="4320" w:hanging="360"/>
      </w:pPr>
      <w:rPr>
        <w:rFonts w:ascii="Symbol" w:hAnsi="Symbol" w:hint="default"/>
      </w:rPr>
    </w:lvl>
    <w:lvl w:ilvl="6" w:tplc="9F203170" w:tentative="1">
      <w:start w:val="1"/>
      <w:numFmt w:val="bullet"/>
      <w:lvlText w:val=""/>
      <w:lvlJc w:val="left"/>
      <w:pPr>
        <w:tabs>
          <w:tab w:val="num" w:pos="5040"/>
        </w:tabs>
        <w:ind w:left="5040" w:hanging="360"/>
      </w:pPr>
      <w:rPr>
        <w:rFonts w:ascii="Symbol" w:hAnsi="Symbol" w:hint="default"/>
      </w:rPr>
    </w:lvl>
    <w:lvl w:ilvl="7" w:tplc="FE082C44" w:tentative="1">
      <w:start w:val="1"/>
      <w:numFmt w:val="bullet"/>
      <w:lvlText w:val=""/>
      <w:lvlJc w:val="left"/>
      <w:pPr>
        <w:tabs>
          <w:tab w:val="num" w:pos="5760"/>
        </w:tabs>
        <w:ind w:left="5760" w:hanging="360"/>
      </w:pPr>
      <w:rPr>
        <w:rFonts w:ascii="Symbol" w:hAnsi="Symbol" w:hint="default"/>
      </w:rPr>
    </w:lvl>
    <w:lvl w:ilvl="8" w:tplc="82F6A4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D92141"/>
    <w:multiLevelType w:val="hybridMultilevel"/>
    <w:tmpl w:val="E3E8D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3B721CE"/>
    <w:multiLevelType w:val="hybridMultilevel"/>
    <w:tmpl w:val="39D86952"/>
    <w:lvl w:ilvl="0" w:tplc="14090015">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4C52056"/>
    <w:multiLevelType w:val="hybridMultilevel"/>
    <w:tmpl w:val="F1CCAA2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abstractNum w:abstractNumId="14" w15:restartNumberingAfterBreak="0">
    <w:nsid w:val="7E1E12CB"/>
    <w:multiLevelType w:val="hybridMultilevel"/>
    <w:tmpl w:val="602AA670"/>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
  </w:num>
  <w:num w:numId="5">
    <w:abstractNumId w:val="0"/>
  </w:num>
  <w:num w:numId="6">
    <w:abstractNumId w:val="6"/>
  </w:num>
  <w:num w:numId="7">
    <w:abstractNumId w:val="10"/>
  </w:num>
  <w:num w:numId="8">
    <w:abstractNumId w:val="14"/>
  </w:num>
  <w:num w:numId="9">
    <w:abstractNumId w:val="2"/>
  </w:num>
  <w:num w:numId="10">
    <w:abstractNumId w:val="11"/>
  </w:num>
  <w:num w:numId="11">
    <w:abstractNumId w:val="9"/>
  </w:num>
  <w:num w:numId="12">
    <w:abstractNumId w:val="12"/>
  </w:num>
  <w:num w:numId="13">
    <w:abstractNumId w:val="3"/>
  </w:num>
  <w:num w:numId="14">
    <w:abstractNumId w:val="5"/>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8EB"/>
    <w:rsid w:val="000025B8"/>
    <w:rsid w:val="00005BB5"/>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1DD"/>
    <w:rsid w:val="000A373D"/>
    <w:rsid w:val="000A41ED"/>
    <w:rsid w:val="000B0730"/>
    <w:rsid w:val="000B70EC"/>
    <w:rsid w:val="000C3DEC"/>
    <w:rsid w:val="000D19F4"/>
    <w:rsid w:val="000D58DD"/>
    <w:rsid w:val="000E0BD4"/>
    <w:rsid w:val="000E6545"/>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50B5"/>
    <w:rsid w:val="001460E0"/>
    <w:rsid w:val="001472F0"/>
    <w:rsid w:val="00147F71"/>
    <w:rsid w:val="00150A6E"/>
    <w:rsid w:val="00160810"/>
    <w:rsid w:val="0016304B"/>
    <w:rsid w:val="0016318F"/>
    <w:rsid w:val="0016468A"/>
    <w:rsid w:val="0017070E"/>
    <w:rsid w:val="00174F02"/>
    <w:rsid w:val="0018376C"/>
    <w:rsid w:val="0018662D"/>
    <w:rsid w:val="00197427"/>
    <w:rsid w:val="001A21B4"/>
    <w:rsid w:val="001A5CF5"/>
    <w:rsid w:val="001A70ED"/>
    <w:rsid w:val="001B1FC5"/>
    <w:rsid w:val="001B39D2"/>
    <w:rsid w:val="001B4BF8"/>
    <w:rsid w:val="001B7B14"/>
    <w:rsid w:val="001C316E"/>
    <w:rsid w:val="001C4326"/>
    <w:rsid w:val="001C665E"/>
    <w:rsid w:val="001D3541"/>
    <w:rsid w:val="001D3E4E"/>
    <w:rsid w:val="001E254A"/>
    <w:rsid w:val="001E6BC3"/>
    <w:rsid w:val="001E7386"/>
    <w:rsid w:val="001F45A7"/>
    <w:rsid w:val="001F5E27"/>
    <w:rsid w:val="0020027C"/>
    <w:rsid w:val="00200906"/>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75D08"/>
    <w:rsid w:val="002839AF"/>
    <w:rsid w:val="00285080"/>
    <w:rsid w:val="002858E3"/>
    <w:rsid w:val="0029190A"/>
    <w:rsid w:val="00292C5A"/>
    <w:rsid w:val="00295241"/>
    <w:rsid w:val="002967E7"/>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06AA4"/>
    <w:rsid w:val="003160E7"/>
    <w:rsid w:val="0031739E"/>
    <w:rsid w:val="00317DA3"/>
    <w:rsid w:val="00321381"/>
    <w:rsid w:val="003235C6"/>
    <w:rsid w:val="003309CA"/>
    <w:rsid w:val="003325AB"/>
    <w:rsid w:val="003332D1"/>
    <w:rsid w:val="0033412B"/>
    <w:rsid w:val="0033448B"/>
    <w:rsid w:val="00341161"/>
    <w:rsid w:val="00343365"/>
    <w:rsid w:val="003445F4"/>
    <w:rsid w:val="00347962"/>
    <w:rsid w:val="00353501"/>
    <w:rsid w:val="00353734"/>
    <w:rsid w:val="003538D4"/>
    <w:rsid w:val="003606F8"/>
    <w:rsid w:val="003648EF"/>
    <w:rsid w:val="003673E6"/>
    <w:rsid w:val="00377264"/>
    <w:rsid w:val="003779D2"/>
    <w:rsid w:val="00385E38"/>
    <w:rsid w:val="003952F9"/>
    <w:rsid w:val="003A26A5"/>
    <w:rsid w:val="003A3761"/>
    <w:rsid w:val="003A512D"/>
    <w:rsid w:val="003A5FEA"/>
    <w:rsid w:val="003A710B"/>
    <w:rsid w:val="003B1D10"/>
    <w:rsid w:val="003B4FE1"/>
    <w:rsid w:val="003C310C"/>
    <w:rsid w:val="003C76D4"/>
    <w:rsid w:val="003D137D"/>
    <w:rsid w:val="003D2CC5"/>
    <w:rsid w:val="003D3E5C"/>
    <w:rsid w:val="003D59BB"/>
    <w:rsid w:val="003E04C1"/>
    <w:rsid w:val="003E0887"/>
    <w:rsid w:val="003E1098"/>
    <w:rsid w:val="003E74C8"/>
    <w:rsid w:val="003E74E2"/>
    <w:rsid w:val="003E7C46"/>
    <w:rsid w:val="003F2106"/>
    <w:rsid w:val="003F52A7"/>
    <w:rsid w:val="003F7013"/>
    <w:rsid w:val="003F7F6A"/>
    <w:rsid w:val="0040240C"/>
    <w:rsid w:val="00403288"/>
    <w:rsid w:val="0040553C"/>
    <w:rsid w:val="00413021"/>
    <w:rsid w:val="00414C35"/>
    <w:rsid w:val="004171B7"/>
    <w:rsid w:val="004301C6"/>
    <w:rsid w:val="00432236"/>
    <w:rsid w:val="0043478F"/>
    <w:rsid w:val="0043602B"/>
    <w:rsid w:val="004367D2"/>
    <w:rsid w:val="004374D1"/>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4C8E"/>
    <w:rsid w:val="004A035B"/>
    <w:rsid w:val="004A2108"/>
    <w:rsid w:val="004A38D7"/>
    <w:rsid w:val="004A778C"/>
    <w:rsid w:val="004B14DD"/>
    <w:rsid w:val="004B48C7"/>
    <w:rsid w:val="004C2E6A"/>
    <w:rsid w:val="004C64B8"/>
    <w:rsid w:val="004D2A2D"/>
    <w:rsid w:val="004D479F"/>
    <w:rsid w:val="004D6539"/>
    <w:rsid w:val="004D6689"/>
    <w:rsid w:val="004E1D1D"/>
    <w:rsid w:val="004E7AC8"/>
    <w:rsid w:val="004F05F4"/>
    <w:rsid w:val="004F0C94"/>
    <w:rsid w:val="005019AE"/>
    <w:rsid w:val="00503749"/>
    <w:rsid w:val="00503D59"/>
    <w:rsid w:val="00504CF4"/>
    <w:rsid w:val="0050635B"/>
    <w:rsid w:val="005075B3"/>
    <w:rsid w:val="005151C2"/>
    <w:rsid w:val="005205B8"/>
    <w:rsid w:val="005239F9"/>
    <w:rsid w:val="00524BB1"/>
    <w:rsid w:val="005275E8"/>
    <w:rsid w:val="005309FE"/>
    <w:rsid w:val="0053199F"/>
    <w:rsid w:val="00531E12"/>
    <w:rsid w:val="00533B90"/>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3548"/>
    <w:rsid w:val="005763E0"/>
    <w:rsid w:val="00581136"/>
    <w:rsid w:val="00581EB8"/>
    <w:rsid w:val="005839E7"/>
    <w:rsid w:val="0058437F"/>
    <w:rsid w:val="005A27CA"/>
    <w:rsid w:val="005A43BD"/>
    <w:rsid w:val="005A79E5"/>
    <w:rsid w:val="005C4F42"/>
    <w:rsid w:val="005D034C"/>
    <w:rsid w:val="005D41CC"/>
    <w:rsid w:val="005E226E"/>
    <w:rsid w:val="005E2636"/>
    <w:rsid w:val="00600DC6"/>
    <w:rsid w:val="006015D7"/>
    <w:rsid w:val="00601B21"/>
    <w:rsid w:val="006041F0"/>
    <w:rsid w:val="00605C6D"/>
    <w:rsid w:val="006120CA"/>
    <w:rsid w:val="0061443A"/>
    <w:rsid w:val="00624174"/>
    <w:rsid w:val="00626CF8"/>
    <w:rsid w:val="00630E6F"/>
    <w:rsid w:val="006314AF"/>
    <w:rsid w:val="00634003"/>
    <w:rsid w:val="00634ED8"/>
    <w:rsid w:val="0063570E"/>
    <w:rsid w:val="00636D7D"/>
    <w:rsid w:val="00637408"/>
    <w:rsid w:val="006427DD"/>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2EB8"/>
    <w:rsid w:val="006E3911"/>
    <w:rsid w:val="006E69F4"/>
    <w:rsid w:val="006F1B67"/>
    <w:rsid w:val="006F4D9C"/>
    <w:rsid w:val="0070091D"/>
    <w:rsid w:val="00702854"/>
    <w:rsid w:val="007074A2"/>
    <w:rsid w:val="0071741C"/>
    <w:rsid w:val="00725CB3"/>
    <w:rsid w:val="00742B90"/>
    <w:rsid w:val="0074434D"/>
    <w:rsid w:val="00752E53"/>
    <w:rsid w:val="007570C4"/>
    <w:rsid w:val="007605B8"/>
    <w:rsid w:val="00760D6B"/>
    <w:rsid w:val="00771B1E"/>
    <w:rsid w:val="00773C95"/>
    <w:rsid w:val="0078171E"/>
    <w:rsid w:val="0078658E"/>
    <w:rsid w:val="00786E37"/>
    <w:rsid w:val="007920E2"/>
    <w:rsid w:val="0079566E"/>
    <w:rsid w:val="00795B34"/>
    <w:rsid w:val="0079732A"/>
    <w:rsid w:val="007979D9"/>
    <w:rsid w:val="007A067F"/>
    <w:rsid w:val="007B1770"/>
    <w:rsid w:val="007B282B"/>
    <w:rsid w:val="007B4D3E"/>
    <w:rsid w:val="007B6224"/>
    <w:rsid w:val="007B7C70"/>
    <w:rsid w:val="007B7DEB"/>
    <w:rsid w:val="007C01AD"/>
    <w:rsid w:val="007C0449"/>
    <w:rsid w:val="007C278F"/>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15D2"/>
    <w:rsid w:val="007F3E11"/>
    <w:rsid w:val="00800A8A"/>
    <w:rsid w:val="0080155C"/>
    <w:rsid w:val="008052E1"/>
    <w:rsid w:val="00811EEB"/>
    <w:rsid w:val="008158F5"/>
    <w:rsid w:val="0082081A"/>
    <w:rsid w:val="00822F2C"/>
    <w:rsid w:val="00823DEE"/>
    <w:rsid w:val="008305E8"/>
    <w:rsid w:val="00836165"/>
    <w:rsid w:val="008365B2"/>
    <w:rsid w:val="0084640C"/>
    <w:rsid w:val="00852C5D"/>
    <w:rsid w:val="00854045"/>
    <w:rsid w:val="00856088"/>
    <w:rsid w:val="00860826"/>
    <w:rsid w:val="00860E21"/>
    <w:rsid w:val="00863117"/>
    <w:rsid w:val="0086388B"/>
    <w:rsid w:val="008642E5"/>
    <w:rsid w:val="00864488"/>
    <w:rsid w:val="00870A36"/>
    <w:rsid w:val="00872D93"/>
    <w:rsid w:val="00880470"/>
    <w:rsid w:val="00880D94"/>
    <w:rsid w:val="008814E8"/>
    <w:rsid w:val="00881873"/>
    <w:rsid w:val="00886F64"/>
    <w:rsid w:val="008924DE"/>
    <w:rsid w:val="00895B48"/>
    <w:rsid w:val="008A3755"/>
    <w:rsid w:val="008B19DC"/>
    <w:rsid w:val="008B264F"/>
    <w:rsid w:val="008B6F83"/>
    <w:rsid w:val="008B7FD8"/>
    <w:rsid w:val="008C11AC"/>
    <w:rsid w:val="008C2973"/>
    <w:rsid w:val="008C6324"/>
    <w:rsid w:val="008C64C4"/>
    <w:rsid w:val="008D10F0"/>
    <w:rsid w:val="008D1D30"/>
    <w:rsid w:val="008D2CDD"/>
    <w:rsid w:val="008D5E77"/>
    <w:rsid w:val="008D5F8C"/>
    <w:rsid w:val="008D74D5"/>
    <w:rsid w:val="008D7C9F"/>
    <w:rsid w:val="008E04BA"/>
    <w:rsid w:val="008E0ED1"/>
    <w:rsid w:val="008E2083"/>
    <w:rsid w:val="008E3A07"/>
    <w:rsid w:val="008E537B"/>
    <w:rsid w:val="008F29BE"/>
    <w:rsid w:val="008F4AE5"/>
    <w:rsid w:val="008F51EB"/>
    <w:rsid w:val="00900197"/>
    <w:rsid w:val="009027F0"/>
    <w:rsid w:val="00902F55"/>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685B"/>
    <w:rsid w:val="00937408"/>
    <w:rsid w:val="009427FA"/>
    <w:rsid w:val="00944647"/>
    <w:rsid w:val="009469E2"/>
    <w:rsid w:val="0095565C"/>
    <w:rsid w:val="00955EE3"/>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C151C"/>
    <w:rsid w:val="009C440A"/>
    <w:rsid w:val="009C7A79"/>
    <w:rsid w:val="009D5125"/>
    <w:rsid w:val="009D60B8"/>
    <w:rsid w:val="009D7D4B"/>
    <w:rsid w:val="009E36ED"/>
    <w:rsid w:val="009E3B47"/>
    <w:rsid w:val="009E3C8C"/>
    <w:rsid w:val="009E648A"/>
    <w:rsid w:val="009E6B77"/>
    <w:rsid w:val="009F4372"/>
    <w:rsid w:val="009F460A"/>
    <w:rsid w:val="00A043FB"/>
    <w:rsid w:val="00A06BE4"/>
    <w:rsid w:val="00A0729C"/>
    <w:rsid w:val="00A073CF"/>
    <w:rsid w:val="00A07779"/>
    <w:rsid w:val="00A1166A"/>
    <w:rsid w:val="00A20B2E"/>
    <w:rsid w:val="00A23E54"/>
    <w:rsid w:val="00A24F33"/>
    <w:rsid w:val="00A25069"/>
    <w:rsid w:val="00A26E6B"/>
    <w:rsid w:val="00A3068F"/>
    <w:rsid w:val="00A3145B"/>
    <w:rsid w:val="00A339D0"/>
    <w:rsid w:val="00A3415C"/>
    <w:rsid w:val="00A359A2"/>
    <w:rsid w:val="00A41002"/>
    <w:rsid w:val="00A4201A"/>
    <w:rsid w:val="00A5465D"/>
    <w:rsid w:val="00A553CE"/>
    <w:rsid w:val="00A5677A"/>
    <w:rsid w:val="00A56DCC"/>
    <w:rsid w:val="00A625E8"/>
    <w:rsid w:val="00A63C3E"/>
    <w:rsid w:val="00A63DFF"/>
    <w:rsid w:val="00A64496"/>
    <w:rsid w:val="00A6490D"/>
    <w:rsid w:val="00A67033"/>
    <w:rsid w:val="00A7415D"/>
    <w:rsid w:val="00A80363"/>
    <w:rsid w:val="00A80939"/>
    <w:rsid w:val="00A83E9D"/>
    <w:rsid w:val="00A87C05"/>
    <w:rsid w:val="00A9169D"/>
    <w:rsid w:val="00A93598"/>
    <w:rsid w:val="00A97A3A"/>
    <w:rsid w:val="00AA240C"/>
    <w:rsid w:val="00AA767E"/>
    <w:rsid w:val="00AB0294"/>
    <w:rsid w:val="00AB0332"/>
    <w:rsid w:val="00AC101C"/>
    <w:rsid w:val="00AD4CF1"/>
    <w:rsid w:val="00AD5988"/>
    <w:rsid w:val="00AD6293"/>
    <w:rsid w:val="00AE1643"/>
    <w:rsid w:val="00AE16AF"/>
    <w:rsid w:val="00AF372E"/>
    <w:rsid w:val="00AF7800"/>
    <w:rsid w:val="00B00CF5"/>
    <w:rsid w:val="00B03AFF"/>
    <w:rsid w:val="00B072E0"/>
    <w:rsid w:val="00B1007E"/>
    <w:rsid w:val="00B13C0B"/>
    <w:rsid w:val="00B13D41"/>
    <w:rsid w:val="00B155FD"/>
    <w:rsid w:val="00B253F6"/>
    <w:rsid w:val="00B26675"/>
    <w:rsid w:val="00B305DB"/>
    <w:rsid w:val="00B332F8"/>
    <w:rsid w:val="00B3492B"/>
    <w:rsid w:val="00B44C72"/>
    <w:rsid w:val="00B4646F"/>
    <w:rsid w:val="00B47A95"/>
    <w:rsid w:val="00B47C82"/>
    <w:rsid w:val="00B558BE"/>
    <w:rsid w:val="00B55C7D"/>
    <w:rsid w:val="00B63038"/>
    <w:rsid w:val="00B64BD8"/>
    <w:rsid w:val="00B701D1"/>
    <w:rsid w:val="00B73AF2"/>
    <w:rsid w:val="00B73D79"/>
    <w:rsid w:val="00B7551A"/>
    <w:rsid w:val="00B773F1"/>
    <w:rsid w:val="00B818F8"/>
    <w:rsid w:val="00B84828"/>
    <w:rsid w:val="00B86AB1"/>
    <w:rsid w:val="00B87726"/>
    <w:rsid w:val="00B91B22"/>
    <w:rsid w:val="00BA7EBA"/>
    <w:rsid w:val="00BB2A06"/>
    <w:rsid w:val="00BB2CBB"/>
    <w:rsid w:val="00BB4198"/>
    <w:rsid w:val="00BC03EE"/>
    <w:rsid w:val="00BC59F1"/>
    <w:rsid w:val="00BD488E"/>
    <w:rsid w:val="00BF3DE1"/>
    <w:rsid w:val="00BF4843"/>
    <w:rsid w:val="00BF5205"/>
    <w:rsid w:val="00C05132"/>
    <w:rsid w:val="00C07A8D"/>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21D9"/>
    <w:rsid w:val="00C66296"/>
    <w:rsid w:val="00C7093C"/>
    <w:rsid w:val="00C7394D"/>
    <w:rsid w:val="00C756B7"/>
    <w:rsid w:val="00C77282"/>
    <w:rsid w:val="00C84DE5"/>
    <w:rsid w:val="00C86248"/>
    <w:rsid w:val="00C90B31"/>
    <w:rsid w:val="00C9666B"/>
    <w:rsid w:val="00CA0D6F"/>
    <w:rsid w:val="00CA2E43"/>
    <w:rsid w:val="00CA4C33"/>
    <w:rsid w:val="00CA6F4A"/>
    <w:rsid w:val="00CB3483"/>
    <w:rsid w:val="00CB3915"/>
    <w:rsid w:val="00CB4609"/>
    <w:rsid w:val="00CB6427"/>
    <w:rsid w:val="00CC0FBE"/>
    <w:rsid w:val="00CC6EA4"/>
    <w:rsid w:val="00CD077C"/>
    <w:rsid w:val="00CD2119"/>
    <w:rsid w:val="00CD237A"/>
    <w:rsid w:val="00CD36AC"/>
    <w:rsid w:val="00CD7344"/>
    <w:rsid w:val="00CE13A3"/>
    <w:rsid w:val="00CE36BC"/>
    <w:rsid w:val="00CF1747"/>
    <w:rsid w:val="00CF60ED"/>
    <w:rsid w:val="00D05D74"/>
    <w:rsid w:val="00D07EC1"/>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E2860"/>
    <w:rsid w:val="00DE3B20"/>
    <w:rsid w:val="00DE6C94"/>
    <w:rsid w:val="00DE6FD7"/>
    <w:rsid w:val="00DF0C7C"/>
    <w:rsid w:val="00E10B18"/>
    <w:rsid w:val="00E23271"/>
    <w:rsid w:val="00E24F80"/>
    <w:rsid w:val="00E259F3"/>
    <w:rsid w:val="00E25C87"/>
    <w:rsid w:val="00E30985"/>
    <w:rsid w:val="00E33238"/>
    <w:rsid w:val="00E33934"/>
    <w:rsid w:val="00E376B7"/>
    <w:rsid w:val="00E42F5D"/>
    <w:rsid w:val="00E4486C"/>
    <w:rsid w:val="00E460B6"/>
    <w:rsid w:val="00E511D5"/>
    <w:rsid w:val="00E52321"/>
    <w:rsid w:val="00E53A9F"/>
    <w:rsid w:val="00E57349"/>
    <w:rsid w:val="00E60249"/>
    <w:rsid w:val="00E62238"/>
    <w:rsid w:val="00E65269"/>
    <w:rsid w:val="00E76D66"/>
    <w:rsid w:val="00E87453"/>
    <w:rsid w:val="00EA796A"/>
    <w:rsid w:val="00EB1856"/>
    <w:rsid w:val="00EC50CE"/>
    <w:rsid w:val="00EC5B34"/>
    <w:rsid w:val="00ED021E"/>
    <w:rsid w:val="00ED323C"/>
    <w:rsid w:val="00EE2D5C"/>
    <w:rsid w:val="00EE4ADE"/>
    <w:rsid w:val="00EE4DE8"/>
    <w:rsid w:val="00EE5CB7"/>
    <w:rsid w:val="00F000BF"/>
    <w:rsid w:val="00F024FE"/>
    <w:rsid w:val="00F05AD4"/>
    <w:rsid w:val="00F103BE"/>
    <w:rsid w:val="00F10EB6"/>
    <w:rsid w:val="00F13F07"/>
    <w:rsid w:val="00F140B2"/>
    <w:rsid w:val="00F16595"/>
    <w:rsid w:val="00F25970"/>
    <w:rsid w:val="00F311A9"/>
    <w:rsid w:val="00F31343"/>
    <w:rsid w:val="00F329CB"/>
    <w:rsid w:val="00F37381"/>
    <w:rsid w:val="00F5180D"/>
    <w:rsid w:val="00F54E74"/>
    <w:rsid w:val="00F63781"/>
    <w:rsid w:val="00F67496"/>
    <w:rsid w:val="00F7421E"/>
    <w:rsid w:val="00F801BA"/>
    <w:rsid w:val="00F807AD"/>
    <w:rsid w:val="00F864C0"/>
    <w:rsid w:val="00F90B20"/>
    <w:rsid w:val="00F9366A"/>
    <w:rsid w:val="00F946C9"/>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0D03"/>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C6F2A"/>
  <w15:docId w15:val="{E3F39816-AF23-4F1D-8726-B51A1323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uiPriority w:val="9"/>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qFormat/>
    <w:rsid w:val="00D25FFE"/>
  </w:style>
  <w:style w:type="character" w:customStyle="1" w:styleId="HeaderChar">
    <w:name w:val="Header Char"/>
    <w:link w:val="Header"/>
    <w:rsid w:val="0086388B"/>
    <w:rPr>
      <w:rFonts w:ascii="Georgia" w:hAnsi="Georgia"/>
      <w:sz w:val="22"/>
      <w:lang w:eastAsia="en-GB"/>
    </w:rPr>
  </w:style>
  <w:style w:type="paragraph" w:styleId="Title">
    <w:name w:val="Title"/>
    <w:basedOn w:val="Normal"/>
    <w:next w:val="Normal"/>
    <w:link w:val="TitleChar"/>
    <w:uiPriority w:val="10"/>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10"/>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A23E54"/>
    <w:pPr>
      <w:spacing w:after="240"/>
    </w:pPr>
    <w:rPr>
      <w:sz w:val="19"/>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uiPriority w:val="99"/>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3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D41CC"/>
    <w:pPr>
      <w:spacing w:after="200"/>
    </w:pPr>
    <w:rPr>
      <w:b/>
      <w:bCs/>
      <w:color w:val="4F81BD" w:themeColor="accent1"/>
      <w:sz w:val="18"/>
      <w:szCs w:val="18"/>
    </w:rPr>
  </w:style>
  <w:style w:type="character" w:customStyle="1" w:styleId="None">
    <w:name w:val="None"/>
    <w:rsid w:val="00A23E54"/>
  </w:style>
  <w:style w:type="paragraph" w:styleId="ListParagraph">
    <w:name w:val="List Paragraph"/>
    <w:aliases w:val="Normal text,List Paragraph1"/>
    <w:basedOn w:val="Normal"/>
    <w:link w:val="ListParagraphChar"/>
    <w:uiPriority w:val="99"/>
    <w:qFormat/>
    <w:rsid w:val="000B70EC"/>
    <w:pPr>
      <w:spacing w:after="120" w:line="240" w:lineRule="auto"/>
      <w:ind w:left="720"/>
      <w:contextualSpacing/>
    </w:pPr>
    <w:rPr>
      <w:rFonts w:ascii="Segoe UI" w:hAnsi="Segoe UI" w:cs="Arial"/>
      <w:sz w:val="21"/>
    </w:rPr>
  </w:style>
  <w:style w:type="character" w:customStyle="1" w:styleId="ListParagraphChar">
    <w:name w:val="List Paragraph Char"/>
    <w:aliases w:val="Normal text Char,List Paragraph1 Char"/>
    <w:basedOn w:val="DefaultParagraphFont"/>
    <w:link w:val="ListParagraph"/>
    <w:uiPriority w:val="99"/>
    <w:rsid w:val="000B70EC"/>
    <w:rPr>
      <w:rFonts w:ascii="Segoe UI" w:hAnsi="Segoe UI" w:cs="Arial"/>
      <w:sz w:val="21"/>
      <w:lang w:eastAsia="en-GB"/>
    </w:rPr>
  </w:style>
  <w:style w:type="paragraph" w:customStyle="1" w:styleId="Body">
    <w:name w:val="Body"/>
    <w:rsid w:val="006E2EB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styleId="BodyText">
    <w:name w:val="Body Text"/>
    <w:basedOn w:val="Normal"/>
    <w:link w:val="BodyTextChar"/>
    <w:uiPriority w:val="99"/>
    <w:semiHidden/>
    <w:unhideWhenUsed/>
    <w:rsid w:val="005C4F42"/>
    <w:pPr>
      <w:spacing w:after="120" w:line="240" w:lineRule="auto"/>
    </w:pPr>
    <w:rPr>
      <w:rFonts w:ascii="Segoe UI" w:hAnsi="Segoe UI" w:cs="Arial"/>
      <w:sz w:val="21"/>
    </w:rPr>
  </w:style>
  <w:style w:type="character" w:customStyle="1" w:styleId="BodyTextChar">
    <w:name w:val="Body Text Char"/>
    <w:basedOn w:val="DefaultParagraphFont"/>
    <w:link w:val="BodyText"/>
    <w:uiPriority w:val="99"/>
    <w:semiHidden/>
    <w:rsid w:val="005C4F42"/>
    <w:rPr>
      <w:rFonts w:ascii="Segoe UI" w:hAnsi="Segoe UI" w:cs="Arial"/>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az659834.vo.msecnd.net/eventsairseasiaprod/production-outshine-public/c910f7b4b82b4467a3cdf7c7ea5cc972"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nzma.org.nz/journal-articles/inequalities-between-maori-and-non-maori-men-with-prostate-cancer-in-aotearoa-new-zealand" TargetMode="External"/><Relationship Id="rId33" Type="http://schemas.openxmlformats.org/officeDocument/2006/relationships/hyperlink" Target="https://www.uptodate.com/contents/the-role-of-magnetic-resonance-imaging-in-prostate-canc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nice.org.uk/guidance/ng131/documents/evidence-review-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linicaltrials.gov/ct2/show/NCT00309985" TargetMode="External"/><Relationship Id="rId32" Type="http://schemas.openxmlformats.org/officeDocument/2006/relationships/hyperlink" Target="https://www.health.govt.nz/publication/diagnosis-and-management-prostate-cancer-new-zealand-men-recommendations-prostate-cancer-taskfor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cancer.gov/publications/dictionaries/cancer-terms/def/positron-emission-tomography-computed-tomography-scan" TargetMode="External"/><Relationship Id="rId28" Type="http://schemas.openxmlformats.org/officeDocument/2006/relationships/hyperlink" Target="https://www.nice.org.uk/guidance/qs9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prostatecancerregistry.org/publications/annual-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 TargetMode="External"/><Relationship Id="rId22" Type="http://schemas.openxmlformats.org/officeDocument/2006/relationships/hyperlink" Target="http://www.health.govt.nz" TargetMode="External"/><Relationship Id="rId27" Type="http://schemas.openxmlformats.org/officeDocument/2006/relationships/hyperlink" Target="https://www.health.govt.nz/publication/new-zealand-cancer-action-plan-2019-2029" TargetMode="External"/><Relationship Id="rId30" Type="http://schemas.openxmlformats.org/officeDocument/2006/relationships/hyperlink" Target="https://www.nccn.org/professionals/physician_gls/pdf/prostate.pdf" TargetMode="Externa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fd381b6-4d67-40c4-ab3a-532c6af45e39">
      <UserInfo>
        <DisplayName/>
        <AccountId xsi:nil="true"/>
        <AccountType/>
      </UserInfo>
    </SharedWithUsers>
    <lcf76f155ced4ddcb4097134ff3c332f xmlns="c02cffbe-180e-4030-8c1b-c6f4d70bb013">
      <Terms xmlns="http://schemas.microsoft.com/office/infopath/2007/PartnerControls"/>
    </lcf76f155ced4ddcb4097134ff3c332f>
    <TaxCatchAll xmlns="00a4df5b-51f4-4e7a-b755-8a381a6df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66BBFF82759F488643FBA3C49367F4" ma:contentTypeVersion="16" ma:contentTypeDescription="Create a new document." ma:contentTypeScope="" ma:versionID="6334ca881f4075f1fc3adc56cc4e700f">
  <xsd:schema xmlns:xsd="http://www.w3.org/2001/XMLSchema" xmlns:xs="http://www.w3.org/2001/XMLSchema" xmlns:p="http://schemas.microsoft.com/office/2006/metadata/properties" xmlns:ns2="c02cffbe-180e-4030-8c1b-c6f4d70bb013" xmlns:ns3="3fd381b6-4d67-40c4-ab3a-532c6af45e39" xmlns:ns4="00a4df5b-51f4-4e7a-b755-8a381a6dfbc5" targetNamespace="http://schemas.microsoft.com/office/2006/metadata/properties" ma:root="true" ma:fieldsID="1e32cb802f323e489aacf55476caf33d" ns2:_="" ns3:_="" ns4:_="">
    <xsd:import namespace="c02cffbe-180e-4030-8c1b-c6f4d70bb013"/>
    <xsd:import namespace="3fd381b6-4d67-40c4-ab3a-532c6af45e39"/>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cffbe-180e-4030-8c1b-c6f4d70bb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381b6-4d67-40c4-ab3a-532c6af45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b467c4-e850-4ffb-92eb-388617f6ad59}" ma:internalName="TaxCatchAll" ma:showField="CatchAllData" ma:web="3fd381b6-4d67-40c4-ab3a-532c6af45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E6D8-7791-4DB5-A203-3180823517FC}">
  <ds:schemaRefs>
    <ds:schemaRef ds:uri="http://schemas.openxmlformats.org/officeDocument/2006/bibliography"/>
  </ds:schemaRefs>
</ds:datastoreItem>
</file>

<file path=customXml/itemProps2.xml><?xml version="1.0" encoding="utf-8"?>
<ds:datastoreItem xmlns:ds="http://schemas.openxmlformats.org/officeDocument/2006/customXml" ds:itemID="{645CD20B-BC89-4A0F-956B-06E35040CAEF}">
  <ds:schemaRefs>
    <ds:schemaRef ds:uri="http://schemas.microsoft.com/office/2006/metadata/properties"/>
    <ds:schemaRef ds:uri="http://schemas.microsoft.com/office/infopath/2007/PartnerControls"/>
    <ds:schemaRef ds:uri="3fd381b6-4d67-40c4-ab3a-532c6af45e39"/>
  </ds:schemaRefs>
</ds:datastoreItem>
</file>

<file path=customXml/itemProps3.xml><?xml version="1.0" encoding="utf-8"?>
<ds:datastoreItem xmlns:ds="http://schemas.openxmlformats.org/officeDocument/2006/customXml" ds:itemID="{5DF54727-5FF8-48C9-94B3-62B299205538}">
  <ds:schemaRefs>
    <ds:schemaRef ds:uri="http://schemas.microsoft.com/sharepoint/v3/contenttype/forms"/>
  </ds:schemaRefs>
</ds:datastoreItem>
</file>

<file path=customXml/itemProps4.xml><?xml version="1.0" encoding="utf-8"?>
<ds:datastoreItem xmlns:ds="http://schemas.openxmlformats.org/officeDocument/2006/customXml" ds:itemID="{4505D633-9BAD-456B-8C0D-56B247B3AA55}"/>
</file>

<file path=docProps/app.xml><?xml version="1.0" encoding="utf-8"?>
<Properties xmlns="http://schemas.openxmlformats.org/officeDocument/2006/extended-properties" xmlns:vt="http://schemas.openxmlformats.org/officeDocument/2006/docPropsVTypes">
  <Template>2012 Report Sans Serif Body</Template>
  <TotalTime>6</TotalTime>
  <Pages>31</Pages>
  <Words>8255</Words>
  <Characters>47054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Prostate Cancer Quality Performance Indicators: Descriptions</vt:lpstr>
    </vt:vector>
  </TitlesOfParts>
  <Company>Microsoft</Company>
  <LinksUpToDate>false</LinksUpToDate>
  <CharactersWithSpaces>55199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Prostate Cancer Quality Performance Indicators: Descriptions</dc:title>
  <dc:creator>Te Aho o Te Kahu</dc:creator>
  <cp:lastModifiedBy>Chavi Uduwaka</cp:lastModifiedBy>
  <cp:revision>9</cp:revision>
  <cp:lastPrinted>2021-09-13T01:53:00Z</cp:lastPrinted>
  <dcterms:created xsi:type="dcterms:W3CDTF">2021-09-13T01:48:00Z</dcterms:created>
  <dcterms:modified xsi:type="dcterms:W3CDTF">2022-02-07T20:15:00Z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0x0101001666BBFF82759F488643FBA3C49367F4</vt:lpwstr>
  </property>
  <property fmtid="{D5CDD505-2E9C-101B-9397-08002B2CF9AE}" pid="3" name="Order">
    <vt:r8>47400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