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3C59" w14:textId="77777777" w:rsidR="001A591D" w:rsidRPr="009C118E" w:rsidRDefault="001A591D" w:rsidP="005D0402">
      <w:pPr>
        <w:rPr>
          <w:rFonts w:ascii="Montserrat" w:hAnsi="Montserrat"/>
          <w:b/>
          <w:bCs/>
          <w:sz w:val="36"/>
          <w:szCs w:val="36"/>
        </w:rPr>
      </w:pPr>
      <w:bookmarkStart w:id="0" w:name="_Hlk152332706"/>
      <w:r w:rsidRPr="009C118E">
        <w:rPr>
          <w:rFonts w:ascii="Montserrat" w:hAnsi="Montserrat"/>
          <w:b/>
          <w:bCs/>
          <w:sz w:val="36"/>
          <w:szCs w:val="36"/>
        </w:rPr>
        <w:t>CANCER SERVICE QUALITY INDICATORS</w:t>
      </w:r>
    </w:p>
    <w:p w14:paraId="5E061391" w14:textId="77777777" w:rsidR="001A591D" w:rsidRPr="009C118E" w:rsidRDefault="001A591D" w:rsidP="005D0402">
      <w:pPr>
        <w:rPr>
          <w:b/>
          <w:bCs/>
        </w:rPr>
      </w:pPr>
    </w:p>
    <w:p w14:paraId="07F2436F" w14:textId="77777777" w:rsidR="001A591D" w:rsidRPr="009C118E" w:rsidRDefault="001A591D" w:rsidP="005D0402">
      <w:pPr>
        <w:rPr>
          <w:b/>
          <w:bCs/>
        </w:rPr>
      </w:pPr>
    </w:p>
    <w:sdt>
      <w:sdtPr>
        <w:rPr>
          <w:rStyle w:val="TitleChar"/>
          <w:lang w:eastAsia="en-US"/>
        </w:rPr>
        <w:alias w:val="Title"/>
        <w:tag w:val=""/>
        <w:id w:val="2142368894"/>
        <w:placeholder>
          <w:docPart w:val="C8375D1016CF460996C417309C5DF286"/>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2DF41438" w14:textId="311BB38B" w:rsidR="001A591D" w:rsidRPr="009C118E" w:rsidRDefault="00864307" w:rsidP="00665606">
          <w:pPr>
            <w:ind w:right="3402"/>
            <w:rPr>
              <w:rStyle w:val="TitleChar"/>
            </w:rPr>
          </w:pPr>
          <w:r>
            <w:rPr>
              <w:rStyle w:val="TitleChar"/>
              <w:lang w:eastAsia="en-US"/>
            </w:rPr>
            <w:t>Quality Improvement Monitoring Report – SUMMARY</w:t>
          </w:r>
        </w:p>
      </w:sdtContent>
    </w:sdt>
    <w:p w14:paraId="20E6B105" w14:textId="32BC51DC" w:rsidR="00E323E5" w:rsidRPr="009C118E" w:rsidRDefault="00E323E5" w:rsidP="001A591D">
      <w:pPr>
        <w:pStyle w:val="Subhead"/>
      </w:pPr>
      <w:r w:rsidRPr="009C118E">
        <w:rPr>
          <w:rFonts w:eastAsia="Segoe UI"/>
        </w:rPr>
        <w:t xml:space="preserve">Route to diagnosis: </w:t>
      </w:r>
      <w:r w:rsidR="006B58E9" w:rsidRPr="009C118E">
        <w:rPr>
          <w:rFonts w:eastAsia="Segoe UI"/>
        </w:rPr>
        <w:br/>
      </w:r>
      <w:r w:rsidRPr="009C118E">
        <w:rPr>
          <w:rFonts w:eastAsia="Segoe UI"/>
        </w:rPr>
        <w:t>People diagnosed with cancer within 30-days of an emergency or acute (unplanned) hospital admission</w:t>
      </w:r>
    </w:p>
    <w:p w14:paraId="2CAC59B7" w14:textId="6F16FFF7" w:rsidR="00C05132" w:rsidRPr="009C118E" w:rsidRDefault="00014CA4" w:rsidP="00A53EF1">
      <w:pPr>
        <w:pStyle w:val="Year"/>
      </w:pPr>
      <w:r>
        <w:t xml:space="preserve">March </w:t>
      </w:r>
      <w:r w:rsidR="00E323E5" w:rsidRPr="0036270F">
        <w:t>202</w:t>
      </w:r>
      <w:r w:rsidR="0036270F" w:rsidRPr="0036270F">
        <w:t>4</w:t>
      </w:r>
    </w:p>
    <w:p w14:paraId="3B8495B7" w14:textId="04EE8EC1" w:rsidR="00142954" w:rsidRDefault="0036270F" w:rsidP="0036270F">
      <w:pPr>
        <w:tabs>
          <w:tab w:val="left" w:pos="1399"/>
        </w:tabs>
      </w:pPr>
      <w:r>
        <w:tab/>
      </w:r>
    </w:p>
    <w:p w14:paraId="6AFA7B3F" w14:textId="0B3EF6A3" w:rsidR="0036270F" w:rsidRPr="0036270F" w:rsidRDefault="0036270F" w:rsidP="0036270F">
      <w:pPr>
        <w:tabs>
          <w:tab w:val="left" w:pos="1399"/>
        </w:tabs>
        <w:sectPr w:rsidR="0036270F" w:rsidRPr="0036270F" w:rsidSect="0023728C">
          <w:headerReference w:type="default" r:id="rId11"/>
          <w:footerReference w:type="default" r:id="rId12"/>
          <w:pgSz w:w="11907" w:h="16834" w:code="9"/>
          <w:pgMar w:top="3969" w:right="1134" w:bottom="1134" w:left="1134" w:header="567" w:footer="851" w:gutter="0"/>
          <w:pgNumType w:start="1"/>
          <w:cols w:space="720"/>
        </w:sectPr>
      </w:pPr>
    </w:p>
    <w:p w14:paraId="7E10FC5A" w14:textId="0FAAF7EF" w:rsidR="00F90E9E" w:rsidRPr="005F4DA6" w:rsidRDefault="00F90E9E" w:rsidP="00A200A6">
      <w:pPr>
        <w:pStyle w:val="Heading1"/>
        <w:spacing w:after="240"/>
        <w:rPr>
          <w:szCs w:val="18"/>
        </w:rPr>
      </w:pPr>
      <w:r w:rsidRPr="005F4DA6">
        <w:rPr>
          <w:szCs w:val="18"/>
        </w:rPr>
        <w:lastRenderedPageBreak/>
        <w:t>A high rate of cancer patients diagnosed</w:t>
      </w:r>
      <w:r w:rsidR="006855A8">
        <w:rPr>
          <w:szCs w:val="18"/>
        </w:rPr>
        <w:t xml:space="preserve"> after an</w:t>
      </w:r>
      <w:r w:rsidRPr="005F4DA6">
        <w:rPr>
          <w:szCs w:val="18"/>
        </w:rPr>
        <w:t xml:space="preserve"> </w:t>
      </w:r>
      <w:r w:rsidR="00A200A6" w:rsidRPr="005F4DA6">
        <w:rPr>
          <w:szCs w:val="18"/>
        </w:rPr>
        <w:t xml:space="preserve">emergency </w:t>
      </w:r>
      <w:r w:rsidR="006855A8">
        <w:rPr>
          <w:szCs w:val="18"/>
        </w:rPr>
        <w:t xml:space="preserve">admission </w:t>
      </w:r>
      <w:r w:rsidRPr="005F4DA6">
        <w:rPr>
          <w:szCs w:val="18"/>
        </w:rPr>
        <w:t>suggests we need to get better at earlier diagnosis in the community</w:t>
      </w:r>
    </w:p>
    <w:p w14:paraId="6A1CC25F" w14:textId="2E3DA443" w:rsidR="00F90E9E" w:rsidRDefault="00F90E9E" w:rsidP="00443BF3">
      <w:pPr>
        <w:spacing w:after="0"/>
      </w:pPr>
      <w:r w:rsidRPr="009C118E">
        <w:t xml:space="preserve">A key goal of the </w:t>
      </w:r>
      <w:r w:rsidRPr="009C118E">
        <w:rPr>
          <w:i/>
          <w:iCs/>
        </w:rPr>
        <w:t>National Cancer Action Plan 2019</w:t>
      </w:r>
      <w:r w:rsidR="005D63DA">
        <w:rPr>
          <w:i/>
          <w:iCs/>
        </w:rPr>
        <w:t>–</w:t>
      </w:r>
      <w:r w:rsidRPr="009C118E">
        <w:rPr>
          <w:i/>
          <w:iCs/>
        </w:rPr>
        <w:t>2029</w:t>
      </w:r>
      <w:r w:rsidRPr="009C118E">
        <w:t xml:space="preserve"> </w:t>
      </w:r>
      <w:r w:rsidR="00E7561C">
        <w:t>(</w:t>
      </w:r>
      <w:r w:rsidR="00E7561C" w:rsidRPr="00E7561C">
        <w:t>Ministry of Health 2019</w:t>
      </w:r>
      <w:r w:rsidR="00E7561C">
        <w:t xml:space="preserve">) </w:t>
      </w:r>
      <w:r w:rsidRPr="009C118E">
        <w:t>is to improve cancer survival rates across Aotearoa New Zealand. Achieving this goal requires people to be diagnosed and treated as early as possible. However, compared to other countries, people in Aotearoa New Zealand experience a high rate of being first diagnosed with cancer after an emergency or acute (unplanned) hospital admission, which is likely to be after the cancer has been progressing for some time.</w:t>
      </w:r>
    </w:p>
    <w:p w14:paraId="0DD36FF1" w14:textId="77777777" w:rsidR="00443BF3" w:rsidRPr="009C118E" w:rsidRDefault="00443BF3" w:rsidP="00443BF3">
      <w:pPr>
        <w:spacing w:after="0"/>
      </w:pPr>
    </w:p>
    <w:p w14:paraId="6C599DD6" w14:textId="037A1C9D" w:rsidR="00F90E9E" w:rsidRDefault="00C251D0" w:rsidP="00443BF3">
      <w:pPr>
        <w:spacing w:after="0"/>
        <w:rPr>
          <w:rFonts w:cs="Segoe UI"/>
        </w:rPr>
      </w:pPr>
      <w:r w:rsidRPr="009C118E">
        <w:rPr>
          <w:noProof/>
        </w:rPr>
        <mc:AlternateContent>
          <mc:Choice Requires="wps">
            <w:drawing>
              <wp:anchor distT="0" distB="0" distL="180340" distR="180340" simplePos="0" relativeHeight="251661312" behindDoc="0" locked="0" layoutInCell="1" allowOverlap="1" wp14:anchorId="6C43CE0D" wp14:editId="380E07C6">
                <wp:simplePos x="0" y="0"/>
                <wp:positionH relativeFrom="margin">
                  <wp:posOffset>3097530</wp:posOffset>
                </wp:positionH>
                <wp:positionV relativeFrom="paragraph">
                  <wp:posOffset>36977</wp:posOffset>
                </wp:positionV>
                <wp:extent cx="2001520" cy="2263775"/>
                <wp:effectExtent l="0" t="0" r="17780"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2263775"/>
                        </a:xfrm>
                        <a:prstGeom prst="rect">
                          <a:avLst/>
                        </a:prstGeom>
                        <a:solidFill>
                          <a:srgbClr val="C6D9F1"/>
                        </a:solidFill>
                        <a:ln w="9525">
                          <a:solidFill>
                            <a:srgbClr val="000000"/>
                          </a:solidFill>
                          <a:miter lim="800000"/>
                          <a:headEnd/>
                          <a:tailEnd/>
                        </a:ln>
                      </wps:spPr>
                      <wps:txbx>
                        <w:txbxContent>
                          <w:p w14:paraId="051F5F5B" w14:textId="040F2B68" w:rsidR="004F3999" w:rsidRPr="00404F36" w:rsidRDefault="004F3999" w:rsidP="0004538F">
                            <w:pPr>
                              <w:spacing w:before="60" w:after="60"/>
                              <w:rPr>
                                <w:i/>
                                <w:iCs/>
                                <w:sz w:val="18"/>
                                <w:szCs w:val="18"/>
                              </w:rPr>
                            </w:pPr>
                            <w:r w:rsidRPr="00404F36">
                              <w:rPr>
                                <w:i/>
                                <w:iCs/>
                                <w:sz w:val="18"/>
                                <w:szCs w:val="18"/>
                              </w:rPr>
                              <w:t>The definition of a ‘cancer diagnosis following emergency or acute (unplanned) hospital admission’ is a cancer diagnosis that occurs within 30 days of an emergency or acute admission (</w:t>
                            </w:r>
                            <w:proofErr w:type="spellStart"/>
                            <w:r w:rsidRPr="00404F36">
                              <w:rPr>
                                <w:i/>
                                <w:iCs/>
                                <w:sz w:val="18"/>
                                <w:szCs w:val="18"/>
                              </w:rPr>
                              <w:t>ie</w:t>
                            </w:r>
                            <w:proofErr w:type="spellEnd"/>
                            <w:r w:rsidR="00E51C9C">
                              <w:rPr>
                                <w:i/>
                                <w:iCs/>
                                <w:sz w:val="18"/>
                                <w:szCs w:val="18"/>
                              </w:rPr>
                              <w:t>,</w:t>
                            </w:r>
                            <w:r w:rsidRPr="00404F36">
                              <w:rPr>
                                <w:i/>
                                <w:iCs/>
                                <w:sz w:val="18"/>
                                <w:szCs w:val="18"/>
                              </w:rPr>
                              <w:t xml:space="preserve"> unplanned admission) to hospital, regardless of whether the reason for the visit is related to the cancer that is subsequently diagnosed. For this summary and the associated full report, we refer to this as an ‘emergency admission</w:t>
                            </w:r>
                            <w:r w:rsidR="004B128F" w:rsidRPr="00404F36">
                              <w:rPr>
                                <w:i/>
                                <w:i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43CE0D" id="_x0000_t202" coordsize="21600,21600" o:spt="202" path="m,l,21600r21600,l21600,xe">
                <v:stroke joinstyle="miter"/>
                <v:path gradientshapeok="t" o:connecttype="rect"/>
              </v:shapetype>
              <v:shape id="Text Box 217" o:spid="_x0000_s1026" type="#_x0000_t202" style="position:absolute;margin-left:243.9pt;margin-top:2.9pt;width:157.6pt;height:178.25pt;z-index:251661312;visibility:visible;mso-wrap-style:square;mso-width-percent:0;mso-height-percent:0;mso-wrap-distance-left:14.2pt;mso-wrap-distance-top:0;mso-wrap-distance-right:14.2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" fillcolor="#c6d9f1">
                <v:textbox style="mso-fit-shape-to-text:t">
                  <w:txbxContent>
                    <w:p w14:paraId="051F5F5B" w14:textId="040F2B68" w:rsidR="004F3999" w:rsidRPr="00404F36" w:rsidRDefault="004F3999" w:rsidP="0004538F">
                      <w:pPr>
                        <w:spacing w:before="60" w:after="60"/>
                        <w:rPr>
                          <w:i/>
                          <w:iCs/>
                          <w:sz w:val="18"/>
                          <w:szCs w:val="18"/>
                        </w:rPr>
                      </w:pPr>
                      <w:r w:rsidRPr="00404F36">
                        <w:rPr>
                          <w:i/>
                          <w:iCs/>
                          <w:sz w:val="18"/>
                          <w:szCs w:val="18"/>
                        </w:rPr>
                        <w:t>The definition of a ‘cancer diagnosis following emergency or acute (unplanned) hospital admission’ is a cancer diagnosis that occurs within 30 days of an emergency or acute admission (</w:t>
                      </w:r>
                      <w:proofErr w:type="spellStart"/>
                      <w:r w:rsidRPr="00404F36">
                        <w:rPr>
                          <w:i/>
                          <w:iCs/>
                          <w:sz w:val="18"/>
                          <w:szCs w:val="18"/>
                        </w:rPr>
                        <w:t>ie</w:t>
                      </w:r>
                      <w:proofErr w:type="spellEnd"/>
                      <w:r w:rsidR="00E51C9C">
                        <w:rPr>
                          <w:i/>
                          <w:iCs/>
                          <w:sz w:val="18"/>
                          <w:szCs w:val="18"/>
                        </w:rPr>
                        <w:t>,</w:t>
                      </w:r>
                      <w:r w:rsidRPr="00404F36">
                        <w:rPr>
                          <w:i/>
                          <w:iCs/>
                          <w:sz w:val="18"/>
                          <w:szCs w:val="18"/>
                        </w:rPr>
                        <w:t xml:space="preserve"> unplanned admission) to hospital, regardless of whether the reason for the visit is related to the cancer that is subsequently diagnosed. For this summary and the associated full report, we refer to this as an ‘emergency admission</w:t>
                      </w:r>
                      <w:r w:rsidR="004B128F" w:rsidRPr="00404F36">
                        <w:rPr>
                          <w:i/>
                          <w:iCs/>
                          <w:sz w:val="18"/>
                          <w:szCs w:val="18"/>
                        </w:rPr>
                        <w:t>.’</w:t>
                      </w:r>
                    </w:p>
                  </w:txbxContent>
                </v:textbox>
                <w10:wrap type="square" anchorx="margin"/>
              </v:shape>
            </w:pict>
          </mc:Fallback>
        </mc:AlternateContent>
      </w:r>
      <w:r w:rsidR="00F90E9E" w:rsidRPr="009C118E">
        <w:t xml:space="preserve">People </w:t>
      </w:r>
      <w:r w:rsidR="00F90E9E" w:rsidRPr="009C118E">
        <w:rPr>
          <w:rFonts w:cs="Segoe UI"/>
        </w:rPr>
        <w:t>who are diagnosed with cancer after an emergency admission to a hospital will experience poorer survival or health outcomes compared to those who are diagnosed through more appropriate pathways (</w:t>
      </w:r>
      <w:proofErr w:type="spellStart"/>
      <w:r w:rsidR="00F90E9E" w:rsidRPr="009C118E">
        <w:rPr>
          <w:rFonts w:cs="Segoe UI"/>
        </w:rPr>
        <w:t>ie</w:t>
      </w:r>
      <w:proofErr w:type="spellEnd"/>
      <w:r w:rsidR="00F90E9E" w:rsidRPr="009C118E">
        <w:rPr>
          <w:rFonts w:cs="Segoe UI"/>
        </w:rPr>
        <w:t>, primary care and community-based diagnostic services). Patients being diagnosed through hospital emergency admissions often present with severe symptoms indicating advanced stage of disease and resulting in poorer outcomes.</w:t>
      </w:r>
      <w:r w:rsidR="009C118E">
        <w:rPr>
          <w:rFonts w:cs="Segoe UI"/>
        </w:rPr>
        <w:t xml:space="preserve"> </w:t>
      </w:r>
      <w:r w:rsidR="00A70249" w:rsidRPr="00A70249">
        <w:rPr>
          <w:rFonts w:cs="Segoe UI"/>
        </w:rPr>
        <w:t>These patients have poorer quality of life, a worse experience, and are less likely to be offered curative treatment</w:t>
      </w:r>
      <w:r w:rsidR="00A70249" w:rsidRPr="00A70249" w:rsidDel="00A70249">
        <w:rPr>
          <w:rFonts w:cs="Segoe UI"/>
        </w:rPr>
        <w:t xml:space="preserve"> </w:t>
      </w:r>
      <w:r w:rsidR="00F90E9E" w:rsidRPr="009C118E">
        <w:rPr>
          <w:rFonts w:cs="Segoe UI"/>
        </w:rPr>
        <w:t>(McPhail et al 2022; Pham et al 2019; Zhou et al 2017).</w:t>
      </w:r>
    </w:p>
    <w:p w14:paraId="7EA85F04" w14:textId="77777777" w:rsidR="00443BF3" w:rsidRPr="009C118E" w:rsidRDefault="00443BF3" w:rsidP="00443BF3">
      <w:pPr>
        <w:spacing w:after="0"/>
        <w:rPr>
          <w:rFonts w:cs="Segoe UI"/>
        </w:rPr>
      </w:pPr>
    </w:p>
    <w:p w14:paraId="660F915B" w14:textId="12F763D1" w:rsidR="00F90E9E" w:rsidRDefault="00904B1C" w:rsidP="00443BF3">
      <w:pPr>
        <w:spacing w:after="0"/>
      </w:pPr>
      <w:r w:rsidRPr="009C118E">
        <w:rPr>
          <w:noProof/>
        </w:rPr>
        <mc:AlternateContent>
          <mc:Choice Requires="wps">
            <w:drawing>
              <wp:anchor distT="0" distB="0" distL="180340" distR="180340" simplePos="0" relativeHeight="251663360" behindDoc="0" locked="0" layoutInCell="1" allowOverlap="1" wp14:anchorId="0B4EB85A" wp14:editId="7A5E12D3">
                <wp:simplePos x="0" y="0"/>
                <wp:positionH relativeFrom="margin">
                  <wp:posOffset>0</wp:posOffset>
                </wp:positionH>
                <wp:positionV relativeFrom="paragraph">
                  <wp:posOffset>4445</wp:posOffset>
                </wp:positionV>
                <wp:extent cx="2001600" cy="1861200"/>
                <wp:effectExtent l="0" t="0" r="17780" b="11430"/>
                <wp:wrapSquare wrapText="bothSides"/>
                <wp:docPr id="2080645425" name="Text Box 2080645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600" cy="1861200"/>
                        </a:xfrm>
                        <a:prstGeom prst="rect">
                          <a:avLst/>
                        </a:prstGeom>
                        <a:solidFill>
                          <a:srgbClr val="C6D9F1"/>
                        </a:solidFill>
                        <a:ln w="9525">
                          <a:solidFill>
                            <a:srgbClr val="000000"/>
                          </a:solidFill>
                          <a:miter lim="800000"/>
                          <a:headEnd/>
                          <a:tailEnd/>
                        </a:ln>
                      </wps:spPr>
                      <wps:txbx>
                        <w:txbxContent>
                          <w:p w14:paraId="2C9AD68F" w14:textId="1958A211" w:rsidR="0089536B" w:rsidRPr="00404F36" w:rsidRDefault="0089536B" w:rsidP="009C118E">
                            <w:pPr>
                              <w:spacing w:before="60" w:after="60"/>
                              <w:rPr>
                                <w:i/>
                                <w:iCs/>
                                <w:sz w:val="18"/>
                                <w:szCs w:val="18"/>
                              </w:rPr>
                            </w:pPr>
                            <w:r w:rsidRPr="00404F36">
                              <w:rPr>
                                <w:i/>
                                <w:iCs/>
                                <w:sz w:val="18"/>
                                <w:szCs w:val="18"/>
                              </w:rPr>
                              <w:t xml:space="preserve">Due to the nature of how some cancers develop, a diagnosis following an emergency admission is not always an indication of a failure in the health system. This can be due to the type of cancer and symptoms, individual patient factors, or a combination of these – you can read more about this in the next section, which describes some causal factors.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4EB85A" id="Text Box 2080645425" o:spid="_x0000_s1027" type="#_x0000_t202" style="position:absolute;margin-left:0;margin-top:.35pt;width:157.6pt;height:146.55pt;z-index:251663360;visibility:visible;mso-wrap-style:square;mso-width-percent:0;mso-height-percent:0;mso-wrap-distance-left:14.2pt;mso-wrap-distance-top:0;mso-wrap-distance-right:14.2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" fillcolor="#c6d9f1">
                <v:textbox style="mso-fit-shape-to-text:t">
                  <w:txbxContent>
                    <w:p w14:paraId="2C9AD68F" w14:textId="1958A211" w:rsidR="0089536B" w:rsidRPr="00404F36" w:rsidRDefault="0089536B" w:rsidP="009C118E">
                      <w:pPr>
                        <w:spacing w:before="60" w:after="60"/>
                        <w:rPr>
                          <w:i/>
                          <w:iCs/>
                          <w:sz w:val="18"/>
                          <w:szCs w:val="18"/>
                        </w:rPr>
                      </w:pPr>
                      <w:r w:rsidRPr="00404F36">
                        <w:rPr>
                          <w:i/>
                          <w:iCs/>
                          <w:sz w:val="18"/>
                          <w:szCs w:val="18"/>
                        </w:rPr>
                        <w:t xml:space="preserve">Due to the nature of how some cancers develop, a diagnosis following an emergency admission is not always an indication of a failure in the health system. This can be due to the type of cancer and symptoms, individual patient factors, or a combination of these – you can read more about this in the next section, which describes some causal factors. </w:t>
                      </w:r>
                    </w:p>
                  </w:txbxContent>
                </v:textbox>
                <w10:wrap type="square" anchorx="margin"/>
              </v:shape>
            </w:pict>
          </mc:Fallback>
        </mc:AlternateContent>
      </w:r>
      <w:r w:rsidR="00F90E9E" w:rsidRPr="009C118E">
        <w:t xml:space="preserve">There are rare instances when a cancer diagnosis 30 days after admission is a complete coincidence and not related to the reason for the admission. However, this limitation does not diminish the importance of this measure overall. The high rates of cancer diagnosis following emergency admission in Aotearoa New Zealand compared to other countries and the variation between geographical regions and inequities between population groups combine to tell us that we need to do better. </w:t>
      </w:r>
    </w:p>
    <w:p w14:paraId="37BCFFA0" w14:textId="77777777" w:rsidR="00443BF3" w:rsidRPr="009C118E" w:rsidRDefault="00443BF3" w:rsidP="00443BF3">
      <w:pPr>
        <w:spacing w:after="0"/>
      </w:pPr>
    </w:p>
    <w:p w14:paraId="6584E56E" w14:textId="20D48D8A" w:rsidR="00F90E9E" w:rsidRPr="009C118E" w:rsidRDefault="00F90E9E" w:rsidP="00443BF3">
      <w:pPr>
        <w:spacing w:after="0"/>
      </w:pPr>
      <w:r w:rsidRPr="009C118E">
        <w:t>This is a summary of the</w:t>
      </w:r>
      <w:r w:rsidR="00C84BC5">
        <w:t xml:space="preserve"> </w:t>
      </w:r>
      <w:r w:rsidR="00C84BC5" w:rsidRPr="004053F2">
        <w:rPr>
          <w:i/>
          <w:iCs/>
        </w:rPr>
        <w:t>Quality Improvement Monitoring Report – Route to diagnosis: People diagnosed with cancer within 30 days of an emergency or acute (unplanned) hospital admission</w:t>
      </w:r>
      <w:r w:rsidRPr="009C118E">
        <w:t xml:space="preserve">. You can read the full report on our website: </w:t>
      </w:r>
      <w:r w:rsidR="008B1FF8" w:rsidRPr="00DE57CF">
        <w:t>www</w:t>
      </w:r>
      <w:r w:rsidR="00DE57CF" w:rsidRPr="00DE57CF">
        <w:t>.teaho.govt.nz/publications</w:t>
      </w:r>
    </w:p>
    <w:p w14:paraId="366295B6" w14:textId="1255032B" w:rsidR="00F90E9E" w:rsidRPr="009C118E" w:rsidRDefault="00F90E9E" w:rsidP="00C75D46">
      <w:pPr>
        <w:pStyle w:val="Heading1"/>
      </w:pPr>
      <w:r w:rsidRPr="009C118E">
        <w:lastRenderedPageBreak/>
        <w:t xml:space="preserve">Many factors may contribute to </w:t>
      </w:r>
      <w:r w:rsidR="006431B4">
        <w:t xml:space="preserve">a </w:t>
      </w:r>
      <w:r w:rsidRPr="009C118E">
        <w:t>high</w:t>
      </w:r>
      <w:r w:rsidR="006431B4">
        <w:t xml:space="preserve"> rate of cancer diagnosis after an</w:t>
      </w:r>
      <w:r w:rsidRPr="009C118E">
        <w:t xml:space="preserve"> emergency </w:t>
      </w:r>
      <w:r w:rsidR="00A540F0">
        <w:t xml:space="preserve">admission </w:t>
      </w:r>
    </w:p>
    <w:p w14:paraId="7F163E68" w14:textId="68A76787" w:rsidR="00F90E9E" w:rsidRDefault="00F90E9E" w:rsidP="00443BF3">
      <w:pPr>
        <w:spacing w:after="0"/>
      </w:pPr>
      <w:r w:rsidRPr="009C118E">
        <w:t xml:space="preserve">There are a range of factors that lead to a person receiving a cancer diagnosis following an emergency admission to a hospital. </w:t>
      </w:r>
      <w:r w:rsidRPr="009C118E">
        <w:rPr>
          <w:szCs w:val="18"/>
        </w:rPr>
        <w:t xml:space="preserve">Several essential factors that impact the diagnosis of </w:t>
      </w:r>
      <w:r w:rsidRPr="009C118E">
        <w:t>cancer</w:t>
      </w:r>
      <w:r w:rsidRPr="009C118E">
        <w:rPr>
          <w:szCs w:val="18"/>
        </w:rPr>
        <w:t>, such as workforce and technology capacity (</w:t>
      </w:r>
      <w:proofErr w:type="spellStart"/>
      <w:r w:rsidRPr="009C118E">
        <w:rPr>
          <w:szCs w:val="18"/>
        </w:rPr>
        <w:t>ie</w:t>
      </w:r>
      <w:proofErr w:type="spellEnd"/>
      <w:r w:rsidRPr="009C118E">
        <w:rPr>
          <w:szCs w:val="18"/>
        </w:rPr>
        <w:t>, shortages), affect the entire health system and are not unique to cancer services.</w:t>
      </w:r>
      <w:r w:rsidR="009C118E">
        <w:rPr>
          <w:szCs w:val="18"/>
        </w:rPr>
        <w:t xml:space="preserve"> </w:t>
      </w:r>
      <w:r w:rsidRPr="009C118E">
        <w:rPr>
          <w:szCs w:val="18"/>
        </w:rPr>
        <w:t>U</w:t>
      </w:r>
      <w:r w:rsidRPr="009C118E">
        <w:t>nderstanding these precursors or causal factors is an important part of determining where to act to identify cancer earlier</w:t>
      </w:r>
      <w:r w:rsidR="00CA7F78">
        <w:t xml:space="preserve"> and</w:t>
      </w:r>
      <w:r w:rsidRPr="009C118E">
        <w:t xml:space="preserve"> improve survival rates and treatment experiences for patients. </w:t>
      </w:r>
      <w:r w:rsidR="00FD6FDD">
        <w:fldChar w:fldCharType="begin"/>
      </w:r>
      <w:r w:rsidR="00FD6FDD">
        <w:instrText xml:space="preserve"> REF _Ref152678144 \h </w:instrText>
      </w:r>
      <w:r w:rsidR="00FD6FDD">
        <w:fldChar w:fldCharType="separate"/>
      </w:r>
      <w:r w:rsidR="00746F74" w:rsidRPr="009C118E">
        <w:t xml:space="preserve">Figure </w:t>
      </w:r>
      <w:r w:rsidR="00746F74">
        <w:rPr>
          <w:noProof/>
        </w:rPr>
        <w:t>1</w:t>
      </w:r>
      <w:r w:rsidR="00FD6FDD">
        <w:fldChar w:fldCharType="end"/>
      </w:r>
      <w:r w:rsidR="00FD6FDD">
        <w:t xml:space="preserve"> lists s</w:t>
      </w:r>
      <w:r w:rsidRPr="009C118E">
        <w:t>ome of the causal factors identified through research.</w:t>
      </w:r>
    </w:p>
    <w:p w14:paraId="793B8E0A" w14:textId="77777777" w:rsidR="00443BF3" w:rsidRPr="009C118E" w:rsidRDefault="00443BF3" w:rsidP="00443BF3">
      <w:pPr>
        <w:spacing w:after="0"/>
      </w:pPr>
    </w:p>
    <w:p w14:paraId="4A28417E" w14:textId="4EA56D2C" w:rsidR="00F90E9E" w:rsidRPr="009C118E" w:rsidRDefault="00F90E9E" w:rsidP="00443BF3">
      <w:pPr>
        <w:pStyle w:val="Figure"/>
      </w:pPr>
      <w:bookmarkStart w:id="1" w:name="_Ref152678144"/>
      <w:r w:rsidRPr="009C118E">
        <w:lastRenderedPageBreak/>
        <w:t xml:space="preserve">Figure </w:t>
      </w:r>
      <w:r w:rsidR="00864307">
        <w:fldChar w:fldCharType="begin"/>
      </w:r>
      <w:r w:rsidR="00864307">
        <w:instrText xml:space="preserve"> SEQ Figure \</w:instrText>
      </w:r>
      <w:r w:rsidR="00864307">
        <w:instrText xml:space="preserve">* ARABIC </w:instrText>
      </w:r>
      <w:r w:rsidR="00864307">
        <w:fldChar w:fldCharType="separate"/>
      </w:r>
      <w:r w:rsidR="00746F74">
        <w:rPr>
          <w:noProof/>
        </w:rPr>
        <w:t>1</w:t>
      </w:r>
      <w:r w:rsidR="00864307">
        <w:rPr>
          <w:noProof/>
        </w:rPr>
        <w:fldChar w:fldCharType="end"/>
      </w:r>
      <w:bookmarkEnd w:id="1"/>
      <w:r w:rsidRPr="009C118E">
        <w:t>: Factors that contribute to a cancer diagnosis following an emergency admission</w:t>
      </w:r>
    </w:p>
    <w:p w14:paraId="6F3DC90C" w14:textId="3056BC5C" w:rsidR="001939AC" w:rsidRPr="009C118E" w:rsidRDefault="001939AC" w:rsidP="00F134D1">
      <w:pPr>
        <w:keepNext/>
        <w:spacing w:after="0"/>
        <w:jc w:val="center"/>
      </w:pPr>
      <w:r w:rsidRPr="009C118E">
        <w:rPr>
          <w:noProof/>
        </w:rPr>
        <w:drawing>
          <wp:inline distT="0" distB="0" distL="0" distR="0" wp14:anchorId="0A84D796" wp14:editId="42FD97E3">
            <wp:extent cx="5040000" cy="472742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40000" cy="4727426"/>
                    </a:xfrm>
                    <a:prstGeom prst="rect">
                      <a:avLst/>
                    </a:prstGeom>
                  </pic:spPr>
                </pic:pic>
              </a:graphicData>
            </a:graphic>
          </wp:inline>
        </w:drawing>
      </w:r>
    </w:p>
    <w:p w14:paraId="1A9B2101" w14:textId="01D4D5A3" w:rsidR="00F90E9E" w:rsidRPr="009C118E" w:rsidRDefault="00F16DD6" w:rsidP="00877FAD">
      <w:pPr>
        <w:pStyle w:val="Note"/>
      </w:pPr>
      <w:r w:rsidRPr="004053F2">
        <w:rPr>
          <w:vertAlign w:val="superscript"/>
        </w:rPr>
        <w:t>a</w:t>
      </w:r>
      <w:r w:rsidR="00F257C2">
        <w:rPr>
          <w:vertAlign w:val="superscript"/>
        </w:rPr>
        <w:t xml:space="preserve"> </w:t>
      </w:r>
      <w:proofErr w:type="spellStart"/>
      <w:r>
        <w:t>Cassim</w:t>
      </w:r>
      <w:proofErr w:type="spellEnd"/>
      <w:r>
        <w:t xml:space="preserve"> et al 2019; </w:t>
      </w:r>
      <w:r w:rsidRPr="004053F2">
        <w:rPr>
          <w:vertAlign w:val="superscript"/>
        </w:rPr>
        <w:t>b</w:t>
      </w:r>
      <w:r w:rsidR="00F257C2">
        <w:rPr>
          <w:vertAlign w:val="superscript"/>
        </w:rPr>
        <w:t xml:space="preserve"> </w:t>
      </w:r>
      <w:r>
        <w:t xml:space="preserve">McPhail et al 2022; </w:t>
      </w:r>
      <w:r w:rsidRPr="004053F2">
        <w:rPr>
          <w:vertAlign w:val="superscript"/>
        </w:rPr>
        <w:t>c</w:t>
      </w:r>
      <w:r w:rsidR="00F257C2">
        <w:rPr>
          <w:vertAlign w:val="superscript"/>
        </w:rPr>
        <w:t xml:space="preserve"> </w:t>
      </w:r>
      <w:r>
        <w:t xml:space="preserve">Htun et al 2017; </w:t>
      </w:r>
      <w:r w:rsidRPr="004053F2">
        <w:rPr>
          <w:vertAlign w:val="superscript"/>
        </w:rPr>
        <w:t>d</w:t>
      </w:r>
      <w:r w:rsidR="00F257C2">
        <w:rPr>
          <w:vertAlign w:val="superscript"/>
        </w:rPr>
        <w:t xml:space="preserve"> </w:t>
      </w:r>
      <w:proofErr w:type="spellStart"/>
      <w:r>
        <w:t>Nekhlyudov</w:t>
      </w:r>
      <w:proofErr w:type="spellEnd"/>
      <w:r>
        <w:t xml:space="preserve"> and </w:t>
      </w:r>
      <w:proofErr w:type="spellStart"/>
      <w:r>
        <w:t>Latosinsky</w:t>
      </w:r>
      <w:proofErr w:type="spellEnd"/>
      <w:r>
        <w:t xml:space="preserve"> 2010; </w:t>
      </w:r>
      <w:r w:rsidR="00D6041F">
        <w:br/>
      </w:r>
      <w:r w:rsidR="00F257C2" w:rsidRPr="004053F2">
        <w:rPr>
          <w:vertAlign w:val="superscript"/>
        </w:rPr>
        <w:t>e</w:t>
      </w:r>
      <w:r w:rsidR="00F257C2">
        <w:rPr>
          <w:vertAlign w:val="superscript"/>
        </w:rPr>
        <w:t> </w:t>
      </w:r>
      <w:proofErr w:type="spellStart"/>
      <w:r>
        <w:t>Murchie</w:t>
      </w:r>
      <w:proofErr w:type="spellEnd"/>
      <w:r>
        <w:t xml:space="preserve"> et al 2017; </w:t>
      </w:r>
      <w:r w:rsidRPr="004053F2">
        <w:rPr>
          <w:vertAlign w:val="superscript"/>
        </w:rPr>
        <w:t>f</w:t>
      </w:r>
      <w:r w:rsidR="00F257C2">
        <w:rPr>
          <w:vertAlign w:val="superscript"/>
        </w:rPr>
        <w:t> </w:t>
      </w:r>
      <w:r>
        <w:t xml:space="preserve">Beatty et al 2009; </w:t>
      </w:r>
      <w:r w:rsidRPr="004053F2">
        <w:rPr>
          <w:vertAlign w:val="superscript"/>
        </w:rPr>
        <w:t>g</w:t>
      </w:r>
      <w:r w:rsidR="00F257C2">
        <w:rPr>
          <w:vertAlign w:val="superscript"/>
        </w:rPr>
        <w:t> </w:t>
      </w:r>
      <w:proofErr w:type="spellStart"/>
      <w:r>
        <w:t>Lyratzopoulos</w:t>
      </w:r>
      <w:proofErr w:type="spellEnd"/>
      <w:r>
        <w:t xml:space="preserve"> et al 2014; </w:t>
      </w:r>
      <w:r w:rsidRPr="004053F2">
        <w:rPr>
          <w:vertAlign w:val="superscript"/>
        </w:rPr>
        <w:t>h</w:t>
      </w:r>
      <w:r w:rsidR="00F257C2">
        <w:rPr>
          <w:vertAlign w:val="superscript"/>
        </w:rPr>
        <w:t> </w:t>
      </w:r>
      <w:proofErr w:type="spellStart"/>
      <w:r>
        <w:t>Majano</w:t>
      </w:r>
      <w:proofErr w:type="spellEnd"/>
      <w:r>
        <w:t xml:space="preserve"> et al 2022; </w:t>
      </w:r>
      <w:proofErr w:type="spellStart"/>
      <w:r w:rsidR="00F257C2" w:rsidRPr="004053F2">
        <w:rPr>
          <w:vertAlign w:val="superscript"/>
        </w:rPr>
        <w:t>i</w:t>
      </w:r>
      <w:proofErr w:type="spellEnd"/>
      <w:r w:rsidR="00F257C2">
        <w:t> </w:t>
      </w:r>
      <w:r>
        <w:t xml:space="preserve">Abel et al 2015; </w:t>
      </w:r>
      <w:r w:rsidR="00D6041F">
        <w:br/>
      </w:r>
      <w:r w:rsidRPr="004053F2">
        <w:rPr>
          <w:vertAlign w:val="superscript"/>
        </w:rPr>
        <w:t>j</w:t>
      </w:r>
      <w:r w:rsidR="00F257C2">
        <w:rPr>
          <w:vertAlign w:val="superscript"/>
        </w:rPr>
        <w:t> </w:t>
      </w:r>
      <w:r>
        <w:t xml:space="preserve">Waitangi Tribunal 2019; </w:t>
      </w:r>
      <w:r w:rsidR="00F257C2">
        <w:rPr>
          <w:vertAlign w:val="superscript"/>
        </w:rPr>
        <w:t>k </w:t>
      </w:r>
      <w:r>
        <w:t xml:space="preserve">Liberman 2019; </w:t>
      </w:r>
      <w:r w:rsidR="00F257C2" w:rsidRPr="004053F2">
        <w:rPr>
          <w:vertAlign w:val="superscript"/>
        </w:rPr>
        <w:t>l </w:t>
      </w:r>
      <w:proofErr w:type="spellStart"/>
      <w:r>
        <w:t>Grimmond</w:t>
      </w:r>
      <w:proofErr w:type="spellEnd"/>
      <w:r>
        <w:t xml:space="preserve"> et al 2021; </w:t>
      </w:r>
      <w:r w:rsidR="00F257C2">
        <w:rPr>
          <w:vertAlign w:val="superscript"/>
        </w:rPr>
        <w:t>m </w:t>
      </w:r>
      <w:proofErr w:type="spellStart"/>
      <w:r>
        <w:t>Meheus</w:t>
      </w:r>
      <w:proofErr w:type="spellEnd"/>
      <w:r>
        <w:t xml:space="preserve"> et al 2019</w:t>
      </w:r>
    </w:p>
    <w:p w14:paraId="4C4DEAEB" w14:textId="77777777" w:rsidR="00F90E9E" w:rsidRPr="009C118E" w:rsidRDefault="00F90E9E" w:rsidP="00877FAD">
      <w:pPr>
        <w:pStyle w:val="Heading1"/>
      </w:pPr>
      <w:r w:rsidRPr="009C118E">
        <w:lastRenderedPageBreak/>
        <w:t>Why does it matter?</w:t>
      </w:r>
    </w:p>
    <w:p w14:paraId="643A251E" w14:textId="7CC51A54" w:rsidR="00F90E9E" w:rsidRDefault="00F90E9E" w:rsidP="00443BF3">
      <w:pPr>
        <w:spacing w:after="0"/>
      </w:pPr>
      <w:r w:rsidRPr="009C118E">
        <w:t>A fully optimised and well supported primary care, community diagnostics and specialist referral system (supported by effective screening programmes) should lead to more cancer patients being diagnosed earlier, which in turn should lead to improved outcomes.</w:t>
      </w:r>
      <w:r w:rsidR="009C118E">
        <w:t xml:space="preserve"> </w:t>
      </w:r>
      <w:r w:rsidRPr="009C118E">
        <w:t xml:space="preserve">A lack thereof will result in a disproportionate </w:t>
      </w:r>
      <w:r w:rsidR="00E83D13">
        <w:t xml:space="preserve">percentage </w:t>
      </w:r>
      <w:r w:rsidRPr="009C118E">
        <w:t>of patients being diagnosed through hospital emergency admissions</w:t>
      </w:r>
      <w:r w:rsidR="002E2513">
        <w:t>,</w:t>
      </w:r>
      <w:r w:rsidRPr="009C118E">
        <w:t xml:space="preserve"> often when presenting with severe symptoms indicating advanced stage of disease and resulting in poorer outcome, as seen in </w:t>
      </w:r>
      <w:r w:rsidR="00D6041F">
        <w:fldChar w:fldCharType="begin"/>
      </w:r>
      <w:r w:rsidR="00D6041F">
        <w:instrText xml:space="preserve"> REF _Ref152753473 \h </w:instrText>
      </w:r>
      <w:r w:rsidR="00D6041F">
        <w:fldChar w:fldCharType="separate"/>
      </w:r>
      <w:r w:rsidR="00746F74" w:rsidRPr="009C118E">
        <w:t xml:space="preserve">Figure </w:t>
      </w:r>
      <w:r w:rsidR="00746F74">
        <w:rPr>
          <w:noProof/>
        </w:rPr>
        <w:t>2</w:t>
      </w:r>
      <w:r w:rsidR="00D6041F">
        <w:fldChar w:fldCharType="end"/>
      </w:r>
      <w:r w:rsidR="00D6041F">
        <w:t xml:space="preserve"> </w:t>
      </w:r>
      <w:r w:rsidRPr="009C118E">
        <w:t>below.</w:t>
      </w:r>
    </w:p>
    <w:p w14:paraId="308FFCBB" w14:textId="77777777" w:rsidR="00443BF3" w:rsidRPr="009C118E" w:rsidRDefault="00443BF3" w:rsidP="00443BF3">
      <w:pPr>
        <w:spacing w:after="0"/>
      </w:pPr>
    </w:p>
    <w:p w14:paraId="3EA35C24" w14:textId="7E0970A3" w:rsidR="00F90E9E" w:rsidRDefault="00F90E9E" w:rsidP="00443BF3">
      <w:pPr>
        <w:spacing w:after="0"/>
        <w:rPr>
          <w:rFonts w:cs="Segoe UI"/>
        </w:rPr>
      </w:pPr>
      <w:r w:rsidRPr="009C118E">
        <w:rPr>
          <w:rFonts w:cs="Segoe UI"/>
        </w:rPr>
        <w:t xml:space="preserve">These patients also have poorer quality of life, a worse experience, and are less likely to be offered curative treatment compared to those who do not have an emergency admission </w:t>
      </w:r>
      <w:r w:rsidRPr="009C118E">
        <w:rPr>
          <w:rFonts w:eastAsia="Fira Sans" w:cs="Fira Sans"/>
        </w:rPr>
        <w:t>(McPhail et al 2022; Pham et al 2019; Zhou et al 2017)</w:t>
      </w:r>
      <w:r w:rsidRPr="009C118E">
        <w:rPr>
          <w:rFonts w:cs="Segoe UI"/>
        </w:rPr>
        <w:t>.</w:t>
      </w:r>
    </w:p>
    <w:p w14:paraId="4B332A28" w14:textId="77777777" w:rsidR="00443BF3" w:rsidRPr="009C118E" w:rsidRDefault="00443BF3" w:rsidP="00443BF3">
      <w:pPr>
        <w:spacing w:after="0"/>
        <w:rPr>
          <w:rFonts w:cs="Segoe UI"/>
        </w:rPr>
      </w:pPr>
    </w:p>
    <w:p w14:paraId="1361C8FA" w14:textId="04E50DA3" w:rsidR="00F90E9E" w:rsidRDefault="00F90E9E" w:rsidP="00443BF3">
      <w:pPr>
        <w:spacing w:after="0"/>
        <w:rPr>
          <w:rFonts w:cs="Segoe UI"/>
        </w:rPr>
      </w:pPr>
      <w:r w:rsidRPr="009C118E">
        <w:rPr>
          <w:rFonts w:cs="Segoe UI"/>
        </w:rPr>
        <w:t xml:space="preserve">The other important consideration is the extent to which vulnerable or under-served populations (such as Māori, </w:t>
      </w:r>
      <w:r w:rsidR="003B53B5">
        <w:rPr>
          <w:rFonts w:cs="Segoe UI"/>
        </w:rPr>
        <w:t>Pacific peoples</w:t>
      </w:r>
      <w:r w:rsidRPr="009C118E">
        <w:rPr>
          <w:rFonts w:cs="Segoe UI"/>
        </w:rPr>
        <w:t>, and/or people living in rural and remote communities) are more likely to be diagnosed after emergency admission. Data on this will be used to inform discussions with</w:t>
      </w:r>
      <w:r w:rsidR="007F2E8A">
        <w:rPr>
          <w:rFonts w:cs="Segoe UI"/>
        </w:rPr>
        <w:t xml:space="preserve"> Health New Zealand</w:t>
      </w:r>
      <w:r w:rsidR="00DB77E1">
        <w:rPr>
          <w:rFonts w:cs="Segoe UI"/>
        </w:rPr>
        <w:t xml:space="preserve"> | </w:t>
      </w:r>
      <w:proofErr w:type="spellStart"/>
      <w:r w:rsidR="00DB77E1">
        <w:rPr>
          <w:rFonts w:cs="Segoe UI"/>
        </w:rPr>
        <w:t>Te</w:t>
      </w:r>
      <w:proofErr w:type="spellEnd"/>
      <w:r w:rsidR="00DB77E1">
        <w:rPr>
          <w:rFonts w:cs="Segoe UI"/>
        </w:rPr>
        <w:t xml:space="preserve"> </w:t>
      </w:r>
      <w:proofErr w:type="spellStart"/>
      <w:r w:rsidR="00DB77E1">
        <w:rPr>
          <w:rFonts w:cs="Segoe UI"/>
        </w:rPr>
        <w:t>Whatu</w:t>
      </w:r>
      <w:proofErr w:type="spellEnd"/>
      <w:r w:rsidR="00DB77E1">
        <w:rPr>
          <w:rFonts w:cs="Segoe UI"/>
        </w:rPr>
        <w:t xml:space="preserve"> Ora, </w:t>
      </w:r>
      <w:r w:rsidRPr="009C118E">
        <w:rPr>
          <w:rFonts w:cs="Segoe UI"/>
        </w:rPr>
        <w:t>community and primary health care providers (</w:t>
      </w:r>
      <w:proofErr w:type="spellStart"/>
      <w:r w:rsidRPr="009C118E">
        <w:rPr>
          <w:rFonts w:cs="Segoe UI"/>
        </w:rPr>
        <w:t>eg</w:t>
      </w:r>
      <w:proofErr w:type="spellEnd"/>
      <w:r w:rsidRPr="009C118E">
        <w:rPr>
          <w:rFonts w:cs="Segoe UI"/>
        </w:rPr>
        <w:t xml:space="preserve">, GPs, pharmacists) and other key agencies on ways to improve cancer detection and diagnosis processes and reduce cancer diagnoses via emergency admission across Aotearoa New Zealand. </w:t>
      </w:r>
    </w:p>
    <w:p w14:paraId="6248D62B" w14:textId="77777777" w:rsidR="00443BF3" w:rsidRPr="009C118E" w:rsidRDefault="00443BF3" w:rsidP="00443BF3">
      <w:pPr>
        <w:spacing w:after="0"/>
        <w:rPr>
          <w:rFonts w:cs="Segoe UI"/>
        </w:rPr>
      </w:pPr>
    </w:p>
    <w:p w14:paraId="5E4224C9" w14:textId="5B6EDB75" w:rsidR="00877FAD" w:rsidRPr="009C118E" w:rsidRDefault="00F90E9E" w:rsidP="00443BF3">
      <w:pPr>
        <w:pStyle w:val="Figure"/>
      </w:pPr>
      <w:bookmarkStart w:id="2" w:name="_Ref152753473"/>
      <w:bookmarkStart w:id="3" w:name="_Ref147409260"/>
      <w:r w:rsidRPr="009C118E">
        <w:t xml:space="preserve">Figure </w:t>
      </w:r>
      <w:r w:rsidR="00864307">
        <w:fldChar w:fldCharType="begin"/>
      </w:r>
      <w:r w:rsidR="00864307">
        <w:instrText xml:space="preserve"> SEQ Figure \* ARABIC </w:instrText>
      </w:r>
      <w:r w:rsidR="00864307">
        <w:fldChar w:fldCharType="separate"/>
      </w:r>
      <w:r w:rsidR="00746F74">
        <w:rPr>
          <w:noProof/>
        </w:rPr>
        <w:t>2</w:t>
      </w:r>
      <w:r w:rsidR="00864307">
        <w:rPr>
          <w:noProof/>
        </w:rPr>
        <w:fldChar w:fldCharType="end"/>
      </w:r>
      <w:bookmarkEnd w:id="2"/>
      <w:bookmarkEnd w:id="3"/>
      <w:r w:rsidRPr="009C118E">
        <w:t>: Proportion of deaths within 12 months of cancer diagnosis in Aotearoa New Zealand</w:t>
      </w:r>
      <w:r w:rsidR="00770D71">
        <w:t>,</w:t>
      </w:r>
      <w:r w:rsidRPr="009C118E">
        <w:t xml:space="preserve"> by diagnosis following emergency admission and no emergency admission, 2012</w:t>
      </w:r>
      <w:r w:rsidR="005D63DA">
        <w:t>–20</w:t>
      </w:r>
      <w:r w:rsidRPr="009C118E">
        <w:t>17</w:t>
      </w:r>
    </w:p>
    <w:p w14:paraId="5343DB75" w14:textId="246A277C" w:rsidR="00F90E9E" w:rsidRDefault="00877FAD" w:rsidP="004053F2">
      <w:pPr>
        <w:keepNext/>
        <w:spacing w:after="0"/>
      </w:pPr>
      <w:r w:rsidRPr="009C118E">
        <w:rPr>
          <w:noProof/>
        </w:rPr>
        <w:drawing>
          <wp:inline distT="0" distB="0" distL="0" distR="0" wp14:anchorId="0D83A0F1" wp14:editId="7387EAB2">
            <wp:extent cx="5130000" cy="367082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30000" cy="3670825"/>
                    </a:xfrm>
                    <a:prstGeom prst="rect">
                      <a:avLst/>
                    </a:prstGeom>
                  </pic:spPr>
                </pic:pic>
              </a:graphicData>
            </a:graphic>
          </wp:inline>
        </w:drawing>
      </w:r>
    </w:p>
    <w:p w14:paraId="7AE8658E" w14:textId="413A925F" w:rsidR="00541E53" w:rsidRPr="009C118E" w:rsidRDefault="00541E53" w:rsidP="004053F2">
      <w:pPr>
        <w:pStyle w:val="Note"/>
      </w:pPr>
      <w:r w:rsidRPr="00541E53">
        <w:t>Note: Graph created using data from McPhail et al 2022.</w:t>
      </w:r>
    </w:p>
    <w:p w14:paraId="6D46F310" w14:textId="11A5813A" w:rsidR="00F90E9E" w:rsidRPr="009C118E" w:rsidRDefault="006825C0" w:rsidP="00437D66">
      <w:pPr>
        <w:pStyle w:val="Heading1"/>
      </w:pPr>
      <w:r>
        <w:lastRenderedPageBreak/>
        <w:t xml:space="preserve">Aotearoa </w:t>
      </w:r>
      <w:r w:rsidR="00F90E9E" w:rsidRPr="009C118E">
        <w:t>New Zealand compares poorly to peer countries</w:t>
      </w:r>
    </w:p>
    <w:p w14:paraId="55E7ABAA" w14:textId="1F4D130E" w:rsidR="00F90E9E" w:rsidRDefault="00F90E9E" w:rsidP="00443BF3">
      <w:pPr>
        <w:spacing w:after="0"/>
      </w:pPr>
      <w:r w:rsidRPr="009C118E">
        <w:t xml:space="preserve">In 2022, an International Cancer Benchmarking Partnership (ICBP) study analysed cancer registrations and linked hospital admissions data from 14 jurisdictions in six countries: Australia, Canada, Denmark, Aotearoa New Zealand, </w:t>
      </w:r>
      <w:r w:rsidR="006425B6" w:rsidRPr="009C118E">
        <w:t>Norway,</w:t>
      </w:r>
      <w:r w:rsidRPr="009C118E">
        <w:t xml:space="preserve"> and the United Kingdom. This focused on eight cancers: oesophageal, stomach, colon, rectal, liver, pancreatic, lung and ovarian. The findings were published in </w:t>
      </w:r>
      <w:r w:rsidR="00D53BDB" w:rsidRPr="004053F2">
        <w:rPr>
          <w:i/>
          <w:iCs/>
        </w:rPr>
        <w:t xml:space="preserve">The </w:t>
      </w:r>
      <w:r w:rsidRPr="004053F2">
        <w:rPr>
          <w:i/>
          <w:iCs/>
        </w:rPr>
        <w:t>Lancet Oncology</w:t>
      </w:r>
      <w:r w:rsidRPr="009C118E">
        <w:t xml:space="preserve"> in 2022 (McPhail et al 2022).</w:t>
      </w:r>
    </w:p>
    <w:p w14:paraId="6AE0B4FC" w14:textId="77777777" w:rsidR="00443BF3" w:rsidRPr="009C118E" w:rsidRDefault="00443BF3" w:rsidP="00443BF3">
      <w:pPr>
        <w:spacing w:after="0"/>
      </w:pPr>
    </w:p>
    <w:p w14:paraId="3C82C6DB" w14:textId="77361122" w:rsidR="00F90E9E" w:rsidRDefault="00F90E9E" w:rsidP="00443BF3">
      <w:pPr>
        <w:spacing w:after="0"/>
        <w:rPr>
          <w:rFonts w:cs="Segoe UI"/>
        </w:rPr>
      </w:pPr>
      <w:r w:rsidRPr="009C118E">
        <w:t xml:space="preserve">The ICBP report identified that Aotearoa New Zealand had the highest rates of emergency presentation prior to diagnosis for all of these cancers except liver cancer, </w:t>
      </w:r>
      <w:r w:rsidR="00D53BDB">
        <w:t>for which</w:t>
      </w:r>
      <w:r w:rsidR="00F31BB8">
        <w:t xml:space="preserve"> we had </w:t>
      </w:r>
      <w:r w:rsidRPr="009C118E">
        <w:t>the third highest</w:t>
      </w:r>
      <w:r w:rsidR="00F31BB8">
        <w:t xml:space="preserve"> rate</w:t>
      </w:r>
      <w:r w:rsidR="00E53CC2">
        <w:t xml:space="preserve"> (</w:t>
      </w:r>
      <w:r w:rsidR="00296D92">
        <w:rPr>
          <w:rFonts w:cs="Segoe UI"/>
        </w:rPr>
        <w:fldChar w:fldCharType="begin"/>
      </w:r>
      <w:r w:rsidR="00296D92">
        <w:rPr>
          <w:rFonts w:cs="Segoe UI"/>
        </w:rPr>
        <w:instrText xml:space="preserve"> REF _Ref148017173 \h </w:instrText>
      </w:r>
      <w:r w:rsidR="00296D92">
        <w:rPr>
          <w:rFonts w:cs="Segoe UI"/>
        </w:rPr>
      </w:r>
      <w:r w:rsidR="00296D92">
        <w:rPr>
          <w:rFonts w:cs="Segoe UI"/>
        </w:rPr>
        <w:fldChar w:fldCharType="separate"/>
      </w:r>
      <w:r w:rsidR="00746F74" w:rsidRPr="00BF3CCD">
        <w:rPr>
          <w:noProof/>
        </w:rPr>
        <w:t xml:space="preserve">Figure </w:t>
      </w:r>
      <w:r w:rsidR="00746F74">
        <w:rPr>
          <w:noProof/>
        </w:rPr>
        <w:t>3</w:t>
      </w:r>
      <w:r w:rsidR="00296D92">
        <w:rPr>
          <w:rFonts w:cs="Segoe UI"/>
        </w:rPr>
        <w:fldChar w:fldCharType="end"/>
      </w:r>
      <w:r w:rsidR="00E53CC2">
        <w:rPr>
          <w:rFonts w:cs="Segoe UI"/>
        </w:rPr>
        <w:t>).</w:t>
      </w:r>
    </w:p>
    <w:p w14:paraId="703C3D29" w14:textId="77777777" w:rsidR="00443BF3" w:rsidRPr="009C118E" w:rsidRDefault="00443BF3" w:rsidP="00443BF3">
      <w:pPr>
        <w:spacing w:after="0"/>
        <w:rPr>
          <w:rFonts w:cs="Segoe UI"/>
        </w:rPr>
      </w:pPr>
    </w:p>
    <w:p w14:paraId="07925687" w14:textId="01B11FF4" w:rsidR="00F90E9E" w:rsidRDefault="00F90E9E" w:rsidP="00443BF3">
      <w:pPr>
        <w:spacing w:after="0"/>
        <w:rPr>
          <w:rFonts w:cs="Segoe UI"/>
        </w:rPr>
      </w:pPr>
      <w:r w:rsidRPr="009C118E">
        <w:rPr>
          <w:rFonts w:cs="Segoe UI"/>
        </w:rPr>
        <w:t>Being included in the ICBP study present both an opportunity and a challenge. The opportunity is to identify the best practices in the highest performing countries that can be adapted and implemented in Aotearoa New Zealand. The challenge is to change the system in Aotearoa New Zealand to address this poor performance.</w:t>
      </w:r>
    </w:p>
    <w:p w14:paraId="032375F6" w14:textId="77777777" w:rsidR="00443BF3" w:rsidRDefault="00443BF3" w:rsidP="00443BF3">
      <w:pPr>
        <w:spacing w:after="0"/>
        <w:rPr>
          <w:rFonts w:cs="Segoe UI"/>
        </w:rPr>
      </w:pPr>
    </w:p>
    <w:p w14:paraId="1BF360E1" w14:textId="78D0E59F" w:rsidR="00F31BB8" w:rsidRPr="009C118E" w:rsidRDefault="00F31BB8" w:rsidP="00443BF3">
      <w:pPr>
        <w:pStyle w:val="Figure"/>
        <w:rPr>
          <w:noProof/>
        </w:rPr>
      </w:pPr>
      <w:bookmarkStart w:id="4" w:name="_Ref148017173"/>
      <w:bookmarkStart w:id="5" w:name="_Toc149209568"/>
      <w:bookmarkStart w:id="6" w:name="_Ref152242289"/>
      <w:bookmarkStart w:id="7" w:name="_Toc152333912"/>
      <w:r w:rsidRPr="00BF3CCD">
        <w:rPr>
          <w:noProof/>
        </w:rPr>
        <w:t xml:space="preserve">Figure </w:t>
      </w:r>
      <w:r w:rsidR="005939A0">
        <w:rPr>
          <w:noProof/>
        </w:rPr>
        <w:fldChar w:fldCharType="begin"/>
      </w:r>
      <w:r w:rsidR="005939A0">
        <w:rPr>
          <w:noProof/>
        </w:rPr>
        <w:instrText xml:space="preserve"> SEQ Figure \* ARABIC </w:instrText>
      </w:r>
      <w:r w:rsidR="005939A0">
        <w:rPr>
          <w:noProof/>
        </w:rPr>
        <w:fldChar w:fldCharType="separate"/>
      </w:r>
      <w:r w:rsidR="00746F74">
        <w:rPr>
          <w:noProof/>
        </w:rPr>
        <w:t>3</w:t>
      </w:r>
      <w:r w:rsidR="005939A0">
        <w:rPr>
          <w:noProof/>
        </w:rPr>
        <w:fldChar w:fldCharType="end"/>
      </w:r>
      <w:bookmarkEnd w:id="4"/>
      <w:r w:rsidRPr="00BF3CCD">
        <w:rPr>
          <w:noProof/>
        </w:rPr>
        <w:t>: International Cancer Benchmarking Programme cancer diagnosis following emergency admission: Aotearoa compared with 13 other international jurisdictions for eight cancer types.</w:t>
      </w:r>
      <w:bookmarkEnd w:id="5"/>
      <w:r>
        <w:rPr>
          <w:noProof/>
        </w:rPr>
        <w:t xml:space="preserve"> T</w:t>
      </w:r>
      <w:r w:rsidRPr="00826BE2">
        <w:rPr>
          <w:noProof/>
        </w:rPr>
        <w:t>he green bars indicate Aotearoa proportions</w:t>
      </w:r>
      <w:r w:rsidR="009A5BC2">
        <w:rPr>
          <w:noProof/>
        </w:rPr>
        <w:t>;</w:t>
      </w:r>
      <w:r w:rsidRPr="00826BE2">
        <w:rPr>
          <w:noProof/>
        </w:rPr>
        <w:t xml:space="preserve"> the grey bars indicate the other jurisdictions</w:t>
      </w:r>
      <w:r>
        <w:rPr>
          <w:noProof/>
        </w:rPr>
        <w:t>.</w:t>
      </w:r>
      <w:bookmarkEnd w:id="6"/>
      <w:bookmarkEnd w:id="7"/>
    </w:p>
    <w:p w14:paraId="140E34C4" w14:textId="77777777" w:rsidR="00F90E9E" w:rsidRPr="009C118E" w:rsidRDefault="00F90E9E" w:rsidP="00971B32">
      <w:pPr>
        <w:spacing w:after="0"/>
        <w:jc w:val="center"/>
      </w:pPr>
      <w:r w:rsidRPr="009C118E">
        <w:rPr>
          <w:noProof/>
        </w:rPr>
        <w:drawing>
          <wp:inline distT="0" distB="0" distL="0" distR="0" wp14:anchorId="4227E5BC" wp14:editId="151330DB">
            <wp:extent cx="5130000" cy="2985820"/>
            <wp:effectExtent l="0" t="0" r="0" b="5080"/>
            <wp:docPr id="2035043652" name="Picture 203504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0000" cy="2985820"/>
                    </a:xfrm>
                    <a:prstGeom prst="rect">
                      <a:avLst/>
                    </a:prstGeom>
                  </pic:spPr>
                </pic:pic>
              </a:graphicData>
            </a:graphic>
          </wp:inline>
        </w:drawing>
      </w:r>
    </w:p>
    <w:p w14:paraId="3AAFD18D" w14:textId="35AD908B" w:rsidR="00F90E9E" w:rsidRPr="009C118E" w:rsidRDefault="00F90E9E" w:rsidP="00437D66">
      <w:pPr>
        <w:pStyle w:val="Heading1"/>
      </w:pPr>
      <w:r w:rsidRPr="009C118E">
        <w:lastRenderedPageBreak/>
        <w:t xml:space="preserve">Brain, pancreatic and lung cancers are among the cancers with the highest rate of </w:t>
      </w:r>
      <w:r w:rsidR="004A6590">
        <w:t xml:space="preserve">diagnosis after an </w:t>
      </w:r>
      <w:r w:rsidRPr="009C118E">
        <w:t xml:space="preserve">emergency </w:t>
      </w:r>
      <w:r w:rsidR="004A6590">
        <w:t>admission</w:t>
      </w:r>
    </w:p>
    <w:p w14:paraId="0606E9DD" w14:textId="02711931" w:rsidR="00F90E9E" w:rsidRDefault="00F90E9E" w:rsidP="00443BF3">
      <w:pPr>
        <w:spacing w:after="0"/>
      </w:pPr>
      <w:r w:rsidRPr="009C118E">
        <w:t>The likelihood of emergency admission varies between cancer types. This is because each cancer has different characteristics or symptoms.</w:t>
      </w:r>
    </w:p>
    <w:p w14:paraId="47E02777" w14:textId="77777777" w:rsidR="00443BF3" w:rsidRPr="009C118E" w:rsidRDefault="00443BF3" w:rsidP="00443BF3">
      <w:pPr>
        <w:spacing w:after="0"/>
      </w:pPr>
    </w:p>
    <w:p w14:paraId="751E7ECF" w14:textId="1D24D9DF" w:rsidR="00F90E9E" w:rsidRDefault="00F90E9E" w:rsidP="00443BF3">
      <w:pPr>
        <w:spacing w:after="0"/>
      </w:pPr>
      <w:r w:rsidRPr="009C118E">
        <w:t xml:space="preserve">As shown in </w:t>
      </w:r>
      <w:r w:rsidR="006D3367">
        <w:fldChar w:fldCharType="begin"/>
      </w:r>
      <w:r w:rsidR="006D3367">
        <w:instrText xml:space="preserve"> REF _Ref152753583 \h </w:instrText>
      </w:r>
      <w:r w:rsidR="006D3367">
        <w:fldChar w:fldCharType="separate"/>
      </w:r>
      <w:r w:rsidR="00746F74" w:rsidRPr="009C118E">
        <w:rPr>
          <w:rFonts w:eastAsia="Calibri"/>
          <w:lang w:eastAsia="en-US"/>
        </w:rPr>
        <w:t xml:space="preserve">Figure </w:t>
      </w:r>
      <w:r w:rsidR="00746F74">
        <w:rPr>
          <w:rFonts w:eastAsia="Calibri"/>
          <w:noProof/>
          <w:lang w:eastAsia="en-US"/>
        </w:rPr>
        <w:t>4</w:t>
      </w:r>
      <w:r w:rsidR="006D3367">
        <w:fldChar w:fldCharType="end"/>
      </w:r>
      <w:r w:rsidRPr="009C118E">
        <w:t xml:space="preserve">, proportions </w:t>
      </w:r>
      <w:r w:rsidRPr="009C118E" w:rsidDel="00C87AB4">
        <w:t xml:space="preserve">are highest for cancers that </w:t>
      </w:r>
      <w:r w:rsidRPr="009C118E">
        <w:t>are more likely to have sudden onset of severe symptoms requiring urgent treatment, such as some brain and central nervous system cancers, and cancers that can be initially ‘quiet’ or have non-specific symptoms that can then require urgent review, such as pancreatic cancer. However, many other cancer types (like lung, stomach</w:t>
      </w:r>
      <w:r w:rsidR="004B5CEE">
        <w:t>,</w:t>
      </w:r>
      <w:r w:rsidRPr="009C118E">
        <w:t xml:space="preserve"> and bladder) can present with symptoms and/or indications that could (should) be detected and managed in the primary care/community setting.</w:t>
      </w:r>
    </w:p>
    <w:p w14:paraId="29C6FD9B" w14:textId="77777777" w:rsidR="00443BF3" w:rsidRPr="009C118E" w:rsidRDefault="00443BF3" w:rsidP="00443BF3">
      <w:pPr>
        <w:spacing w:after="0"/>
      </w:pPr>
    </w:p>
    <w:p w14:paraId="18A2D193" w14:textId="37084761" w:rsidR="00F90E9E" w:rsidRPr="009C118E" w:rsidRDefault="00F90E9E" w:rsidP="00443BF3">
      <w:pPr>
        <w:pStyle w:val="Figure"/>
        <w:rPr>
          <w:rFonts w:eastAsia="Calibri"/>
          <w:lang w:eastAsia="en-US"/>
        </w:rPr>
      </w:pPr>
      <w:bookmarkStart w:id="8" w:name="_Ref152753583"/>
      <w:bookmarkStart w:id="9" w:name="_Ref147909111"/>
      <w:bookmarkStart w:id="10" w:name="_Toc148442921"/>
      <w:bookmarkStart w:id="11" w:name="_Toc148013565"/>
      <w:r w:rsidRPr="009C118E">
        <w:rPr>
          <w:rFonts w:eastAsia="Calibri"/>
          <w:lang w:eastAsia="en-US"/>
        </w:rPr>
        <w:t xml:space="preserve">Figure </w:t>
      </w:r>
      <w:r w:rsidR="005939A0">
        <w:rPr>
          <w:rFonts w:eastAsia="Calibri"/>
          <w:lang w:eastAsia="en-US"/>
        </w:rPr>
        <w:fldChar w:fldCharType="begin"/>
      </w:r>
      <w:r w:rsidR="005939A0">
        <w:rPr>
          <w:rFonts w:eastAsia="Calibri"/>
          <w:lang w:eastAsia="en-US"/>
        </w:rPr>
        <w:instrText xml:space="preserve"> SEQ Figure \* ARABIC </w:instrText>
      </w:r>
      <w:r w:rsidR="005939A0">
        <w:rPr>
          <w:rFonts w:eastAsia="Calibri"/>
          <w:lang w:eastAsia="en-US"/>
        </w:rPr>
        <w:fldChar w:fldCharType="separate"/>
      </w:r>
      <w:r w:rsidR="00746F74">
        <w:rPr>
          <w:rFonts w:eastAsia="Calibri"/>
          <w:noProof/>
          <w:lang w:eastAsia="en-US"/>
        </w:rPr>
        <w:t>4</w:t>
      </w:r>
      <w:r w:rsidR="005939A0">
        <w:rPr>
          <w:rFonts w:eastAsia="Calibri"/>
          <w:lang w:eastAsia="en-US"/>
        </w:rPr>
        <w:fldChar w:fldCharType="end"/>
      </w:r>
      <w:bookmarkEnd w:id="8"/>
      <w:bookmarkEnd w:id="9"/>
      <w:r w:rsidRPr="009C118E">
        <w:rPr>
          <w:rFonts w:eastAsia="Calibri"/>
          <w:lang w:eastAsia="en-US"/>
        </w:rPr>
        <w:t>: Proportion of emergency admissions by cancer type in Aotearoa, 2017</w:t>
      </w:r>
      <w:r w:rsidR="005D63DA">
        <w:rPr>
          <w:rFonts w:eastAsia="Calibri"/>
          <w:lang w:eastAsia="en-US"/>
        </w:rPr>
        <w:t>–20</w:t>
      </w:r>
      <w:r w:rsidRPr="009C118E">
        <w:rPr>
          <w:rFonts w:eastAsia="Calibri"/>
          <w:lang w:eastAsia="en-US"/>
        </w:rPr>
        <w:t>21</w:t>
      </w:r>
      <w:bookmarkEnd w:id="10"/>
    </w:p>
    <w:p w14:paraId="394EB5AA" w14:textId="08FFE1F7" w:rsidR="00F90E9E" w:rsidRDefault="00437D66" w:rsidP="004053F2">
      <w:pPr>
        <w:keepNext/>
        <w:spacing w:after="0"/>
      </w:pPr>
      <w:r w:rsidRPr="009C118E">
        <w:rPr>
          <w:noProof/>
        </w:rPr>
        <w:drawing>
          <wp:inline distT="0" distB="0" distL="0" distR="0" wp14:anchorId="0A2627CC" wp14:editId="74D17048">
            <wp:extent cx="5130000" cy="362764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30000" cy="3627643"/>
                    </a:xfrm>
                    <a:prstGeom prst="rect">
                      <a:avLst/>
                    </a:prstGeom>
                  </pic:spPr>
                </pic:pic>
              </a:graphicData>
            </a:graphic>
          </wp:inline>
        </w:drawing>
      </w:r>
      <w:bookmarkEnd w:id="11"/>
    </w:p>
    <w:p w14:paraId="00BC5F15" w14:textId="546855F9" w:rsidR="00BA683A" w:rsidRPr="009C118E" w:rsidRDefault="00BA683A" w:rsidP="004053F2">
      <w:pPr>
        <w:pStyle w:val="Note"/>
      </w:pPr>
      <w:r w:rsidRPr="00BA683A">
        <w:t>Note: The light green line indicates the 95% confidence interval. CNS = central nervous system.</w:t>
      </w:r>
    </w:p>
    <w:p w14:paraId="1B9C1C9E" w14:textId="77777777" w:rsidR="00F90E9E" w:rsidRPr="009C118E" w:rsidRDefault="00F90E9E" w:rsidP="00437D66">
      <w:pPr>
        <w:pStyle w:val="Heading1"/>
      </w:pPr>
      <w:r w:rsidRPr="009C118E">
        <w:lastRenderedPageBreak/>
        <w:t>Māori are more likely to be diagnosed after an emergency admission</w:t>
      </w:r>
    </w:p>
    <w:p w14:paraId="4F02956A" w14:textId="69F8B44D" w:rsidR="00F90E9E" w:rsidRDefault="006B58CA" w:rsidP="00443BF3">
      <w:pPr>
        <w:spacing w:after="0"/>
      </w:pPr>
      <w:r>
        <w:fldChar w:fldCharType="begin"/>
      </w:r>
      <w:r>
        <w:instrText xml:space="preserve"> REF _Ref152676753 \h </w:instrText>
      </w:r>
      <w:r>
        <w:fldChar w:fldCharType="separate"/>
      </w:r>
      <w:r w:rsidR="00746F74">
        <w:t xml:space="preserve">Figure </w:t>
      </w:r>
      <w:r w:rsidR="00746F74">
        <w:rPr>
          <w:noProof/>
        </w:rPr>
        <w:t>5</w:t>
      </w:r>
      <w:r>
        <w:fldChar w:fldCharType="end"/>
      </w:r>
      <w:r>
        <w:t xml:space="preserve"> </w:t>
      </w:r>
      <w:r w:rsidR="00F90E9E" w:rsidRPr="009C118E">
        <w:t>compares the total rate of cancer diagnosis following emergency admission between Māori and non-Māori/non-Pacific/</w:t>
      </w:r>
      <w:proofErr w:type="spellStart"/>
      <w:r w:rsidR="00F90E9E" w:rsidRPr="009C118E">
        <w:t>non-Asian</w:t>
      </w:r>
      <w:proofErr w:type="spellEnd"/>
      <w:r w:rsidR="00F90E9E" w:rsidRPr="009C118E">
        <w:t xml:space="preserve"> people (</w:t>
      </w:r>
      <w:proofErr w:type="spellStart"/>
      <w:r w:rsidR="00F90E9E" w:rsidRPr="009C118E">
        <w:t>ie</w:t>
      </w:r>
      <w:proofErr w:type="spellEnd"/>
      <w:r w:rsidR="00F90E9E" w:rsidRPr="009C118E">
        <w:t>, European/other</w:t>
      </w:r>
      <w:r w:rsidR="00FB326A">
        <w:t xml:space="preserve"> ethnicity</w:t>
      </w:r>
      <w:r w:rsidR="00F90E9E" w:rsidRPr="009C118E">
        <w:t>) and shows the results by district (where people live).</w:t>
      </w:r>
    </w:p>
    <w:p w14:paraId="0529EA48" w14:textId="77777777" w:rsidR="00443BF3" w:rsidRPr="009C118E" w:rsidRDefault="00443BF3" w:rsidP="00443BF3">
      <w:pPr>
        <w:spacing w:after="0"/>
      </w:pPr>
    </w:p>
    <w:p w14:paraId="5751B049" w14:textId="71A8BFEF" w:rsidR="00F90E9E" w:rsidRDefault="00F90E9E" w:rsidP="00443BF3">
      <w:pPr>
        <w:spacing w:after="0"/>
      </w:pPr>
      <w:r w:rsidRPr="009C118E">
        <w:rPr>
          <w:szCs w:val="18"/>
        </w:rPr>
        <w:t xml:space="preserve">It shows that, across Aotearoa New Zealand, Māori are more likely to be diagnosed following an emergency admission than </w:t>
      </w:r>
      <w:r w:rsidR="00FC3B48" w:rsidRPr="00FC3B48">
        <w:rPr>
          <w:szCs w:val="18"/>
        </w:rPr>
        <w:t>people of European/other ethnicity</w:t>
      </w:r>
      <w:r w:rsidRPr="009C118E">
        <w:rPr>
          <w:szCs w:val="18"/>
        </w:rPr>
        <w:t xml:space="preserve">. </w:t>
      </w:r>
      <w:r w:rsidRPr="009C118E">
        <w:t xml:space="preserve">For example, the figure shows that in Auckland, Māori are twice as likely to be diagnosed following an emergency admission compared to </w:t>
      </w:r>
      <w:r w:rsidR="00FC3B48" w:rsidRPr="00FC3B48">
        <w:rPr>
          <w:szCs w:val="18"/>
        </w:rPr>
        <w:t>people of European/other ethnicity</w:t>
      </w:r>
      <w:r w:rsidRPr="009C118E">
        <w:t xml:space="preserve">. These results are not surprising given Māori are less likely than </w:t>
      </w:r>
      <w:r w:rsidR="00FB326A" w:rsidRPr="00FB326A">
        <w:t>people of European/other ethnicity</w:t>
      </w:r>
      <w:r w:rsidR="00FB326A">
        <w:t xml:space="preserve"> </w:t>
      </w:r>
      <w:r w:rsidRPr="009C118E">
        <w:t>to have reliable access to primary care services and other supports that decrease the likelihood of late stage, emergency admission</w:t>
      </w:r>
      <w:r w:rsidR="00FB326A">
        <w:t xml:space="preserve"> </w:t>
      </w:r>
      <w:r w:rsidRPr="009C118E">
        <w:t>based diagnoses.</w:t>
      </w:r>
    </w:p>
    <w:p w14:paraId="71D81D3F" w14:textId="77777777" w:rsidR="00443BF3" w:rsidRPr="009C118E" w:rsidRDefault="00443BF3" w:rsidP="00443BF3">
      <w:pPr>
        <w:spacing w:after="0"/>
      </w:pPr>
    </w:p>
    <w:p w14:paraId="75293B99" w14:textId="736140FF" w:rsidR="00F90E9E" w:rsidRPr="009C118E" w:rsidRDefault="005939A0" w:rsidP="00443BF3">
      <w:pPr>
        <w:pStyle w:val="Figure"/>
        <w:rPr>
          <w:bCs/>
        </w:rPr>
      </w:pPr>
      <w:bookmarkStart w:id="12" w:name="_Ref152676753"/>
      <w:r>
        <w:t xml:space="preserve">Figure </w:t>
      </w:r>
      <w:r w:rsidR="00864307">
        <w:fldChar w:fldCharType="begin"/>
      </w:r>
      <w:r w:rsidR="00864307">
        <w:instrText xml:space="preserve"> SEQ Figure \* ARABIC </w:instrText>
      </w:r>
      <w:r w:rsidR="00864307">
        <w:fldChar w:fldCharType="separate"/>
      </w:r>
      <w:r w:rsidR="00746F74">
        <w:rPr>
          <w:noProof/>
        </w:rPr>
        <w:t>5</w:t>
      </w:r>
      <w:r w:rsidR="00864307">
        <w:rPr>
          <w:noProof/>
        </w:rPr>
        <w:fldChar w:fldCharType="end"/>
      </w:r>
      <w:bookmarkEnd w:id="12"/>
      <w:r w:rsidR="00F90E9E" w:rsidRPr="009C118E">
        <w:rPr>
          <w:rFonts w:eastAsia="Calibri" w:cs="Arial"/>
          <w:lang w:eastAsia="en-US"/>
        </w:rPr>
        <w:t>:</w:t>
      </w:r>
      <w:r w:rsidR="00F90E9E" w:rsidRPr="009C118E">
        <w:t xml:space="preserve"> Māori compared to </w:t>
      </w:r>
      <w:r w:rsidR="00A119ED" w:rsidRPr="00A119ED">
        <w:t xml:space="preserve">European/other ethnicity </w:t>
      </w:r>
      <w:r w:rsidR="00F90E9E" w:rsidRPr="009C118E">
        <w:t>emergency admission for all cancers combined, by district of residence</w:t>
      </w:r>
    </w:p>
    <w:p w14:paraId="610C1C25" w14:textId="28A0A118" w:rsidR="00E34B69" w:rsidRPr="009C118E" w:rsidRDefault="00E34B69" w:rsidP="006A4597">
      <w:pPr>
        <w:keepNext/>
        <w:spacing w:after="0"/>
      </w:pPr>
      <w:r w:rsidRPr="009C118E">
        <w:rPr>
          <w:noProof/>
        </w:rPr>
        <w:drawing>
          <wp:inline distT="0" distB="0" distL="0" distR="0" wp14:anchorId="3550CD8B" wp14:editId="3884B722">
            <wp:extent cx="4021798" cy="4021798"/>
            <wp:effectExtent l="0" t="0" r="0" b="0"/>
            <wp:docPr id="473013582" name="Picture 47301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13582" name="Picture 47301358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21798" cy="4021798"/>
                    </a:xfrm>
                    <a:prstGeom prst="rect">
                      <a:avLst/>
                    </a:prstGeom>
                  </pic:spPr>
                </pic:pic>
              </a:graphicData>
            </a:graphic>
          </wp:inline>
        </w:drawing>
      </w:r>
    </w:p>
    <w:p w14:paraId="49B709CF" w14:textId="1179A8C1" w:rsidR="006922FB" w:rsidRPr="009C118E" w:rsidRDefault="00F84165" w:rsidP="002568EC">
      <w:pPr>
        <w:pStyle w:val="Note"/>
        <w:keepLines/>
        <w:spacing w:line="240" w:lineRule="auto"/>
      </w:pPr>
      <w:r>
        <w:t xml:space="preserve">Note: </w:t>
      </w:r>
      <w:r w:rsidR="006922FB" w:rsidRPr="009C118E">
        <w:t>Points represent the standardised ratio, and lines represent the 95% confidence interval. For the West Coast and South Canterbury districts, the error bars are wider than others and cross 1. One reason for this is due to smaller Māori populations and therefore smaller case numbers for Māori in those areas</w:t>
      </w:r>
      <w:r w:rsidR="00507DE6">
        <w:t>.</w:t>
      </w:r>
      <w:r w:rsidR="006922FB" w:rsidRPr="009C118E">
        <w:t xml:space="preserve"> </w:t>
      </w:r>
      <w:r w:rsidR="00507DE6">
        <w:t>W</w:t>
      </w:r>
      <w:r w:rsidR="006922FB" w:rsidRPr="009C118E">
        <w:t>hile less statistically certain</w:t>
      </w:r>
      <w:r w:rsidR="005E1110">
        <w:t>,</w:t>
      </w:r>
      <w:r w:rsidR="006922FB" w:rsidRPr="009C118E">
        <w:t xml:space="preserve"> there is likely to be an inequitable ratio for Māori in these areas.</w:t>
      </w:r>
    </w:p>
    <w:p w14:paraId="49E046E8" w14:textId="0F59BCF9" w:rsidR="00F90E9E" w:rsidRPr="009C118E" w:rsidRDefault="00F90E9E" w:rsidP="00E34B69">
      <w:pPr>
        <w:pStyle w:val="Heading1"/>
      </w:pPr>
      <w:r w:rsidRPr="009C118E">
        <w:lastRenderedPageBreak/>
        <w:t>Cancer</w:t>
      </w:r>
      <w:r w:rsidR="00CC2E8A">
        <w:t>-</w:t>
      </w:r>
      <w:r w:rsidRPr="009C118E">
        <w:t>specific results</w:t>
      </w:r>
    </w:p>
    <w:p w14:paraId="3C0D0288" w14:textId="1ED71AA5" w:rsidR="00F90E9E" w:rsidRPr="009C118E" w:rsidRDefault="00F90E9E" w:rsidP="00443BF3">
      <w:pPr>
        <w:spacing w:after="0"/>
      </w:pPr>
      <w:r w:rsidRPr="009C118E">
        <w:t xml:space="preserve">The full report provides information regarding cancer diagnosis following emergency admission for 22 cancer types. In the next two sections we have provided example information for bowel and lung cancers. There are many factors that contribute </w:t>
      </w:r>
      <w:r w:rsidR="005E1110" w:rsidRPr="009C118E">
        <w:t>toward</w:t>
      </w:r>
      <w:r w:rsidR="005E1110">
        <w:t>s</w:t>
      </w:r>
      <w:r w:rsidR="005E1110" w:rsidRPr="009C118E">
        <w:t xml:space="preserve"> </w:t>
      </w:r>
      <w:r w:rsidRPr="009C118E">
        <w:t xml:space="preserve">the differences between these two </w:t>
      </w:r>
      <w:r w:rsidR="004E0B4C" w:rsidRPr="009C118E">
        <w:t>cancer</w:t>
      </w:r>
      <w:r w:rsidRPr="009C118E">
        <w:t xml:space="preserve"> types, including smoking status, access to screening and access to primary care; however, for bowel and lung cancer we have provided brief narrative as to contributing factors and solutions.</w:t>
      </w:r>
    </w:p>
    <w:p w14:paraId="5A26E37C" w14:textId="77777777" w:rsidR="00F90E9E" w:rsidRPr="009C118E" w:rsidRDefault="00F90E9E" w:rsidP="00E34B69"/>
    <w:p w14:paraId="20F20236" w14:textId="77777777" w:rsidR="00F90E9E" w:rsidRPr="009C118E" w:rsidRDefault="00F90E9E" w:rsidP="00F90E9E">
      <w:pPr>
        <w:spacing w:line="240" w:lineRule="auto"/>
      </w:pPr>
      <w:r w:rsidRPr="009C118E">
        <w:rPr>
          <w:noProof/>
        </w:rPr>
        <mc:AlternateContent>
          <mc:Choice Requires="wps">
            <w:drawing>
              <wp:inline distT="0" distB="0" distL="0" distR="0" wp14:anchorId="0F841DBE" wp14:editId="13F3DB20">
                <wp:extent cx="5130000" cy="1317009"/>
                <wp:effectExtent l="0" t="0" r="13970" b="13970"/>
                <wp:docPr id="6" name="Text Box 6"/>
                <wp:cNvGraphicFramePr/>
                <a:graphic xmlns:a="http://schemas.openxmlformats.org/drawingml/2006/main">
                  <a:graphicData uri="http://schemas.microsoft.com/office/word/2010/wordprocessingShape">
                    <wps:wsp>
                      <wps:cNvSpPr txBox="1"/>
                      <wps:spPr>
                        <a:xfrm>
                          <a:off x="0" y="0"/>
                          <a:ext cx="5130000" cy="1317009"/>
                        </a:xfrm>
                        <a:prstGeom prst="rect">
                          <a:avLst/>
                        </a:prstGeom>
                        <a:solidFill>
                          <a:srgbClr val="C6D9F1"/>
                        </a:solidFill>
                        <a:ln w="6350">
                          <a:solidFill>
                            <a:prstClr val="black"/>
                          </a:solidFill>
                        </a:ln>
                      </wps:spPr>
                      <wps:txbx>
                        <w:txbxContent>
                          <w:p w14:paraId="2A0D5014" w14:textId="151F2733" w:rsidR="00F90E9E" w:rsidRPr="004D3F82" w:rsidRDefault="004E0B4C" w:rsidP="004C18A2">
                            <w:pPr>
                              <w:spacing w:before="120" w:after="120" w:line="259" w:lineRule="auto"/>
                              <w:rPr>
                                <w:rFonts w:cs="Tms Rmn"/>
                                <w:b/>
                                <w:bCs/>
                                <w:i/>
                                <w:iCs/>
                                <w:color w:val="000000" w:themeColor="text1"/>
                              </w:rPr>
                            </w:pPr>
                            <w:r w:rsidRPr="004D3F82">
                              <w:rPr>
                                <w:rFonts w:cs="Tms Rmn"/>
                                <w:b/>
                                <w:bCs/>
                                <w:i/>
                                <w:iCs/>
                                <w:color w:val="000000" w:themeColor="text1"/>
                              </w:rPr>
                              <w:t>Note to r</w:t>
                            </w:r>
                            <w:r w:rsidRPr="004D3F82" w:rsidDel="007E5D80">
                              <w:rPr>
                                <w:rFonts w:cs="Tms Rmn"/>
                                <w:b/>
                                <w:bCs/>
                                <w:i/>
                                <w:iCs/>
                                <w:color w:val="000000" w:themeColor="text1"/>
                              </w:rPr>
                              <w:t xml:space="preserve">eaders </w:t>
                            </w:r>
                            <w:r w:rsidR="00F90E9E" w:rsidRPr="004D3F82">
                              <w:rPr>
                                <w:rFonts w:cs="Tms Rmn"/>
                                <w:b/>
                                <w:bCs/>
                                <w:i/>
                                <w:iCs/>
                                <w:color w:val="000000" w:themeColor="text1"/>
                              </w:rPr>
                              <w:t>about</w:t>
                            </w:r>
                            <w:r w:rsidR="00F90E9E" w:rsidRPr="004D3F82" w:rsidDel="007E5D80">
                              <w:rPr>
                                <w:rFonts w:cs="Tms Rmn"/>
                                <w:b/>
                                <w:bCs/>
                                <w:i/>
                                <w:iCs/>
                                <w:color w:val="000000" w:themeColor="text1"/>
                              </w:rPr>
                              <w:t xml:space="preserve"> the </w:t>
                            </w:r>
                            <w:r w:rsidR="00F90E9E" w:rsidRPr="004D3F82">
                              <w:rPr>
                                <w:rFonts w:cs="Tms Rmn"/>
                                <w:b/>
                                <w:bCs/>
                                <w:i/>
                                <w:iCs/>
                                <w:color w:val="000000" w:themeColor="text1"/>
                              </w:rPr>
                              <w:t>confidence intervals shown in this report</w:t>
                            </w:r>
                          </w:p>
                          <w:p w14:paraId="5BC5CAC2" w14:textId="4987B2CA" w:rsidR="00F90E9E" w:rsidRPr="004D3F82" w:rsidRDefault="00F90E9E" w:rsidP="004C18A2">
                            <w:pPr>
                              <w:spacing w:before="120" w:after="120"/>
                            </w:pPr>
                            <w:r w:rsidRPr="004D3F82">
                              <w:t>Confidence intervals are most used when working with sample data to estimate how likely it is that the result is true of the whole population. Therefore, confidence intervals are often used to decide if a difference between two groups being looked at is likely to be a true difference (if the confidence intervals overlap, there may not be a true difference). This report uses whole population data (</w:t>
                            </w:r>
                            <w:proofErr w:type="spellStart"/>
                            <w:r w:rsidRPr="004D3F82">
                              <w:t>ie</w:t>
                            </w:r>
                            <w:proofErr w:type="spellEnd"/>
                            <w:r w:rsidRPr="004D3F82">
                              <w:t>, it is not a sample)</w:t>
                            </w:r>
                            <w:r w:rsidR="004E0B4C" w:rsidRPr="004D3F82">
                              <w:t>,</w:t>
                            </w:r>
                            <w:r w:rsidRPr="004D3F82">
                              <w:t xml:space="preserve"> so confidence intervals should be interpreted differently. They are presented in this report to give an impression of what variation there may be over time (rather than the likelihood the result is true). Therefore, overlapping confidence intervals do not indicate the absence of a difference between compared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F841DBE" id="Text Box 6" o:spid="_x0000_s1028" type="#_x0000_t202" style="width:403.95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" fillcolor="#c6d9f1" strokeweight=".5pt">
                <v:textbox style="mso-fit-shape-to-text:t">
                  <w:txbxContent>
                    <w:p w14:paraId="2A0D5014" w14:textId="151F2733" w:rsidR="00F90E9E" w:rsidRPr="004D3F82" w:rsidRDefault="004E0B4C" w:rsidP="004C18A2">
                      <w:pPr>
                        <w:spacing w:before="120" w:after="120" w:line="259" w:lineRule="auto"/>
                        <w:rPr>
                          <w:rFonts w:cs="Tms Rmn"/>
                          <w:b/>
                          <w:bCs/>
                          <w:i/>
                          <w:iCs/>
                          <w:color w:val="000000" w:themeColor="text1"/>
                        </w:rPr>
                      </w:pPr>
                      <w:r w:rsidRPr="004D3F82">
                        <w:rPr>
                          <w:rFonts w:cs="Tms Rmn"/>
                          <w:b/>
                          <w:bCs/>
                          <w:i/>
                          <w:iCs/>
                          <w:color w:val="000000" w:themeColor="text1"/>
                        </w:rPr>
                        <w:t>Note to r</w:t>
                      </w:r>
                      <w:r w:rsidRPr="004D3F82" w:rsidDel="007E5D80">
                        <w:rPr>
                          <w:rFonts w:cs="Tms Rmn"/>
                          <w:b/>
                          <w:bCs/>
                          <w:i/>
                          <w:iCs/>
                          <w:color w:val="000000" w:themeColor="text1"/>
                        </w:rPr>
                        <w:t xml:space="preserve">eaders </w:t>
                      </w:r>
                      <w:r w:rsidR="00F90E9E" w:rsidRPr="004D3F82">
                        <w:rPr>
                          <w:rFonts w:cs="Tms Rmn"/>
                          <w:b/>
                          <w:bCs/>
                          <w:i/>
                          <w:iCs/>
                          <w:color w:val="000000" w:themeColor="text1"/>
                        </w:rPr>
                        <w:t>about</w:t>
                      </w:r>
                      <w:r w:rsidR="00F90E9E" w:rsidRPr="004D3F82" w:rsidDel="007E5D80">
                        <w:rPr>
                          <w:rFonts w:cs="Tms Rmn"/>
                          <w:b/>
                          <w:bCs/>
                          <w:i/>
                          <w:iCs/>
                          <w:color w:val="000000" w:themeColor="text1"/>
                        </w:rPr>
                        <w:t xml:space="preserve"> the </w:t>
                      </w:r>
                      <w:r w:rsidR="00F90E9E" w:rsidRPr="004D3F82">
                        <w:rPr>
                          <w:rFonts w:cs="Tms Rmn"/>
                          <w:b/>
                          <w:bCs/>
                          <w:i/>
                          <w:iCs/>
                          <w:color w:val="000000" w:themeColor="text1"/>
                        </w:rPr>
                        <w:t>confidence intervals shown in this report</w:t>
                      </w:r>
                    </w:p>
                    <w:p w14:paraId="5BC5CAC2" w14:textId="4987B2CA" w:rsidR="00F90E9E" w:rsidRPr="004D3F82" w:rsidRDefault="00F90E9E" w:rsidP="004C18A2">
                      <w:pPr>
                        <w:spacing w:before="120" w:after="120"/>
                      </w:pPr>
                      <w:r w:rsidRPr="004D3F82">
                        <w:t>Confidence intervals are most used when working with sample data to estimate how likely it is that the result is true of the whole population. Therefore, confidence intervals are often used to decide if a difference between two groups being looked at is likely to be a true difference (if the confidence intervals overlap, there may not be a true difference). This report uses whole population data (</w:t>
                      </w:r>
                      <w:proofErr w:type="spellStart"/>
                      <w:r w:rsidRPr="004D3F82">
                        <w:t>ie</w:t>
                      </w:r>
                      <w:proofErr w:type="spellEnd"/>
                      <w:r w:rsidRPr="004D3F82">
                        <w:t>, it is not a sample)</w:t>
                      </w:r>
                      <w:r w:rsidR="004E0B4C" w:rsidRPr="004D3F82">
                        <w:t>,</w:t>
                      </w:r>
                      <w:r w:rsidRPr="004D3F82">
                        <w:t xml:space="preserve"> so confidence intervals should be interpreted differently. They are presented in this report to give an impression of what variation there may be over time (rather than the likelihood the result is true). Therefore, overlapping confidence intervals do not indicate the absence of a difference between compared groups.</w:t>
                      </w:r>
                    </w:p>
                  </w:txbxContent>
                </v:textbox>
                <w10:anchorlock/>
              </v:shape>
            </w:pict>
          </mc:Fallback>
        </mc:AlternateContent>
      </w:r>
    </w:p>
    <w:p w14:paraId="7F4B963F" w14:textId="50F0E68D" w:rsidR="00F90E9E" w:rsidRPr="009C118E" w:rsidRDefault="00F90E9E" w:rsidP="00F90E9E">
      <w:pPr>
        <w:spacing w:line="240" w:lineRule="auto"/>
      </w:pPr>
    </w:p>
    <w:p w14:paraId="11CFFDC7" w14:textId="5366C849" w:rsidR="00F90E9E" w:rsidRPr="009C118E" w:rsidRDefault="004C18A2" w:rsidP="001C35BF">
      <w:pPr>
        <w:pStyle w:val="Heading2"/>
        <w:pageBreakBefore/>
      </w:pPr>
      <w:r w:rsidRPr="009C118E">
        <w:lastRenderedPageBreak/>
        <w:t>Spotlight on bowel cancer</w:t>
      </w:r>
    </w:p>
    <w:p w14:paraId="73477DC0" w14:textId="0AE6E99C" w:rsidR="00F90E9E" w:rsidRDefault="00F90E9E" w:rsidP="00443BF3">
      <w:pPr>
        <w:spacing w:after="0"/>
      </w:pPr>
      <w:r w:rsidRPr="009C118E">
        <w:t xml:space="preserve">Of the 15,139 people diagnosed with bowel cancer between 2017 and 2021, </w:t>
      </w:r>
      <w:r w:rsidR="004E0B4C">
        <w:t xml:space="preserve">30% </w:t>
      </w:r>
      <w:r w:rsidRPr="009C118E">
        <w:t>were diagnosed within 30 days of an emergency admission.</w:t>
      </w:r>
      <w:r w:rsidR="009C118E">
        <w:t xml:space="preserve"> </w:t>
      </w:r>
      <w:r w:rsidRPr="009C118E">
        <w:t xml:space="preserve">Proportions were highest among Māori (47%) and Pacific peoples (52.7%) compared to </w:t>
      </w:r>
      <w:r w:rsidR="00B2554F" w:rsidRPr="00B2554F">
        <w:t>people of European/other ethnicity</w:t>
      </w:r>
      <w:r w:rsidRPr="009C118E">
        <w:t xml:space="preserve"> (30.6%). Proportions were also higher among those in younger (18</w:t>
      </w:r>
      <w:r w:rsidR="005D63DA">
        <w:t>–</w:t>
      </w:r>
      <w:r w:rsidRPr="009C118E">
        <w:t>49</w:t>
      </w:r>
      <w:r w:rsidR="00686111">
        <w:t xml:space="preserve"> years</w:t>
      </w:r>
      <w:r w:rsidRPr="009C118E">
        <w:t>) and older (80+</w:t>
      </w:r>
      <w:r w:rsidR="00686111">
        <w:t xml:space="preserve"> years</w:t>
      </w:r>
      <w:r w:rsidRPr="009C118E">
        <w:t>) age groups.</w:t>
      </w:r>
      <w:r w:rsidR="009C118E">
        <w:t xml:space="preserve"> </w:t>
      </w:r>
      <w:r w:rsidRPr="009C118E">
        <w:t>Emergency admissions were higher as deprivation increased (</w:t>
      </w:r>
      <w:r w:rsidR="00525C5A">
        <w:fldChar w:fldCharType="begin"/>
      </w:r>
      <w:r w:rsidR="00525C5A">
        <w:instrText xml:space="preserve"> REF _Ref152676730 \h </w:instrText>
      </w:r>
      <w:r w:rsidR="00525C5A">
        <w:fldChar w:fldCharType="separate"/>
      </w:r>
      <w:r w:rsidR="00746F74">
        <w:t xml:space="preserve">Figure </w:t>
      </w:r>
      <w:r w:rsidR="00746F74">
        <w:rPr>
          <w:noProof/>
        </w:rPr>
        <w:t>6</w:t>
      </w:r>
      <w:r w:rsidR="00525C5A">
        <w:fldChar w:fldCharType="end"/>
      </w:r>
      <w:r w:rsidRPr="009C118E">
        <w:t>).</w:t>
      </w:r>
    </w:p>
    <w:p w14:paraId="579CB28E" w14:textId="77777777" w:rsidR="00443BF3" w:rsidRPr="009C118E" w:rsidRDefault="00443BF3" w:rsidP="00443BF3">
      <w:pPr>
        <w:spacing w:after="0"/>
      </w:pPr>
    </w:p>
    <w:p w14:paraId="388C161C" w14:textId="1D14902E" w:rsidR="00F90E9E" w:rsidRPr="009C118E" w:rsidRDefault="005939A0" w:rsidP="00443BF3">
      <w:pPr>
        <w:pStyle w:val="Figure"/>
      </w:pPr>
      <w:bookmarkStart w:id="13" w:name="_Ref152676730"/>
      <w:bookmarkStart w:id="14" w:name="_Ref147399925"/>
      <w:r>
        <w:t xml:space="preserve">Figure </w:t>
      </w:r>
      <w:r w:rsidR="00864307">
        <w:fldChar w:fldCharType="begin"/>
      </w:r>
      <w:r w:rsidR="00864307">
        <w:instrText xml:space="preserve"> SEQ Figure \* ARABIC </w:instrText>
      </w:r>
      <w:r w:rsidR="00864307">
        <w:fldChar w:fldCharType="separate"/>
      </w:r>
      <w:r w:rsidR="00746F74">
        <w:rPr>
          <w:noProof/>
        </w:rPr>
        <w:t>6</w:t>
      </w:r>
      <w:r w:rsidR="00864307">
        <w:rPr>
          <w:noProof/>
        </w:rPr>
        <w:fldChar w:fldCharType="end"/>
      </w:r>
      <w:bookmarkEnd w:id="13"/>
      <w:bookmarkEnd w:id="14"/>
      <w:r w:rsidR="00F90E9E" w:rsidRPr="009C118E">
        <w:t>: Proportion of people diagnosed with bowel cancer in the 30 days following emergency admission</w:t>
      </w:r>
      <w:r w:rsidR="006B58CA">
        <w:t>,</w:t>
      </w:r>
      <w:r w:rsidR="00F90E9E" w:rsidRPr="009C118E">
        <w:t xml:space="preserve"> by sex, ethnicity, NZDep</w:t>
      </w:r>
      <w:r w:rsidR="006B58CA">
        <w:t>20</w:t>
      </w:r>
      <w:r w:rsidR="00F90E9E" w:rsidRPr="009C118E">
        <w:t>18 quintile, rural</w:t>
      </w:r>
      <w:r w:rsidR="006B58CA">
        <w:t>–</w:t>
      </w:r>
      <w:r w:rsidR="00F90E9E" w:rsidRPr="009C118E">
        <w:t>urban status (all age-standardised), and age (non-standardised) for the years 2017</w:t>
      </w:r>
      <w:r w:rsidR="005D63DA">
        <w:t>–</w:t>
      </w:r>
      <w:r w:rsidR="00F90E9E" w:rsidRPr="009C118E">
        <w:t>2021</w:t>
      </w:r>
    </w:p>
    <w:p w14:paraId="53B470CB" w14:textId="4C580C37" w:rsidR="004C18A2" w:rsidRPr="009C118E" w:rsidRDefault="004C18A2" w:rsidP="00971B32">
      <w:pPr>
        <w:spacing w:after="0"/>
      </w:pPr>
      <w:r w:rsidRPr="009C118E">
        <w:rPr>
          <w:noProof/>
        </w:rPr>
        <w:drawing>
          <wp:inline distT="0" distB="0" distL="0" distR="0" wp14:anchorId="68D9661B" wp14:editId="54998AA7">
            <wp:extent cx="5129999" cy="362730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29999" cy="3627306"/>
                    </a:xfrm>
                    <a:prstGeom prst="rect">
                      <a:avLst/>
                    </a:prstGeom>
                  </pic:spPr>
                </pic:pic>
              </a:graphicData>
            </a:graphic>
          </wp:inline>
        </w:drawing>
      </w:r>
    </w:p>
    <w:p w14:paraId="377139BF" w14:textId="3CF8F780" w:rsidR="004C18A2" w:rsidRDefault="004C18A2" w:rsidP="00443BF3">
      <w:pPr>
        <w:spacing w:after="0"/>
      </w:pPr>
    </w:p>
    <w:p w14:paraId="363BB840" w14:textId="77777777" w:rsidR="00443BF3" w:rsidRPr="00971B32" w:rsidRDefault="00443BF3" w:rsidP="00443BF3">
      <w:pPr>
        <w:spacing w:after="0"/>
      </w:pPr>
    </w:p>
    <w:p w14:paraId="71391313" w14:textId="76C47BDE" w:rsidR="00F90E9E" w:rsidRPr="009C118E" w:rsidRDefault="00677E29" w:rsidP="00443BF3">
      <w:pPr>
        <w:spacing w:after="0"/>
      </w:pPr>
      <w:r>
        <w:fldChar w:fldCharType="begin"/>
      </w:r>
      <w:r>
        <w:instrText xml:space="preserve"> REF _Ref152754310 \h </w:instrText>
      </w:r>
      <w:r>
        <w:fldChar w:fldCharType="separate"/>
      </w:r>
      <w:r w:rsidR="00746F74">
        <w:t xml:space="preserve">Figure </w:t>
      </w:r>
      <w:r w:rsidR="00746F74">
        <w:rPr>
          <w:noProof/>
        </w:rPr>
        <w:t>7</w:t>
      </w:r>
      <w:r>
        <w:fldChar w:fldCharType="end"/>
      </w:r>
      <w:r>
        <w:t xml:space="preserve"> </w:t>
      </w:r>
      <w:r w:rsidR="00F90E9E" w:rsidRPr="009C118E">
        <w:t xml:space="preserve">shows that the proportion of emergency admissions have some variability by district. </w:t>
      </w:r>
      <w:proofErr w:type="spellStart"/>
      <w:r w:rsidR="00F90E9E" w:rsidRPr="009C118E">
        <w:t>Tairāwhiti</w:t>
      </w:r>
      <w:proofErr w:type="spellEnd"/>
      <w:r w:rsidR="00F90E9E" w:rsidRPr="009C118E">
        <w:t xml:space="preserve"> results are difficult to accurately interpret due to low case numbers. </w:t>
      </w:r>
    </w:p>
    <w:p w14:paraId="276E6AD2" w14:textId="358A4AAF" w:rsidR="00F90E9E" w:rsidRPr="009C118E" w:rsidRDefault="00332175" w:rsidP="00443BF3">
      <w:pPr>
        <w:pStyle w:val="Figure"/>
      </w:pPr>
      <w:bookmarkStart w:id="15" w:name="_Ref147399684"/>
      <w:bookmarkStart w:id="16" w:name="_Ref152754310"/>
      <w:r>
        <w:lastRenderedPageBreak/>
        <w:t xml:space="preserve">Figure </w:t>
      </w:r>
      <w:r w:rsidR="00864307">
        <w:fldChar w:fldCharType="begin"/>
      </w:r>
      <w:r w:rsidR="00864307">
        <w:instrText xml:space="preserve"> SEQ Figure \* ARABIC </w:instrText>
      </w:r>
      <w:r w:rsidR="00864307">
        <w:fldChar w:fldCharType="separate"/>
      </w:r>
      <w:r w:rsidR="00746F74">
        <w:rPr>
          <w:noProof/>
        </w:rPr>
        <w:t>7</w:t>
      </w:r>
      <w:r w:rsidR="00864307">
        <w:rPr>
          <w:noProof/>
        </w:rPr>
        <w:fldChar w:fldCharType="end"/>
      </w:r>
      <w:bookmarkEnd w:id="15"/>
      <w:bookmarkEnd w:id="16"/>
      <w:r w:rsidR="00F90E9E" w:rsidRPr="009C118E">
        <w:t>: Funnel plot showing proportion of people diagnosed with bowel cancer in the 30 days following emergency admission, by district of residence, for the years 2017</w:t>
      </w:r>
      <w:r w:rsidR="005D63DA">
        <w:t>–</w:t>
      </w:r>
      <w:r w:rsidR="00F90E9E" w:rsidRPr="009C118E">
        <w:t>2021 (un-standardised)</w:t>
      </w:r>
    </w:p>
    <w:p w14:paraId="437E8E87" w14:textId="77777777" w:rsidR="0067378E" w:rsidRPr="009C118E" w:rsidRDefault="004C18A2" w:rsidP="00971B32">
      <w:pPr>
        <w:spacing w:after="0" w:line="240" w:lineRule="auto"/>
      </w:pPr>
      <w:r w:rsidRPr="009C118E">
        <w:rPr>
          <w:noProof/>
        </w:rPr>
        <w:drawing>
          <wp:inline distT="0" distB="0" distL="0" distR="0" wp14:anchorId="22CAEAFB" wp14:editId="24048F8B">
            <wp:extent cx="5279571" cy="4223657"/>
            <wp:effectExtent l="0" t="0" r="0" b="5715"/>
            <wp:docPr id="183763426" name="Picture 18376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3426" name="Picture 1837634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01336" cy="4241069"/>
                    </a:xfrm>
                    <a:prstGeom prst="rect">
                      <a:avLst/>
                    </a:prstGeom>
                  </pic:spPr>
                </pic:pic>
              </a:graphicData>
            </a:graphic>
          </wp:inline>
        </w:drawing>
      </w:r>
    </w:p>
    <w:p w14:paraId="5222A077" w14:textId="5E039831" w:rsidR="00443BF3" w:rsidRDefault="00443BF3" w:rsidP="00443BF3">
      <w:pPr>
        <w:spacing w:after="0"/>
      </w:pPr>
    </w:p>
    <w:p w14:paraId="4AF281B1" w14:textId="77777777" w:rsidR="00443BF3" w:rsidRDefault="00443BF3" w:rsidP="00443BF3">
      <w:pPr>
        <w:spacing w:after="0"/>
      </w:pPr>
    </w:p>
    <w:p w14:paraId="5204D361" w14:textId="1572E241" w:rsidR="00F90E9E" w:rsidRDefault="00F90E9E" w:rsidP="00443BF3">
      <w:pPr>
        <w:spacing w:after="0"/>
      </w:pPr>
      <w:r w:rsidRPr="009C118E">
        <w:t>The national bowel cancer screening programme, which was rolled out relatively recently, should, over time, lead to an overall reduction in the proportion of emergency admissions among those of screening age.</w:t>
      </w:r>
    </w:p>
    <w:p w14:paraId="735E961A" w14:textId="77777777" w:rsidR="00443BF3" w:rsidRPr="009C118E" w:rsidRDefault="00443BF3" w:rsidP="00443BF3">
      <w:pPr>
        <w:spacing w:after="0"/>
      </w:pPr>
    </w:p>
    <w:p w14:paraId="671A54E0" w14:textId="0EB15005" w:rsidR="00F90E9E" w:rsidRDefault="00F90E9E" w:rsidP="00443BF3">
      <w:pPr>
        <w:spacing w:after="0"/>
      </w:pPr>
      <w:r w:rsidRPr="009C118E">
        <w:t>The national bowel screening programme is currently making changes (</w:t>
      </w:r>
      <w:proofErr w:type="spellStart"/>
      <w:r w:rsidRPr="009C118E">
        <w:t>eg</w:t>
      </w:r>
      <w:proofErr w:type="spellEnd"/>
      <w:r w:rsidRPr="009C118E">
        <w:t>, a lower starting age from 60 to 50 years for Māori and Pacific peoples)</w:t>
      </w:r>
      <w:r w:rsidRPr="009C118E">
        <w:rPr>
          <w:rStyle w:val="FootnoteReference"/>
        </w:rPr>
        <w:footnoteReference w:id="1"/>
      </w:r>
      <w:r w:rsidRPr="009C118E">
        <w:t xml:space="preserve"> aimed at ensuring equitable access/reducing inequities for different population groups.</w:t>
      </w:r>
    </w:p>
    <w:p w14:paraId="43578AEF" w14:textId="77777777" w:rsidR="00443BF3" w:rsidRPr="009C118E" w:rsidRDefault="00443BF3" w:rsidP="00443BF3">
      <w:pPr>
        <w:spacing w:after="0"/>
      </w:pPr>
    </w:p>
    <w:p w14:paraId="71F65AF2" w14:textId="77777777" w:rsidR="00F90E9E" w:rsidRPr="009C118E" w:rsidRDefault="00F90E9E" w:rsidP="00443BF3">
      <w:pPr>
        <w:spacing w:after="0"/>
      </w:pPr>
      <w:r w:rsidRPr="009C118E">
        <w:t>Interventions aimed at improving access to primary care (such as further resourcing of primary care delivered by Māori health providers) should lead to an overall reduction in the proportion of emergency admissions, but this will vary between groups depending on who is targeted by these interventions.</w:t>
      </w:r>
    </w:p>
    <w:p w14:paraId="4CFEEDDE" w14:textId="673C4316" w:rsidR="00F90E9E" w:rsidRPr="009C118E" w:rsidRDefault="0067378E" w:rsidP="00443BF3">
      <w:pPr>
        <w:pStyle w:val="Heading2"/>
        <w:pageBreakBefore/>
        <w:spacing w:after="0"/>
      </w:pPr>
      <w:r w:rsidRPr="009C118E">
        <w:lastRenderedPageBreak/>
        <w:t>Spotlight on lung cancer</w:t>
      </w:r>
    </w:p>
    <w:p w14:paraId="6AF84BA4" w14:textId="546640BC" w:rsidR="00F90E9E" w:rsidRDefault="00F90E9E" w:rsidP="00443BF3">
      <w:pPr>
        <w:spacing w:after="0"/>
      </w:pPr>
      <w:r w:rsidRPr="009C118E">
        <w:t>Of the 11,141 people diagnosed with lung cancer between 2017 and 2021, half were diagnosed within 30 days of an emergency admission.</w:t>
      </w:r>
      <w:r w:rsidR="009C118E">
        <w:t xml:space="preserve"> </w:t>
      </w:r>
      <w:r w:rsidRPr="009C118E">
        <w:t xml:space="preserve">Like bowel cancer, proportions were highest among Māori (54.1%) and Pacific peoples (65.4%) compared with Asian (48.1%) and European/other (49.6%), as well as among younger </w:t>
      </w:r>
      <w:r w:rsidR="000B1839">
        <w:t xml:space="preserve">people </w:t>
      </w:r>
      <w:r w:rsidRPr="009C118E">
        <w:t>(</w:t>
      </w:r>
      <w:r w:rsidR="000B1839">
        <w:t xml:space="preserve">aged </w:t>
      </w:r>
      <w:r w:rsidRPr="009C118E">
        <w:t>18</w:t>
      </w:r>
      <w:r w:rsidR="005D63DA">
        <w:t>–</w:t>
      </w:r>
      <w:r w:rsidRPr="009C118E">
        <w:t xml:space="preserve">49) and older </w:t>
      </w:r>
      <w:r w:rsidR="000B1839">
        <w:t xml:space="preserve">people </w:t>
      </w:r>
      <w:r w:rsidRPr="009C118E">
        <w:t>(</w:t>
      </w:r>
      <w:r w:rsidR="000B1839">
        <w:t xml:space="preserve">aged </w:t>
      </w:r>
      <w:r w:rsidRPr="009C118E">
        <w:t>80+) (</w:t>
      </w:r>
      <w:r w:rsidR="00112425">
        <w:fldChar w:fldCharType="begin"/>
      </w:r>
      <w:r w:rsidR="00112425">
        <w:instrText xml:space="preserve"> REF _Ref152677514 \h </w:instrText>
      </w:r>
      <w:r w:rsidR="00112425">
        <w:fldChar w:fldCharType="separate"/>
      </w:r>
      <w:r w:rsidR="00746F74">
        <w:t xml:space="preserve">Figure </w:t>
      </w:r>
      <w:r w:rsidR="00746F74">
        <w:rPr>
          <w:noProof/>
        </w:rPr>
        <w:t>8</w:t>
      </w:r>
      <w:r w:rsidR="00112425">
        <w:fldChar w:fldCharType="end"/>
      </w:r>
      <w:r w:rsidRPr="009C118E">
        <w:t>).</w:t>
      </w:r>
    </w:p>
    <w:p w14:paraId="71CE598A" w14:textId="77777777" w:rsidR="00443BF3" w:rsidRPr="009C118E" w:rsidRDefault="00443BF3" w:rsidP="00443BF3">
      <w:pPr>
        <w:spacing w:after="0"/>
      </w:pPr>
    </w:p>
    <w:p w14:paraId="679A1F74" w14:textId="6B1E04DE" w:rsidR="00F90E9E" w:rsidRPr="009C118E" w:rsidRDefault="00112425" w:rsidP="00443BF3">
      <w:pPr>
        <w:pStyle w:val="Figure"/>
      </w:pPr>
      <w:bookmarkStart w:id="17" w:name="_Ref152677514"/>
      <w:bookmarkStart w:id="18" w:name="_Ref147400167"/>
      <w:r>
        <w:t xml:space="preserve">Figure </w:t>
      </w:r>
      <w:r w:rsidR="00864307">
        <w:fldChar w:fldCharType="begin"/>
      </w:r>
      <w:r w:rsidR="00864307">
        <w:instrText xml:space="preserve"> SEQ Figure \* ARABIC </w:instrText>
      </w:r>
      <w:r w:rsidR="00864307">
        <w:fldChar w:fldCharType="separate"/>
      </w:r>
      <w:r w:rsidR="00746F74">
        <w:rPr>
          <w:noProof/>
        </w:rPr>
        <w:t>8</w:t>
      </w:r>
      <w:r w:rsidR="00864307">
        <w:rPr>
          <w:noProof/>
        </w:rPr>
        <w:fldChar w:fldCharType="end"/>
      </w:r>
      <w:bookmarkEnd w:id="17"/>
      <w:bookmarkEnd w:id="18"/>
      <w:r w:rsidR="00F90E9E" w:rsidRPr="009C118E">
        <w:t>: Proportion of people diagnosed with lung cancer in the 30 days following emergency admission, by sex, ethnicity, NZDep</w:t>
      </w:r>
      <w:r w:rsidR="00E555EB">
        <w:t>20</w:t>
      </w:r>
      <w:r w:rsidR="00F90E9E" w:rsidRPr="009C118E">
        <w:t>18 quintile, rural</w:t>
      </w:r>
      <w:r>
        <w:t>–</w:t>
      </w:r>
      <w:r w:rsidR="00F90E9E" w:rsidRPr="009C118E">
        <w:t>urban status (all age-standardised), and age (non-standardised) for the years 2017</w:t>
      </w:r>
      <w:r w:rsidR="005D63DA">
        <w:t>–</w:t>
      </w:r>
      <w:r w:rsidR="00F90E9E" w:rsidRPr="009C118E">
        <w:t>2021</w:t>
      </w:r>
    </w:p>
    <w:p w14:paraId="1EB59EE7" w14:textId="35575D66" w:rsidR="00F90E9E" w:rsidRPr="009C118E" w:rsidRDefault="0067378E" w:rsidP="00971B32">
      <w:pPr>
        <w:spacing w:after="0"/>
      </w:pPr>
      <w:r w:rsidRPr="009C118E">
        <w:rPr>
          <w:noProof/>
        </w:rPr>
        <w:drawing>
          <wp:inline distT="0" distB="0" distL="0" distR="0" wp14:anchorId="73A6F555" wp14:editId="46BB3E6C">
            <wp:extent cx="5129388" cy="3626874"/>
            <wp:effectExtent l="0" t="0" r="0" b="0"/>
            <wp:docPr id="1380470461" name="Picture 138047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70461" name="Picture 13804704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129388" cy="3626874"/>
                    </a:xfrm>
                    <a:prstGeom prst="rect">
                      <a:avLst/>
                    </a:prstGeom>
                  </pic:spPr>
                </pic:pic>
              </a:graphicData>
            </a:graphic>
          </wp:inline>
        </w:drawing>
      </w:r>
    </w:p>
    <w:p w14:paraId="34F9B512" w14:textId="7F10F6AB" w:rsidR="0067378E" w:rsidRDefault="0067378E" w:rsidP="00443BF3">
      <w:pPr>
        <w:spacing w:after="0"/>
      </w:pPr>
    </w:p>
    <w:p w14:paraId="48D3F4BB" w14:textId="77777777" w:rsidR="00443BF3" w:rsidRPr="009C118E" w:rsidRDefault="00443BF3" w:rsidP="00443BF3">
      <w:pPr>
        <w:spacing w:after="0"/>
      </w:pPr>
    </w:p>
    <w:p w14:paraId="1685C460" w14:textId="3B64B6A3" w:rsidR="00F90E9E" w:rsidRPr="009C118E" w:rsidRDefault="00112425" w:rsidP="00443BF3">
      <w:pPr>
        <w:spacing w:after="0"/>
      </w:pPr>
      <w:r>
        <w:fldChar w:fldCharType="begin"/>
      </w:r>
      <w:r>
        <w:instrText xml:space="preserve"> REF _Ref152677544 \h </w:instrText>
      </w:r>
      <w:r>
        <w:fldChar w:fldCharType="separate"/>
      </w:r>
      <w:r w:rsidR="00746F74">
        <w:t xml:space="preserve">Figure </w:t>
      </w:r>
      <w:r w:rsidR="00746F74">
        <w:rPr>
          <w:noProof/>
        </w:rPr>
        <w:t>9</w:t>
      </w:r>
      <w:r>
        <w:fldChar w:fldCharType="end"/>
      </w:r>
      <w:r w:rsidR="00263724">
        <w:t xml:space="preserve"> (on the next page) </w:t>
      </w:r>
      <w:r w:rsidR="00F90E9E" w:rsidRPr="009C118E">
        <w:t xml:space="preserve">shows that there is broad variability in the proportion of emergency admissions between districts in New Zealand, including between large centres. </w:t>
      </w:r>
    </w:p>
    <w:p w14:paraId="251E59CF" w14:textId="77777777" w:rsidR="00F90E9E" w:rsidRPr="009C118E" w:rsidRDefault="00F90E9E" w:rsidP="00F90E9E">
      <w:pPr>
        <w:jc w:val="right"/>
      </w:pPr>
    </w:p>
    <w:p w14:paraId="7998CE3C" w14:textId="2974643B" w:rsidR="00F90E9E" w:rsidRPr="009C118E" w:rsidRDefault="00112425" w:rsidP="00443BF3">
      <w:pPr>
        <w:pStyle w:val="Figure"/>
      </w:pPr>
      <w:bookmarkStart w:id="19" w:name="_Ref152677544"/>
      <w:bookmarkStart w:id="20" w:name="_Ref147400191"/>
      <w:r>
        <w:lastRenderedPageBreak/>
        <w:t xml:space="preserve">Figure </w:t>
      </w:r>
      <w:r w:rsidR="00864307">
        <w:fldChar w:fldCharType="begin"/>
      </w:r>
      <w:r w:rsidR="00864307">
        <w:instrText xml:space="preserve"> SEQ Figure \* ARABIC </w:instrText>
      </w:r>
      <w:r w:rsidR="00864307">
        <w:fldChar w:fldCharType="separate"/>
      </w:r>
      <w:r w:rsidR="00746F74">
        <w:rPr>
          <w:noProof/>
        </w:rPr>
        <w:t>9</w:t>
      </w:r>
      <w:r w:rsidR="00864307">
        <w:rPr>
          <w:noProof/>
        </w:rPr>
        <w:fldChar w:fldCharType="end"/>
      </w:r>
      <w:bookmarkEnd w:id="19"/>
      <w:bookmarkEnd w:id="20"/>
      <w:r w:rsidR="00F90E9E" w:rsidRPr="009C118E">
        <w:t>: Funnel plot showing proportion of people diagnosed with lung cancer in the 30 days following emergency admission, by district of residence, for the years 2017</w:t>
      </w:r>
      <w:r w:rsidR="005D63DA">
        <w:t>–</w:t>
      </w:r>
      <w:r w:rsidR="00F90E9E" w:rsidRPr="009C118E">
        <w:t>2021 (un-standardised)</w:t>
      </w:r>
    </w:p>
    <w:p w14:paraId="4380AEFC" w14:textId="77777777" w:rsidR="00AB7F45" w:rsidRPr="009C118E" w:rsidRDefault="00AB7F45" w:rsidP="00971B32">
      <w:pPr>
        <w:spacing w:after="0" w:line="240" w:lineRule="auto"/>
      </w:pPr>
      <w:r w:rsidRPr="009C118E">
        <w:rPr>
          <w:noProof/>
        </w:rPr>
        <w:drawing>
          <wp:inline distT="0" distB="0" distL="0" distR="0" wp14:anchorId="5827FD77" wp14:editId="329D1326">
            <wp:extent cx="5306786" cy="4245429"/>
            <wp:effectExtent l="0" t="0" r="8255" b="3175"/>
            <wp:docPr id="165271149" name="Picture 16527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1149" name="Picture 16527114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19569" cy="4255655"/>
                    </a:xfrm>
                    <a:prstGeom prst="rect">
                      <a:avLst/>
                    </a:prstGeom>
                  </pic:spPr>
                </pic:pic>
              </a:graphicData>
            </a:graphic>
          </wp:inline>
        </w:drawing>
      </w:r>
    </w:p>
    <w:p w14:paraId="526AED37" w14:textId="4EF4757E" w:rsidR="00AB7F45" w:rsidRDefault="00AB7F45" w:rsidP="00443BF3">
      <w:pPr>
        <w:spacing w:after="0"/>
      </w:pPr>
    </w:p>
    <w:p w14:paraId="134C30B4" w14:textId="77777777" w:rsidR="00443BF3" w:rsidRPr="009C118E" w:rsidRDefault="00443BF3" w:rsidP="00443BF3">
      <w:pPr>
        <w:spacing w:after="0"/>
      </w:pPr>
    </w:p>
    <w:p w14:paraId="762CCE4D" w14:textId="06609875" w:rsidR="00F90E9E" w:rsidRDefault="00F90E9E" w:rsidP="00443BF3">
      <w:pPr>
        <w:spacing w:after="0"/>
      </w:pPr>
      <w:r w:rsidRPr="009C118E">
        <w:t xml:space="preserve">A national lung cancer screening programme is being scoped by </w:t>
      </w:r>
      <w:r w:rsidR="00C75D46">
        <w:t xml:space="preserve">Health New Zealand </w:t>
      </w:r>
      <w:r w:rsidR="00850A02">
        <w:t xml:space="preserve">| </w:t>
      </w:r>
      <w:proofErr w:type="spellStart"/>
      <w:r w:rsidRPr="009C118E">
        <w:t>Te</w:t>
      </w:r>
      <w:proofErr w:type="spellEnd"/>
      <w:r w:rsidRPr="009C118E">
        <w:t xml:space="preserve"> </w:t>
      </w:r>
      <w:proofErr w:type="spellStart"/>
      <w:r w:rsidRPr="009C118E">
        <w:t>Whatu</w:t>
      </w:r>
      <w:proofErr w:type="spellEnd"/>
      <w:r w:rsidRPr="009C118E">
        <w:t xml:space="preserve"> Ora. If appropriately implemented, it should reduce the proportion of emergency admissions prior to diagnosis among those within the target population (which is yet to be determined).</w:t>
      </w:r>
    </w:p>
    <w:p w14:paraId="42C570E8" w14:textId="77777777" w:rsidR="00443BF3" w:rsidRPr="009C118E" w:rsidRDefault="00443BF3" w:rsidP="00443BF3">
      <w:pPr>
        <w:spacing w:after="0"/>
      </w:pPr>
    </w:p>
    <w:p w14:paraId="26A67122" w14:textId="77777777" w:rsidR="00F90E9E" w:rsidRPr="009C118E" w:rsidRDefault="00F90E9E" w:rsidP="00443BF3">
      <w:pPr>
        <w:spacing w:after="0"/>
      </w:pPr>
      <w:r w:rsidRPr="009C118E">
        <w:t>Interventions aimed at improving access to primary care (such as further resourcing of primary care delivered by Māori health providers) should lead to an overall reduction in the proportion of emergency admissions, but this will vary between groups depending on who is targeted by these interventions.</w:t>
      </w:r>
    </w:p>
    <w:p w14:paraId="541D83B0" w14:textId="77777777" w:rsidR="00F90E9E" w:rsidRPr="009C118E" w:rsidRDefault="00F90E9E" w:rsidP="00AB7F45">
      <w:pPr>
        <w:pStyle w:val="Heading1"/>
      </w:pPr>
      <w:r w:rsidRPr="009C118E">
        <w:lastRenderedPageBreak/>
        <w:t>What are some of the potential solutions?</w:t>
      </w:r>
    </w:p>
    <w:p w14:paraId="0B51CAC9" w14:textId="6CF51944" w:rsidR="00F90E9E" w:rsidRDefault="00F90E9E" w:rsidP="00443BF3">
      <w:pPr>
        <w:spacing w:after="0"/>
      </w:pPr>
      <w:r w:rsidRPr="009C118E">
        <w:t>When someone develops cancer, it is important for them to be diagnosed as early as possible, through an established referral pathway, starting in primary and community care. They should also be supported by a health service that is culturally safe and trusted by the person and their whānau.</w:t>
      </w:r>
    </w:p>
    <w:p w14:paraId="11D74888" w14:textId="77777777" w:rsidR="00443BF3" w:rsidRPr="009C118E" w:rsidRDefault="00443BF3" w:rsidP="00443BF3">
      <w:pPr>
        <w:spacing w:after="0"/>
      </w:pPr>
    </w:p>
    <w:p w14:paraId="51AC4CDE" w14:textId="0B064295" w:rsidR="00F90E9E" w:rsidRDefault="00F90E9E" w:rsidP="00443BF3">
      <w:pPr>
        <w:spacing w:after="0"/>
        <w:rPr>
          <w:szCs w:val="18"/>
        </w:rPr>
      </w:pPr>
      <w:r w:rsidRPr="009C118E">
        <w:rPr>
          <w:szCs w:val="18"/>
        </w:rPr>
        <w:t xml:space="preserve">Several factors that impact the diagnosis of cancer, such as workforce shortages and institutional racism, also affect the entire health system. These issues are well known and are being addressed at the national, </w:t>
      </w:r>
      <w:r w:rsidR="00297D65" w:rsidRPr="009C118E">
        <w:rPr>
          <w:szCs w:val="18"/>
        </w:rPr>
        <w:t>regional,</w:t>
      </w:r>
      <w:r w:rsidRPr="009C118E">
        <w:rPr>
          <w:szCs w:val="18"/>
        </w:rPr>
        <w:t xml:space="preserve"> and local level.</w:t>
      </w:r>
    </w:p>
    <w:p w14:paraId="0A34F1F3" w14:textId="77777777" w:rsidR="00443BF3" w:rsidRPr="009C118E" w:rsidRDefault="00443BF3" w:rsidP="00443BF3">
      <w:pPr>
        <w:spacing w:after="0"/>
        <w:rPr>
          <w:szCs w:val="18"/>
        </w:rPr>
      </w:pPr>
    </w:p>
    <w:p w14:paraId="5B3C84A4" w14:textId="2C32A403" w:rsidR="00F90E9E" w:rsidRDefault="00F90E9E" w:rsidP="00443BF3">
      <w:pPr>
        <w:spacing w:after="0"/>
      </w:pPr>
      <w:r w:rsidRPr="009C118E">
        <w:rPr>
          <w:szCs w:val="18"/>
        </w:rPr>
        <w:t xml:space="preserve">Within the path to cancer diagnosis, there are key opportunities and initiatives to develop and build on, some already underway and some requiring further investigation. </w:t>
      </w:r>
      <w:r w:rsidR="00522508">
        <w:fldChar w:fldCharType="begin"/>
      </w:r>
      <w:r w:rsidR="00522508">
        <w:rPr>
          <w:szCs w:val="18"/>
        </w:rPr>
        <w:instrText xml:space="preserve"> REF _Ref152676987 \h </w:instrText>
      </w:r>
      <w:r w:rsidR="00522508">
        <w:fldChar w:fldCharType="separate"/>
      </w:r>
      <w:r w:rsidR="00746F74" w:rsidRPr="009C118E">
        <w:t xml:space="preserve">Figure </w:t>
      </w:r>
      <w:r w:rsidR="00746F74">
        <w:rPr>
          <w:noProof/>
        </w:rPr>
        <w:t>10</w:t>
      </w:r>
      <w:r w:rsidR="00522508">
        <w:fldChar w:fldCharType="end"/>
      </w:r>
      <w:r w:rsidR="00522508">
        <w:t xml:space="preserve"> </w:t>
      </w:r>
      <w:r w:rsidRPr="009C118E">
        <w:t xml:space="preserve">outlines example actions along the path to diagnosis. It highlights, alongside the causal factors outlined </w:t>
      </w:r>
      <w:r w:rsidRPr="00E3663E">
        <w:t xml:space="preserve">in </w:t>
      </w:r>
      <w:r w:rsidR="00E3663E" w:rsidRPr="00E3663E">
        <w:fldChar w:fldCharType="begin"/>
      </w:r>
      <w:r w:rsidR="00E3663E" w:rsidRPr="00E3663E">
        <w:instrText xml:space="preserve"> REF  _Ref152678144 \h  \* MERGEFORMAT </w:instrText>
      </w:r>
      <w:r w:rsidR="00E3663E" w:rsidRPr="00E3663E">
        <w:fldChar w:fldCharType="separate"/>
      </w:r>
      <w:r w:rsidR="00746F74" w:rsidRPr="009C118E">
        <w:t xml:space="preserve">Figure </w:t>
      </w:r>
      <w:r w:rsidR="00746F74">
        <w:t>1</w:t>
      </w:r>
      <w:r w:rsidR="00E3663E" w:rsidRPr="00E3663E">
        <w:fldChar w:fldCharType="end"/>
      </w:r>
      <w:r w:rsidRPr="00E3663E">
        <w:t>,</w:t>
      </w:r>
      <w:r w:rsidRPr="009C118E">
        <w:t xml:space="preserve"> the complexity of health system and other factors leading to a high proportion of emergency admissions.</w:t>
      </w:r>
    </w:p>
    <w:p w14:paraId="2DCACB6D" w14:textId="77777777" w:rsidR="00443BF3" w:rsidRPr="009C118E" w:rsidRDefault="00443BF3" w:rsidP="00443BF3">
      <w:pPr>
        <w:spacing w:after="0"/>
      </w:pPr>
    </w:p>
    <w:p w14:paraId="1E0BB102" w14:textId="727392D8" w:rsidR="002A725D" w:rsidRPr="009C118E" w:rsidRDefault="002A725D" w:rsidP="00443BF3">
      <w:pPr>
        <w:spacing w:after="0"/>
        <w:rPr>
          <w:szCs w:val="18"/>
        </w:rPr>
      </w:pPr>
      <w:proofErr w:type="spellStart"/>
      <w:r w:rsidRPr="009C118E">
        <w:rPr>
          <w:szCs w:val="18"/>
        </w:rPr>
        <w:t>Te</w:t>
      </w:r>
      <w:proofErr w:type="spellEnd"/>
      <w:r w:rsidRPr="009C118E">
        <w:rPr>
          <w:szCs w:val="18"/>
        </w:rPr>
        <w:t xml:space="preserve"> </w:t>
      </w:r>
      <w:proofErr w:type="spellStart"/>
      <w:r w:rsidRPr="009C118E">
        <w:rPr>
          <w:szCs w:val="18"/>
        </w:rPr>
        <w:t>Aho</w:t>
      </w:r>
      <w:proofErr w:type="spellEnd"/>
      <w:r w:rsidRPr="009C118E">
        <w:rPr>
          <w:szCs w:val="18"/>
        </w:rPr>
        <w:t xml:space="preserve"> o </w:t>
      </w:r>
      <w:proofErr w:type="spellStart"/>
      <w:r w:rsidRPr="009C118E">
        <w:rPr>
          <w:szCs w:val="18"/>
        </w:rPr>
        <w:t>Te</w:t>
      </w:r>
      <w:proofErr w:type="spellEnd"/>
      <w:r w:rsidRPr="009C118E">
        <w:rPr>
          <w:szCs w:val="18"/>
        </w:rPr>
        <w:t xml:space="preserve"> Kahu will work with </w:t>
      </w:r>
      <w:r w:rsidR="005F5447">
        <w:rPr>
          <w:szCs w:val="18"/>
        </w:rPr>
        <w:t>Health New Zeal</w:t>
      </w:r>
      <w:r w:rsidR="00785542">
        <w:rPr>
          <w:szCs w:val="18"/>
        </w:rPr>
        <w:t>an</w:t>
      </w:r>
      <w:r w:rsidR="005F5447">
        <w:rPr>
          <w:szCs w:val="18"/>
        </w:rPr>
        <w:t xml:space="preserve">d </w:t>
      </w:r>
      <w:r w:rsidR="00381556">
        <w:rPr>
          <w:szCs w:val="18"/>
        </w:rPr>
        <w:t xml:space="preserve">| </w:t>
      </w:r>
      <w:proofErr w:type="spellStart"/>
      <w:r w:rsidRPr="009C118E">
        <w:rPr>
          <w:szCs w:val="18"/>
        </w:rPr>
        <w:t>Te</w:t>
      </w:r>
      <w:proofErr w:type="spellEnd"/>
      <w:r w:rsidRPr="009C118E">
        <w:rPr>
          <w:szCs w:val="18"/>
        </w:rPr>
        <w:t xml:space="preserve"> </w:t>
      </w:r>
      <w:proofErr w:type="spellStart"/>
      <w:r w:rsidRPr="009C118E">
        <w:rPr>
          <w:szCs w:val="18"/>
        </w:rPr>
        <w:t>Whatu</w:t>
      </w:r>
      <w:proofErr w:type="spellEnd"/>
      <w:r w:rsidRPr="009C118E">
        <w:rPr>
          <w:szCs w:val="18"/>
        </w:rPr>
        <w:t xml:space="preserve"> Ora, primary and community care organisations (</w:t>
      </w:r>
      <w:proofErr w:type="spellStart"/>
      <w:r w:rsidRPr="009C118E">
        <w:rPr>
          <w:szCs w:val="18"/>
        </w:rPr>
        <w:t>eg</w:t>
      </w:r>
      <w:proofErr w:type="spellEnd"/>
      <w:r w:rsidRPr="009C118E">
        <w:rPr>
          <w:szCs w:val="18"/>
        </w:rPr>
        <w:t>, GPs, pharmacists) and other key agencies to use the findings in the report to improve cancer detection and diagnosis services and outcomes for cancer patients and their whānau.</w:t>
      </w:r>
    </w:p>
    <w:p w14:paraId="59A9FAA7" w14:textId="4CD12701" w:rsidR="003E7CCC" w:rsidRPr="009C118E" w:rsidRDefault="003E7CCC" w:rsidP="00F25D0B">
      <w:pPr>
        <w:rPr>
          <w:rFonts w:cs="Segoe UI"/>
        </w:rPr>
      </w:pPr>
    </w:p>
    <w:p w14:paraId="2E2EADB2" w14:textId="77777777" w:rsidR="00F25D0B" w:rsidRPr="009C118E" w:rsidRDefault="00F25D0B" w:rsidP="00F25D0B">
      <w:pPr>
        <w:sectPr w:rsidR="00F25D0B" w:rsidRPr="009C118E" w:rsidSect="00C75D46">
          <w:headerReference w:type="default" r:id="rId22"/>
          <w:footerReference w:type="even" r:id="rId23"/>
          <w:footerReference w:type="default" r:id="rId24"/>
          <w:pgSz w:w="11907" w:h="16834" w:code="9"/>
          <w:pgMar w:top="1418" w:right="1701" w:bottom="1134" w:left="1559" w:header="284" w:footer="425" w:gutter="284"/>
          <w:pgNumType w:start="1"/>
          <w:cols w:space="720"/>
          <w:docGrid w:linePitch="286"/>
        </w:sectPr>
      </w:pPr>
    </w:p>
    <w:p w14:paraId="0BA4B410" w14:textId="7C75C466" w:rsidR="00F25D0B" w:rsidRPr="009C118E" w:rsidRDefault="00F25D0B" w:rsidP="002A725D">
      <w:pPr>
        <w:pStyle w:val="Caption"/>
        <w:spacing w:before="0"/>
      </w:pPr>
      <w:bookmarkStart w:id="21" w:name="_Ref152676987"/>
      <w:bookmarkStart w:id="22" w:name="_Ref147409663"/>
      <w:bookmarkStart w:id="23" w:name="_Toc152333917"/>
      <w:bookmarkStart w:id="24" w:name="_Toc149209573"/>
      <w:r w:rsidRPr="009C118E">
        <w:lastRenderedPageBreak/>
        <w:t xml:space="preserve">Figure </w:t>
      </w:r>
      <w:r w:rsidR="00864307">
        <w:fldChar w:fldCharType="begin"/>
      </w:r>
      <w:r w:rsidR="00864307">
        <w:instrText xml:space="preserve"> SEQ Figure \* ARABIC </w:instrText>
      </w:r>
      <w:r w:rsidR="00864307">
        <w:fldChar w:fldCharType="separate"/>
      </w:r>
      <w:r w:rsidR="00746F74">
        <w:rPr>
          <w:noProof/>
        </w:rPr>
        <w:t>10</w:t>
      </w:r>
      <w:r w:rsidR="00864307">
        <w:rPr>
          <w:noProof/>
        </w:rPr>
        <w:fldChar w:fldCharType="end"/>
      </w:r>
      <w:bookmarkEnd w:id="21"/>
      <w:bookmarkEnd w:id="22"/>
      <w:r w:rsidRPr="009C118E">
        <w:t>: The path to diagnosis showing possible areas of focus to improve early cancer detection and diagnosis</w:t>
      </w:r>
      <w:r w:rsidR="00EC4D15">
        <w:t>,</w:t>
      </w:r>
      <w:r w:rsidRPr="009C118E">
        <w:t xml:space="preserve"> with examples of opportunities</w:t>
      </w:r>
      <w:bookmarkEnd w:id="23"/>
      <w:bookmarkEnd w:id="24"/>
      <w:r w:rsidRPr="009C118E">
        <w:t xml:space="preserve"> </w:t>
      </w:r>
    </w:p>
    <w:p w14:paraId="31FCD4D8" w14:textId="24D1B25F" w:rsidR="00F25D0B" w:rsidRPr="009C118E" w:rsidRDefault="00F25D0B" w:rsidP="00443BF3">
      <w:pPr>
        <w:pStyle w:val="Picture"/>
        <w:ind w:hanging="426"/>
        <w:jc w:val="center"/>
        <w:rPr>
          <w:noProof w:val="0"/>
        </w:rPr>
      </w:pPr>
      <w:r w:rsidRPr="009C118E">
        <w:drawing>
          <wp:inline distT="0" distB="0" distL="0" distR="0" wp14:anchorId="352F00B0" wp14:editId="796FD8C8">
            <wp:extent cx="8170152" cy="5236029"/>
            <wp:effectExtent l="0" t="0" r="2540" b="3175"/>
            <wp:docPr id="1029950251" name="Picture 102995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225023" cy="5271194"/>
                    </a:xfrm>
                    <a:prstGeom prst="rect">
                      <a:avLst/>
                    </a:prstGeom>
                  </pic:spPr>
                </pic:pic>
              </a:graphicData>
            </a:graphic>
          </wp:inline>
        </w:drawing>
      </w:r>
    </w:p>
    <w:p w14:paraId="046636E1" w14:textId="77777777" w:rsidR="00F25D0B" w:rsidRPr="009C118E" w:rsidRDefault="00F25D0B" w:rsidP="00F25D0B">
      <w:pPr>
        <w:sectPr w:rsidR="00F25D0B" w:rsidRPr="009C118E" w:rsidSect="00443BF3">
          <w:footerReference w:type="even" r:id="rId26"/>
          <w:footerReference w:type="default" r:id="rId27"/>
          <w:pgSz w:w="16834" w:h="11907" w:orient="landscape" w:code="9"/>
          <w:pgMar w:top="1134" w:right="1701" w:bottom="1418" w:left="1843" w:header="284" w:footer="425" w:gutter="284"/>
          <w:cols w:space="720"/>
          <w:docGrid w:linePitch="286"/>
        </w:sectPr>
      </w:pPr>
    </w:p>
    <w:p w14:paraId="091E9B63" w14:textId="77777777" w:rsidR="00F90E9E" w:rsidRPr="009C118E" w:rsidRDefault="00F90E9E" w:rsidP="00785542">
      <w:pPr>
        <w:pStyle w:val="Heading1"/>
      </w:pPr>
      <w:bookmarkStart w:id="25" w:name="_Toc148017539"/>
      <w:bookmarkStart w:id="26" w:name="_Toc148362906"/>
      <w:bookmarkEnd w:id="0"/>
      <w:r w:rsidRPr="009C118E">
        <w:lastRenderedPageBreak/>
        <w:t>References</w:t>
      </w:r>
      <w:bookmarkEnd w:id="25"/>
      <w:bookmarkEnd w:id="26"/>
    </w:p>
    <w:p w14:paraId="52E7EA0F" w14:textId="00756ACF" w:rsidR="005726EB" w:rsidRPr="00C43965" w:rsidRDefault="005726EB" w:rsidP="00785542">
      <w:pPr>
        <w:pStyle w:val="References"/>
        <w:ind w:left="0" w:firstLine="0"/>
        <w:rPr>
          <w:rFonts w:cs="Segoe UI"/>
          <w:noProof/>
        </w:rPr>
      </w:pPr>
      <w:r w:rsidRPr="00C164A7">
        <w:t>Abel GA, Shelton J, Johnson S, et al. 2015. Cancer-specific variation in emergency</w:t>
      </w:r>
      <w:r w:rsidRPr="00C43965">
        <w:t xml:space="preserve"> presentation by sex, age</w:t>
      </w:r>
      <w:r w:rsidR="00AF4941">
        <w:t>,</w:t>
      </w:r>
      <w:r w:rsidRPr="00C43965">
        <w:t xml:space="preserve"> and deprivation across 27 common and rarer cancers. </w:t>
      </w:r>
      <w:r w:rsidRPr="00C43965">
        <w:rPr>
          <w:i/>
          <w:iCs/>
        </w:rPr>
        <w:t>British Journal of Cancer</w:t>
      </w:r>
      <w:r w:rsidRPr="00C43965">
        <w:t xml:space="preserve"> 112(1): S129–36.</w:t>
      </w:r>
      <w:r>
        <w:t xml:space="preserve"> URL: </w:t>
      </w:r>
      <w:hyperlink r:id="rId28" w:history="1">
        <w:r w:rsidRPr="00C43965">
          <w:rPr>
            <w:rStyle w:val="Hyperlink"/>
          </w:rPr>
          <w:t>doi.org/10.1038/bjc.2015.52</w:t>
        </w:r>
      </w:hyperlink>
      <w:r w:rsidRPr="00C43965">
        <w:rPr>
          <w:rFonts w:cs="Segoe UI"/>
          <w:noProof/>
        </w:rPr>
        <w:t xml:space="preserve"> </w:t>
      </w:r>
    </w:p>
    <w:p w14:paraId="1430EB67" w14:textId="081E79FF" w:rsidR="005726EB" w:rsidRPr="00C43965" w:rsidRDefault="005726EB" w:rsidP="00785542">
      <w:pPr>
        <w:pStyle w:val="References"/>
        <w:ind w:left="0" w:firstLine="0"/>
      </w:pPr>
      <w:r w:rsidRPr="00C164A7">
        <w:t>Beatty S, Stevens W, Stevens G, et al. 2009. Lung cancer patients in New Zealand initially</w:t>
      </w:r>
      <w:r w:rsidRPr="00C43965">
        <w:t xml:space="preserve"> present to secondary care through the emergency department rather than by referral to a respiratory specialist. </w:t>
      </w:r>
      <w:r w:rsidRPr="003A3E06">
        <w:rPr>
          <w:i/>
          <w:iCs/>
        </w:rPr>
        <w:t xml:space="preserve">The New Zealand Medical Journal (Online) </w:t>
      </w:r>
      <w:r w:rsidRPr="00C43965">
        <w:t>122(1294): 33–41.</w:t>
      </w:r>
      <w:r>
        <w:t xml:space="preserve"> URL: </w:t>
      </w:r>
      <w:hyperlink r:id="rId29" w:history="1">
        <w:r>
          <w:rPr>
            <w:rStyle w:val="Hyperlink"/>
          </w:rPr>
          <w:t>pubmed.ncbi.nlm.nih.gov/19465945</w:t>
        </w:r>
      </w:hyperlink>
      <w:r>
        <w:t xml:space="preserve"> </w:t>
      </w:r>
    </w:p>
    <w:p w14:paraId="33C37DB3" w14:textId="34AE351E" w:rsidR="005726EB" w:rsidRPr="00C43965" w:rsidRDefault="005726EB" w:rsidP="00785542">
      <w:pPr>
        <w:pStyle w:val="References"/>
        <w:ind w:left="0" w:firstLine="0"/>
      </w:pPr>
      <w:proofErr w:type="spellStart"/>
      <w:r w:rsidRPr="00C164A7">
        <w:t>Cassim</w:t>
      </w:r>
      <w:proofErr w:type="spellEnd"/>
      <w:r w:rsidRPr="00C164A7">
        <w:t xml:space="preserve"> S, </w:t>
      </w:r>
      <w:proofErr w:type="spellStart"/>
      <w:r w:rsidRPr="00C164A7">
        <w:t>Chepulis</w:t>
      </w:r>
      <w:proofErr w:type="spellEnd"/>
      <w:r w:rsidRPr="00C164A7">
        <w:t xml:space="preserve"> L, Keenan R, et al. 2019. Patient and carer perceived barriers to early</w:t>
      </w:r>
      <w:r w:rsidRPr="00C43965">
        <w:t xml:space="preserve"> presentation and diagnosis of lung cancer: </w:t>
      </w:r>
      <w:r w:rsidR="006C647B">
        <w:t>A</w:t>
      </w:r>
      <w:r w:rsidRPr="00C43965">
        <w:t xml:space="preserve"> systematic review. </w:t>
      </w:r>
      <w:r w:rsidRPr="00C43965">
        <w:rPr>
          <w:i/>
          <w:iCs/>
        </w:rPr>
        <w:t>BMC Cancer</w:t>
      </w:r>
      <w:r w:rsidRPr="00C43965">
        <w:t xml:space="preserve"> 19(1): 25.</w:t>
      </w:r>
    </w:p>
    <w:p w14:paraId="6DBA071A" w14:textId="77777777" w:rsidR="005726EB" w:rsidRPr="00C43965" w:rsidRDefault="005726EB" w:rsidP="00785542">
      <w:pPr>
        <w:pStyle w:val="References"/>
        <w:ind w:left="0" w:firstLine="0"/>
      </w:pPr>
      <w:proofErr w:type="spellStart"/>
      <w:r w:rsidRPr="00C164A7">
        <w:t>Grimmond</w:t>
      </w:r>
      <w:proofErr w:type="spellEnd"/>
      <w:r w:rsidRPr="00C164A7">
        <w:t xml:space="preserve"> D, Martin G, Tu D. 2021. </w:t>
      </w:r>
      <w:r w:rsidRPr="00C164A7">
        <w:rPr>
          <w:i/>
          <w:iCs/>
        </w:rPr>
        <w:t>2021 GP Future Workforce Requirements Report</w:t>
      </w:r>
      <w:r w:rsidRPr="00C164A7">
        <w:t>. Allen +</w:t>
      </w:r>
      <w:r w:rsidRPr="00C43965">
        <w:t xml:space="preserve"> Clarke.</w:t>
      </w:r>
    </w:p>
    <w:p w14:paraId="298721CB" w14:textId="77777777" w:rsidR="005726EB" w:rsidRPr="00C43965" w:rsidRDefault="005726EB" w:rsidP="00785542">
      <w:pPr>
        <w:pStyle w:val="References"/>
        <w:ind w:left="0" w:firstLine="0"/>
      </w:pPr>
      <w:r w:rsidRPr="00C164A7">
        <w:t>Htun HW, Elwood JM, Ioannides SJ, et al. 2017. Investigations and referral for suspected</w:t>
      </w:r>
      <w:r w:rsidRPr="00C43965">
        <w:t xml:space="preserve"> cancer in primary care in New Zealand – A survey linked to the International Cancer Benchmarking Partnership. </w:t>
      </w:r>
      <w:r w:rsidRPr="003A3E06">
        <w:rPr>
          <w:i/>
          <w:iCs/>
        </w:rPr>
        <w:t>European Journal of Cancer Care</w:t>
      </w:r>
      <w:r w:rsidRPr="00C43965">
        <w:t xml:space="preserve"> 26(3)</w:t>
      </w:r>
      <w:r>
        <w:t>:</w:t>
      </w:r>
      <w:r w:rsidRPr="00EB5355">
        <w:t xml:space="preserve"> e12634</w:t>
      </w:r>
      <w:r w:rsidRPr="00C43965">
        <w:t>.</w:t>
      </w:r>
    </w:p>
    <w:p w14:paraId="402840DD" w14:textId="77777777" w:rsidR="005726EB" w:rsidRPr="00C43965" w:rsidRDefault="005726EB" w:rsidP="00785542">
      <w:pPr>
        <w:pStyle w:val="References"/>
        <w:ind w:left="0" w:firstLine="0"/>
      </w:pPr>
      <w:r w:rsidRPr="00C164A7">
        <w:t>Liberman, J. 2019. Chapter 12. The role of law in reducing global cancer inequalities. In: S</w:t>
      </w:r>
      <w:r w:rsidRPr="00C43965">
        <w:t xml:space="preserve"> </w:t>
      </w:r>
      <w:proofErr w:type="spellStart"/>
      <w:r w:rsidRPr="00C43965">
        <w:t>Vaccarella</w:t>
      </w:r>
      <w:proofErr w:type="spellEnd"/>
      <w:r w:rsidRPr="00C43965">
        <w:t xml:space="preserve">, J </w:t>
      </w:r>
      <w:proofErr w:type="spellStart"/>
      <w:r w:rsidRPr="00C43965">
        <w:t>Lortet-Tieulent</w:t>
      </w:r>
      <w:proofErr w:type="spellEnd"/>
      <w:r w:rsidRPr="00C43965">
        <w:t xml:space="preserve">, R </w:t>
      </w:r>
      <w:proofErr w:type="spellStart"/>
      <w:r w:rsidRPr="00C43965">
        <w:t>Saracci</w:t>
      </w:r>
      <w:proofErr w:type="spellEnd"/>
      <w:r w:rsidRPr="00C43965">
        <w:t xml:space="preserve">, et al. (eds), </w:t>
      </w:r>
      <w:r w:rsidRPr="003A3E06">
        <w:rPr>
          <w:i/>
          <w:iCs/>
        </w:rPr>
        <w:t>Reducing Social Inequalities in Cancer: Evidence and priorities for research</w:t>
      </w:r>
      <w:r w:rsidRPr="00C43965">
        <w:t>. Lyon: IARC Scientific Publications: 276–87.</w:t>
      </w:r>
    </w:p>
    <w:p w14:paraId="634D2923" w14:textId="77777777" w:rsidR="005726EB" w:rsidRPr="00C43965" w:rsidRDefault="005726EB" w:rsidP="00785542">
      <w:pPr>
        <w:pStyle w:val="References"/>
        <w:ind w:left="0" w:firstLine="0"/>
      </w:pPr>
      <w:proofErr w:type="spellStart"/>
      <w:r w:rsidRPr="00C164A7">
        <w:t>Lyratzopoulos</w:t>
      </w:r>
      <w:proofErr w:type="spellEnd"/>
      <w:r w:rsidRPr="00C164A7">
        <w:t xml:space="preserve"> G, Saunders CL, Abel GA. 2014. Are emergency diagnoses of cancer</w:t>
      </w:r>
      <w:r w:rsidRPr="00C43965">
        <w:t xml:space="preserve"> avoidable? A proposed taxonomy to motivate study design and support service improvement. </w:t>
      </w:r>
      <w:r w:rsidRPr="003A3E06">
        <w:rPr>
          <w:i/>
          <w:iCs/>
        </w:rPr>
        <w:t>Future Oncology</w:t>
      </w:r>
      <w:r w:rsidRPr="00C43965">
        <w:t xml:space="preserve"> 10(8): 1329–33.</w:t>
      </w:r>
    </w:p>
    <w:p w14:paraId="22300F2A" w14:textId="77777777" w:rsidR="005726EB" w:rsidRPr="00C43965" w:rsidRDefault="005726EB" w:rsidP="00785542">
      <w:pPr>
        <w:pStyle w:val="References"/>
        <w:ind w:left="0" w:firstLine="0"/>
      </w:pPr>
      <w:proofErr w:type="spellStart"/>
      <w:r w:rsidRPr="00C164A7">
        <w:t>Majano</w:t>
      </w:r>
      <w:proofErr w:type="spellEnd"/>
      <w:r w:rsidRPr="00C164A7">
        <w:t xml:space="preserve"> SB, </w:t>
      </w:r>
      <w:proofErr w:type="spellStart"/>
      <w:r w:rsidRPr="00C164A7">
        <w:t>Lyratzopoulos</w:t>
      </w:r>
      <w:proofErr w:type="spellEnd"/>
      <w:r w:rsidRPr="00C164A7">
        <w:t xml:space="preserve"> G, Rachet B, et al. 2022. Do presenting symptoms, use of pre-</w:t>
      </w:r>
      <w:r w:rsidRPr="00C43965">
        <w:t xml:space="preserve">diagnostic endoscopy and risk of emergency cancer diagnosis vary by comorbidity burden and type in patients with colorectal cancer? </w:t>
      </w:r>
      <w:r w:rsidRPr="003A3E06">
        <w:rPr>
          <w:i/>
          <w:iCs/>
        </w:rPr>
        <w:t>British Journal of Cancer</w:t>
      </w:r>
      <w:r w:rsidRPr="00C43965">
        <w:t xml:space="preserve"> 126(4): 652–63.</w:t>
      </w:r>
    </w:p>
    <w:p w14:paraId="28C283DE" w14:textId="3C98C41F" w:rsidR="005726EB" w:rsidRPr="00C43965" w:rsidRDefault="005726EB" w:rsidP="00785542">
      <w:pPr>
        <w:pStyle w:val="References"/>
        <w:ind w:left="0" w:firstLine="0"/>
      </w:pPr>
      <w:bookmarkStart w:id="27" w:name="_Hlk152577311"/>
      <w:r w:rsidRPr="00C164A7">
        <w:t>McPhail S, Swann R, Johnson SA, et al. 2022. Risk factors and prognostic implications of</w:t>
      </w:r>
      <w:r w:rsidRPr="00C43965">
        <w:t xml:space="preserve"> diagnosis of cancer within 30 days after an emergency hospital admission (emergency presentation): </w:t>
      </w:r>
      <w:r w:rsidR="006C647B">
        <w:t>A</w:t>
      </w:r>
      <w:r w:rsidRPr="00C43965">
        <w:t xml:space="preserve">n International Cancer Benchmarking Partnership (ICBP) population-based study. </w:t>
      </w:r>
      <w:r w:rsidRPr="00C43965">
        <w:rPr>
          <w:i/>
          <w:iCs/>
        </w:rPr>
        <w:t>The Lancet Oncology</w:t>
      </w:r>
      <w:r w:rsidRPr="00C43965">
        <w:t xml:space="preserve"> 23(5): 587–600. </w:t>
      </w:r>
      <w:r>
        <w:t xml:space="preserve">URL: </w:t>
      </w:r>
      <w:hyperlink r:id="rId30" w:history="1">
        <w:r w:rsidRPr="00C43965">
          <w:rPr>
            <w:rStyle w:val="Hyperlink"/>
          </w:rPr>
          <w:t>doi.org/10.1016/s1470-2045(22)00127-9</w:t>
        </w:r>
      </w:hyperlink>
      <w:r w:rsidRPr="00C43965">
        <w:t xml:space="preserve"> </w:t>
      </w:r>
    </w:p>
    <w:bookmarkEnd w:id="27"/>
    <w:p w14:paraId="2A4BBF06" w14:textId="61144980" w:rsidR="005726EB" w:rsidRPr="00C43965" w:rsidRDefault="005726EB" w:rsidP="00785542">
      <w:pPr>
        <w:pStyle w:val="References"/>
        <w:ind w:left="0" w:firstLine="0"/>
      </w:pPr>
      <w:proofErr w:type="spellStart"/>
      <w:r w:rsidRPr="00C164A7">
        <w:t>Meheus</w:t>
      </w:r>
      <w:proofErr w:type="spellEnd"/>
      <w:r w:rsidRPr="00C164A7">
        <w:t xml:space="preserve"> F, </w:t>
      </w:r>
      <w:proofErr w:type="spellStart"/>
      <w:r w:rsidRPr="00C164A7">
        <w:t>Atun</w:t>
      </w:r>
      <w:proofErr w:type="spellEnd"/>
      <w:r w:rsidRPr="00C164A7">
        <w:t xml:space="preserve"> R, </w:t>
      </w:r>
      <w:proofErr w:type="spellStart"/>
      <w:r w:rsidRPr="00C164A7">
        <w:t>Ilbawi</w:t>
      </w:r>
      <w:proofErr w:type="spellEnd"/>
      <w:r w:rsidRPr="00C164A7">
        <w:t xml:space="preserve"> A. 2019. Chapter 10. The role of health systems in addressing</w:t>
      </w:r>
      <w:r w:rsidRPr="00C43965">
        <w:t xml:space="preserve"> inequalities in access to cancer control. In: S </w:t>
      </w:r>
      <w:proofErr w:type="spellStart"/>
      <w:r w:rsidRPr="00C43965">
        <w:t>Vaccarella</w:t>
      </w:r>
      <w:proofErr w:type="spellEnd"/>
      <w:r w:rsidRPr="00C43965">
        <w:t xml:space="preserve">, J </w:t>
      </w:r>
      <w:proofErr w:type="spellStart"/>
      <w:r w:rsidRPr="00C43965">
        <w:t>Lortet-Tieulent</w:t>
      </w:r>
      <w:proofErr w:type="spellEnd"/>
      <w:r w:rsidRPr="00C43965">
        <w:t xml:space="preserve">, R </w:t>
      </w:r>
      <w:proofErr w:type="spellStart"/>
      <w:r w:rsidRPr="00C43965">
        <w:t>Saracci</w:t>
      </w:r>
      <w:proofErr w:type="spellEnd"/>
      <w:r w:rsidRPr="00C43965">
        <w:t xml:space="preserve">, et al. (eds), </w:t>
      </w:r>
      <w:r w:rsidRPr="00740D45">
        <w:rPr>
          <w:i/>
          <w:iCs/>
        </w:rPr>
        <w:t>Reducing Social Inequalities in Cancer: Evidence and priorities for research</w:t>
      </w:r>
      <w:r w:rsidRPr="00C43965">
        <w:t>. Lyon: IARC Scientific Publications: 228–49.</w:t>
      </w:r>
    </w:p>
    <w:p w14:paraId="36EC2558" w14:textId="77777777" w:rsidR="005726EB" w:rsidRPr="00C43965" w:rsidRDefault="005726EB" w:rsidP="00785542">
      <w:pPr>
        <w:pStyle w:val="References"/>
        <w:ind w:left="0" w:firstLine="0"/>
      </w:pPr>
      <w:proofErr w:type="spellStart"/>
      <w:r w:rsidRPr="00C164A7">
        <w:t>Murchie</w:t>
      </w:r>
      <w:proofErr w:type="spellEnd"/>
      <w:r w:rsidRPr="00C164A7">
        <w:t xml:space="preserve"> P, Smith SM, Yule MS, et al. 2017. Does emergency presentation of cancer</w:t>
      </w:r>
      <w:r w:rsidRPr="00C43965">
        <w:t xml:space="preserve"> represent poor performance in primary care? Insights from a novel analysis of linked primary and secondary care data. </w:t>
      </w:r>
      <w:r w:rsidRPr="003A3E06">
        <w:rPr>
          <w:i/>
          <w:iCs/>
        </w:rPr>
        <w:t>British Journal of Cancer</w:t>
      </w:r>
      <w:r w:rsidRPr="00C43965">
        <w:t xml:space="preserve"> 116(9): 1148–58.</w:t>
      </w:r>
    </w:p>
    <w:p w14:paraId="1C61647B" w14:textId="07122A1B" w:rsidR="005726EB" w:rsidRPr="00C43965" w:rsidRDefault="005726EB" w:rsidP="00785542">
      <w:pPr>
        <w:pStyle w:val="References"/>
        <w:ind w:left="0" w:firstLine="0"/>
      </w:pPr>
      <w:proofErr w:type="spellStart"/>
      <w:r w:rsidRPr="00C164A7">
        <w:t>Nekhlyudov</w:t>
      </w:r>
      <w:proofErr w:type="spellEnd"/>
      <w:r w:rsidRPr="00C164A7">
        <w:t xml:space="preserve"> L and </w:t>
      </w:r>
      <w:proofErr w:type="spellStart"/>
      <w:r w:rsidRPr="00C164A7">
        <w:t>Latosinsky</w:t>
      </w:r>
      <w:proofErr w:type="spellEnd"/>
      <w:r w:rsidRPr="00C164A7">
        <w:t xml:space="preserve"> S. 2010. The interface of primary and oncology specialty</w:t>
      </w:r>
      <w:r w:rsidRPr="00C43965">
        <w:t xml:space="preserve"> care: </w:t>
      </w:r>
      <w:r w:rsidR="00FA4546" w:rsidRPr="00C43965">
        <w:t xml:space="preserve">From </w:t>
      </w:r>
      <w:r w:rsidRPr="00C43965">
        <w:t xml:space="preserve">symptoms to diagnosis. </w:t>
      </w:r>
      <w:r w:rsidRPr="003A3E06">
        <w:rPr>
          <w:i/>
          <w:iCs/>
        </w:rPr>
        <w:t>Journal of the National Cancer Institute Monographs</w:t>
      </w:r>
      <w:r w:rsidRPr="00C43965">
        <w:t xml:space="preserve"> 2010(40): 11–17.</w:t>
      </w:r>
    </w:p>
    <w:p w14:paraId="5F588F69" w14:textId="7CC06B37" w:rsidR="005726EB" w:rsidRPr="00C43965" w:rsidRDefault="005726EB" w:rsidP="00785542">
      <w:pPr>
        <w:pStyle w:val="References"/>
        <w:ind w:left="0" w:firstLine="0"/>
        <w:rPr>
          <w:rFonts w:cs="Segoe UI"/>
          <w:noProof/>
        </w:rPr>
      </w:pPr>
      <w:bookmarkStart w:id="28" w:name="_Hlk152577321"/>
      <w:r w:rsidRPr="00C164A7">
        <w:rPr>
          <w:noProof/>
        </w:rPr>
        <w:t>Pham TM, Gomez-Cano M, Salika T, et al. 2019. Di</w:t>
      </w:r>
      <w:r w:rsidRPr="00C164A7">
        <w:rPr>
          <w:rFonts w:cs="Segoe UI"/>
          <w:noProof/>
        </w:rPr>
        <w:t>agnostic route is associated with care</w:t>
      </w:r>
      <w:r w:rsidRPr="00C43965">
        <w:rPr>
          <w:rFonts w:cs="Segoe UI"/>
          <w:noProof/>
        </w:rPr>
        <w:t xml:space="preserve"> satisfaction independently of tumour stage: Evidence from linked English Cancer Patient Experience Survey and cancer registration data. </w:t>
      </w:r>
      <w:r w:rsidRPr="003A3E06">
        <w:rPr>
          <w:rFonts w:cs="Segoe UI"/>
          <w:i/>
          <w:iCs/>
          <w:noProof/>
        </w:rPr>
        <w:t>Cancer Epidemiology</w:t>
      </w:r>
      <w:r w:rsidRPr="00C43965">
        <w:rPr>
          <w:rFonts w:cs="Segoe UI"/>
          <w:noProof/>
        </w:rPr>
        <w:t xml:space="preserve"> 61</w:t>
      </w:r>
      <w:r>
        <w:rPr>
          <w:rFonts w:cs="Segoe UI"/>
          <w:noProof/>
        </w:rPr>
        <w:t>:</w:t>
      </w:r>
      <w:r w:rsidRPr="00C43965">
        <w:rPr>
          <w:rFonts w:cs="Segoe UI"/>
          <w:noProof/>
        </w:rPr>
        <w:t xml:space="preserve"> 70–78. </w:t>
      </w:r>
      <w:r>
        <w:rPr>
          <w:rFonts w:cs="Segoe UI"/>
          <w:noProof/>
        </w:rPr>
        <w:t xml:space="preserve">URL: </w:t>
      </w:r>
      <w:hyperlink r:id="rId31" w:history="1">
        <w:r>
          <w:rPr>
            <w:rStyle w:val="Hyperlink"/>
            <w:rFonts w:cs="Segoe UI"/>
            <w:noProof/>
          </w:rPr>
          <w:t>doi.org/10.1016/j.canep.2019.04.011</w:t>
        </w:r>
      </w:hyperlink>
      <w:r>
        <w:rPr>
          <w:rFonts w:cs="Segoe UI"/>
          <w:noProof/>
        </w:rPr>
        <w:t xml:space="preserve"> </w:t>
      </w:r>
    </w:p>
    <w:bookmarkEnd w:id="28"/>
    <w:p w14:paraId="4DA59AED" w14:textId="77777777" w:rsidR="005726EB" w:rsidRPr="00C43965" w:rsidRDefault="005726EB" w:rsidP="00282DB7">
      <w:pPr>
        <w:pStyle w:val="References"/>
        <w:ind w:left="0" w:firstLine="0"/>
        <w:rPr>
          <w:noProof/>
        </w:rPr>
      </w:pPr>
      <w:r w:rsidRPr="00C164A7">
        <w:rPr>
          <w:noProof/>
        </w:rPr>
        <w:t xml:space="preserve">Waitangi Tribunal. 2019. </w:t>
      </w:r>
      <w:r w:rsidRPr="00785542">
        <w:rPr>
          <w:noProof/>
        </w:rPr>
        <w:t>Hauora: Report on Stage One of the Health Services and Outcomes Kaupapa Inquiry – WAI 2575</w:t>
      </w:r>
      <w:r w:rsidRPr="00C43965">
        <w:rPr>
          <w:noProof/>
        </w:rPr>
        <w:t xml:space="preserve">. Lower Hutt: Waitangi Tribunal. </w:t>
      </w:r>
    </w:p>
    <w:p w14:paraId="14112F5E" w14:textId="269D2159" w:rsidR="003E7CCC" w:rsidRPr="009C118E" w:rsidRDefault="005726EB" w:rsidP="00282DB7">
      <w:pPr>
        <w:pStyle w:val="References"/>
        <w:ind w:left="0" w:firstLine="0"/>
        <w:rPr>
          <w:noProof/>
        </w:rPr>
      </w:pPr>
      <w:r w:rsidRPr="00C164A7">
        <w:rPr>
          <w:noProof/>
        </w:rPr>
        <w:lastRenderedPageBreak/>
        <w:t>Zhou Y, Abel GA, Hamilton W, et al. 2017. Diagnosis of cancer as an emergency: A critical</w:t>
      </w:r>
      <w:r w:rsidRPr="00C43965">
        <w:rPr>
          <w:noProof/>
        </w:rPr>
        <w:t xml:space="preserve"> review of current evidence. </w:t>
      </w:r>
      <w:r w:rsidRPr="00785542">
        <w:rPr>
          <w:noProof/>
        </w:rPr>
        <w:t>Nature Reviews Clinical Oncology</w:t>
      </w:r>
      <w:r w:rsidRPr="00C43965">
        <w:rPr>
          <w:noProof/>
        </w:rPr>
        <w:t xml:space="preserve"> 14(1)</w:t>
      </w:r>
      <w:r>
        <w:rPr>
          <w:noProof/>
        </w:rPr>
        <w:t>:</w:t>
      </w:r>
      <w:r w:rsidRPr="00C43965">
        <w:rPr>
          <w:noProof/>
        </w:rPr>
        <w:t xml:space="preserve"> 45–56. </w:t>
      </w:r>
      <w:r>
        <w:rPr>
          <w:noProof/>
        </w:rPr>
        <w:t xml:space="preserve">URL: </w:t>
      </w:r>
      <w:hyperlink r:id="rId32" w:history="1">
        <w:r w:rsidRPr="00785542">
          <w:rPr>
            <w:b/>
          </w:rPr>
          <w:t>doi.org/10.1038/nrclinonc.2016.155</w:t>
        </w:r>
      </w:hyperlink>
    </w:p>
    <w:sectPr w:rsidR="003E7CCC" w:rsidRPr="009C118E" w:rsidSect="00785542">
      <w:footerReference w:type="even" r:id="rId33"/>
      <w:footerReference w:type="default" r:id="rId34"/>
      <w:pgSz w:w="11907" w:h="16834" w:code="9"/>
      <w:pgMar w:top="1418" w:right="1701" w:bottom="1134" w:left="1559"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A66F" w14:textId="77777777" w:rsidR="009D6723" w:rsidRDefault="009D6723">
      <w:r>
        <w:separator/>
      </w:r>
    </w:p>
    <w:p w14:paraId="7ACBB9AD" w14:textId="77777777" w:rsidR="009D6723" w:rsidRDefault="009D6723"/>
  </w:endnote>
  <w:endnote w:type="continuationSeparator" w:id="0">
    <w:p w14:paraId="16EA4A0F" w14:textId="77777777" w:rsidR="009D6723" w:rsidRDefault="009D6723">
      <w:r>
        <w:continuationSeparator/>
      </w:r>
    </w:p>
    <w:p w14:paraId="3527D1A1" w14:textId="77777777" w:rsidR="009D6723" w:rsidRDefault="009D6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charset w:val="00"/>
    <w:family w:val="swiss"/>
    <w:pitch w:val="variable"/>
    <w:sig w:usb0="600002FF" w:usb1="00000001" w:usb2="00000000" w:usb3="00000000" w:csb0="0000019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Fira Sans SemiBold">
    <w:charset w:val="00"/>
    <w:family w:val="swiss"/>
    <w:pitch w:val="variable"/>
    <w:sig w:usb0="600002FF"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FCCB" w14:textId="502549B7" w:rsidR="00105770" w:rsidRPr="005718A6" w:rsidRDefault="00105770" w:rsidP="005A79E5">
    <w:pPr>
      <w:pStyle w:val="Footer"/>
      <w:pBdr>
        <w:bottom w:val="single" w:sz="4" w:space="1" w:color="auto"/>
      </w:pBdr>
      <w:tabs>
        <w:tab w:val="right" w:pos="9639"/>
      </w:tabs>
    </w:pPr>
    <w:r w:rsidRPr="0036270F">
      <w:t xml:space="preserve">Released </w:t>
    </w:r>
    <w:r w:rsidR="00014CA4">
      <w:t xml:space="preserve">March </w:t>
    </w:r>
    <w:r w:rsidRPr="0036270F">
      <w:t>20</w:t>
    </w:r>
    <w:r w:rsidR="00FB0A5B" w:rsidRPr="0036270F">
      <w:t>2</w:t>
    </w:r>
    <w:r w:rsidR="0036270F" w:rsidRPr="0036270F">
      <w:t>4</w:t>
    </w:r>
    <w:r w:rsidRPr="005718A6">
      <w:tab/>
    </w:r>
    <w:hyperlink r:id="rId1" w:history="1">
      <w:r w:rsidR="002B709A">
        <w:rPr>
          <w:rStyle w:val="Hyperlink"/>
        </w:rPr>
        <w:t>teaho</w:t>
      </w:r>
      <w:r w:rsidR="00200906" w:rsidRPr="00414B6D">
        <w:rPr>
          <w:rStyle w:val="Hyperlink"/>
        </w:rPr>
        <w:t>.govt.nz</w:t>
      </w:r>
    </w:hyperlink>
  </w:p>
  <w:p w14:paraId="6B7DB602" w14:textId="77777777" w:rsidR="00105770" w:rsidRPr="005A79E5" w:rsidRDefault="0010577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567" w:type="dxa"/>
      <w:tblLayout w:type="fixed"/>
      <w:tblLook w:val="04A0" w:firstRow="1" w:lastRow="0" w:firstColumn="1" w:lastColumn="0" w:noHBand="0" w:noVBand="1"/>
    </w:tblPr>
    <w:tblGrid>
      <w:gridCol w:w="628"/>
      <w:gridCol w:w="7376"/>
      <w:gridCol w:w="785"/>
    </w:tblGrid>
    <w:tr w:rsidR="00552B1F" w14:paraId="3D9E0031" w14:textId="77777777" w:rsidTr="00A65DA8">
      <w:trPr>
        <w:cantSplit/>
      </w:trPr>
      <w:tc>
        <w:tcPr>
          <w:tcW w:w="675" w:type="dxa"/>
          <w:vAlign w:val="center"/>
        </w:tcPr>
        <w:p w14:paraId="31C21290" w14:textId="77777777" w:rsidR="00552B1F" w:rsidRPr="00931466" w:rsidRDefault="00552B1F" w:rsidP="00A65DA8">
          <w:pPr>
            <w:pStyle w:val="Footer"/>
            <w:spacing w:before="120" w:after="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62018">
            <w:rPr>
              <w:rStyle w:val="PageNumber"/>
              <w:noProof/>
            </w:rPr>
            <w:t>2</w:t>
          </w:r>
          <w:r w:rsidRPr="00931466">
            <w:rPr>
              <w:rStyle w:val="PageNumber"/>
            </w:rPr>
            <w:fldChar w:fldCharType="end"/>
          </w:r>
        </w:p>
      </w:tc>
      <w:tc>
        <w:tcPr>
          <w:tcW w:w="8222" w:type="dxa"/>
          <w:vAlign w:val="center"/>
        </w:tcPr>
        <w:p w14:paraId="7D4EDBAD" w14:textId="016094FA" w:rsidR="00552B1F" w:rsidRDefault="0030689A" w:rsidP="00A65DA8">
          <w:pPr>
            <w:pStyle w:val="RectoFooter"/>
            <w:spacing w:before="120" w:after="0"/>
            <w:ind w:left="-108"/>
          </w:pPr>
          <w:r w:rsidRPr="0030689A">
            <w:t xml:space="preserve">Quality Improvement Monitoring Report – </w:t>
          </w:r>
          <w:r w:rsidR="004A5867">
            <w:t xml:space="preserve">Summary – </w:t>
          </w:r>
          <w:r w:rsidRPr="0030689A">
            <w:t>Route to diagnosis</w:t>
          </w:r>
        </w:p>
      </w:tc>
      <w:tc>
        <w:tcPr>
          <w:tcW w:w="850" w:type="dxa"/>
          <w:vAlign w:val="center"/>
        </w:tcPr>
        <w:p w14:paraId="554E72FC" w14:textId="77777777" w:rsidR="00552B1F" w:rsidRDefault="00552B1F" w:rsidP="00A65DA8">
          <w:pPr>
            <w:pStyle w:val="RectoFooter"/>
            <w:spacing w:before="120" w:after="0"/>
            <w:ind w:left="-108"/>
          </w:pPr>
          <w:r>
            <w:rPr>
              <w:noProof/>
              <w:lang w:eastAsia="en-NZ"/>
            </w:rPr>
            <w:drawing>
              <wp:inline distT="0" distB="0" distL="0" distR="0" wp14:anchorId="249AE0E0" wp14:editId="64B1BEC6">
                <wp:extent cx="373711" cy="414082"/>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7A3F0D" w14:textId="77777777" w:rsidR="00105770" w:rsidRPr="00571223" w:rsidRDefault="00105770" w:rsidP="00571223">
    <w:pPr>
      <w:pStyle w:val="Verso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4374D1" w14:paraId="1A7EBC21" w14:textId="77777777" w:rsidTr="00B13C0B">
      <w:trPr>
        <w:cantSplit/>
      </w:trPr>
      <w:tc>
        <w:tcPr>
          <w:tcW w:w="709" w:type="dxa"/>
          <w:vAlign w:val="center"/>
        </w:tcPr>
        <w:p w14:paraId="7E03A524" w14:textId="77777777" w:rsidR="004374D1" w:rsidRDefault="003952F9" w:rsidP="00A65DA8">
          <w:pPr>
            <w:pStyle w:val="RectoFooter"/>
            <w:spacing w:before="120" w:after="0"/>
            <w:jc w:val="left"/>
          </w:pPr>
          <w:r>
            <w:rPr>
              <w:noProof/>
              <w:lang w:eastAsia="en-NZ"/>
            </w:rPr>
            <w:drawing>
              <wp:inline distT="0" distB="0" distL="0" distR="0" wp14:anchorId="11F0A420" wp14:editId="57D50C35">
                <wp:extent cx="373711" cy="414082"/>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6CE3480B" w14:textId="39659E95" w:rsidR="004374D1" w:rsidRDefault="0030689A" w:rsidP="00A65DA8">
          <w:pPr>
            <w:pStyle w:val="RectoFooter"/>
            <w:spacing w:before="120" w:after="0"/>
            <w:jc w:val="left"/>
          </w:pPr>
          <w:r w:rsidRPr="0030689A">
            <w:t xml:space="preserve">Quality Improvement Monitoring Report – </w:t>
          </w:r>
          <w:r w:rsidR="009D2C3E">
            <w:t xml:space="preserve">Summary – </w:t>
          </w:r>
          <w:r w:rsidRPr="0030689A">
            <w:t>Route to diagnosis</w:t>
          </w:r>
        </w:p>
      </w:tc>
      <w:tc>
        <w:tcPr>
          <w:tcW w:w="709" w:type="dxa"/>
          <w:vAlign w:val="center"/>
        </w:tcPr>
        <w:p w14:paraId="664FB279" w14:textId="77777777" w:rsidR="004374D1" w:rsidRPr="00931466" w:rsidRDefault="004374D1" w:rsidP="00A65DA8">
          <w:pPr>
            <w:pStyle w:val="Footer"/>
            <w:spacing w:before="120" w:after="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62018">
            <w:rPr>
              <w:rStyle w:val="PageNumber"/>
              <w:noProof/>
            </w:rPr>
            <w:t>1</w:t>
          </w:r>
          <w:r w:rsidRPr="00931466">
            <w:rPr>
              <w:rStyle w:val="PageNumber"/>
            </w:rPr>
            <w:fldChar w:fldCharType="end"/>
          </w:r>
        </w:p>
      </w:tc>
    </w:tr>
  </w:tbl>
  <w:p w14:paraId="0B03EE3F" w14:textId="77777777" w:rsidR="00105770" w:rsidRPr="00581EB8" w:rsidRDefault="00105770" w:rsidP="00581EB8">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49"/>
      <w:gridCol w:w="11153"/>
      <w:gridCol w:w="1188"/>
    </w:tblGrid>
    <w:tr w:rsidR="002A725D" w14:paraId="5ABE2805" w14:textId="77777777" w:rsidTr="002A725D">
      <w:trPr>
        <w:cantSplit/>
      </w:trPr>
      <w:tc>
        <w:tcPr>
          <w:tcW w:w="357" w:type="pct"/>
          <w:vAlign w:val="center"/>
        </w:tcPr>
        <w:p w14:paraId="52484D06" w14:textId="77777777" w:rsidR="002A725D" w:rsidRPr="00931466" w:rsidRDefault="002A725D" w:rsidP="00A65DA8">
          <w:pPr>
            <w:pStyle w:val="Footer"/>
            <w:spacing w:before="120" w:after="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4196" w:type="pct"/>
          <w:vAlign w:val="center"/>
        </w:tcPr>
        <w:p w14:paraId="3ABFBDAA" w14:textId="77777777" w:rsidR="002A725D" w:rsidRDefault="002A725D" w:rsidP="00A65DA8">
          <w:pPr>
            <w:pStyle w:val="RectoFooter"/>
            <w:spacing w:before="120" w:after="0"/>
            <w:ind w:left="-108"/>
          </w:pPr>
          <w:r w:rsidRPr="0030689A">
            <w:t>Quality Improvement Monitoring Report – Route to diagnosis</w:t>
          </w:r>
        </w:p>
      </w:tc>
      <w:tc>
        <w:tcPr>
          <w:tcW w:w="447" w:type="pct"/>
          <w:vAlign w:val="center"/>
        </w:tcPr>
        <w:p w14:paraId="68DBFE78" w14:textId="77777777" w:rsidR="002A725D" w:rsidRDefault="002A725D" w:rsidP="00A65DA8">
          <w:pPr>
            <w:pStyle w:val="RectoFooter"/>
            <w:spacing w:before="120" w:after="0"/>
            <w:ind w:left="-108"/>
          </w:pPr>
          <w:r>
            <w:rPr>
              <w:noProof/>
              <w:lang w:eastAsia="en-NZ"/>
            </w:rPr>
            <w:drawing>
              <wp:inline distT="0" distB="0" distL="0" distR="0" wp14:anchorId="705F87A8" wp14:editId="1BE41ED6">
                <wp:extent cx="373711" cy="414082"/>
                <wp:effectExtent l="0" t="0" r="7620" b="5080"/>
                <wp:docPr id="451541922" name="Picture 45154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C122D45" w14:textId="77777777" w:rsidR="002A725D" w:rsidRPr="00571223" w:rsidRDefault="002A725D"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71"/>
      <w:gridCol w:w="11148"/>
      <w:gridCol w:w="1071"/>
    </w:tblGrid>
    <w:tr w:rsidR="00F25D0B" w14:paraId="68EACFB4" w14:textId="77777777" w:rsidTr="00F25D0B">
      <w:trPr>
        <w:cantSplit/>
      </w:trPr>
      <w:tc>
        <w:tcPr>
          <w:tcW w:w="403" w:type="pct"/>
          <w:vAlign w:val="center"/>
        </w:tcPr>
        <w:p w14:paraId="2963BAB0" w14:textId="77777777" w:rsidR="00F25D0B" w:rsidRDefault="00F25D0B" w:rsidP="00A65DA8">
          <w:pPr>
            <w:pStyle w:val="RectoFooter"/>
            <w:spacing w:before="120" w:after="0"/>
            <w:jc w:val="left"/>
          </w:pPr>
          <w:r>
            <w:rPr>
              <w:noProof/>
              <w:lang w:eastAsia="en-NZ"/>
            </w:rPr>
            <w:drawing>
              <wp:inline distT="0" distB="0" distL="0" distR="0" wp14:anchorId="13EE3379" wp14:editId="34395504">
                <wp:extent cx="373711" cy="414082"/>
                <wp:effectExtent l="0" t="0" r="7620" b="5080"/>
                <wp:docPr id="1157943488" name="Picture 115794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4193" w:type="pct"/>
          <w:vAlign w:val="center"/>
        </w:tcPr>
        <w:p w14:paraId="71FDCB79" w14:textId="77777777" w:rsidR="00F25D0B" w:rsidRDefault="00F25D0B" w:rsidP="00A65DA8">
          <w:pPr>
            <w:pStyle w:val="RectoFooter"/>
            <w:spacing w:before="120" w:after="0"/>
            <w:jc w:val="left"/>
          </w:pPr>
          <w:r w:rsidRPr="0030689A">
            <w:t>Quality Improvement Monitoring Report – Route to diagnosis</w:t>
          </w:r>
        </w:p>
      </w:tc>
      <w:tc>
        <w:tcPr>
          <w:tcW w:w="403" w:type="pct"/>
          <w:vAlign w:val="center"/>
        </w:tcPr>
        <w:p w14:paraId="3073E37C" w14:textId="77777777" w:rsidR="00F25D0B" w:rsidRPr="00931466" w:rsidRDefault="00F25D0B" w:rsidP="00A65DA8">
          <w:pPr>
            <w:pStyle w:val="Footer"/>
            <w:spacing w:before="120" w:after="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2F2D6C" w14:textId="77777777" w:rsidR="00F25D0B" w:rsidRPr="00581EB8" w:rsidRDefault="00F25D0B"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567" w:type="dxa"/>
      <w:tblLayout w:type="fixed"/>
      <w:tblLook w:val="04A0" w:firstRow="1" w:lastRow="0" w:firstColumn="1" w:lastColumn="0" w:noHBand="0" w:noVBand="1"/>
    </w:tblPr>
    <w:tblGrid>
      <w:gridCol w:w="628"/>
      <w:gridCol w:w="7376"/>
      <w:gridCol w:w="785"/>
    </w:tblGrid>
    <w:tr w:rsidR="00F25D0B" w14:paraId="5072E4FC" w14:textId="77777777" w:rsidTr="00A65DA8">
      <w:trPr>
        <w:cantSplit/>
      </w:trPr>
      <w:tc>
        <w:tcPr>
          <w:tcW w:w="675" w:type="dxa"/>
          <w:vAlign w:val="center"/>
        </w:tcPr>
        <w:p w14:paraId="3101D289" w14:textId="77777777" w:rsidR="00F25D0B" w:rsidRPr="00931466" w:rsidRDefault="00F25D0B" w:rsidP="00A65DA8">
          <w:pPr>
            <w:pStyle w:val="Footer"/>
            <w:spacing w:before="120" w:after="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8222" w:type="dxa"/>
          <w:vAlign w:val="center"/>
        </w:tcPr>
        <w:p w14:paraId="2DF69282" w14:textId="77777777" w:rsidR="00F25D0B" w:rsidRDefault="00F25D0B" w:rsidP="00A65DA8">
          <w:pPr>
            <w:pStyle w:val="RectoFooter"/>
            <w:spacing w:before="120" w:after="0"/>
            <w:ind w:left="-108"/>
          </w:pPr>
          <w:r w:rsidRPr="0030689A">
            <w:t>Quality Improvement Monitoring Report – Route to diagnosis</w:t>
          </w:r>
        </w:p>
      </w:tc>
      <w:tc>
        <w:tcPr>
          <w:tcW w:w="850" w:type="dxa"/>
          <w:vAlign w:val="center"/>
        </w:tcPr>
        <w:p w14:paraId="675F5CAA" w14:textId="77777777" w:rsidR="00F25D0B" w:rsidRDefault="00F25D0B" w:rsidP="00A65DA8">
          <w:pPr>
            <w:pStyle w:val="RectoFooter"/>
            <w:spacing w:before="120" w:after="0"/>
            <w:ind w:left="-108"/>
          </w:pPr>
          <w:r>
            <w:rPr>
              <w:noProof/>
              <w:lang w:eastAsia="en-NZ"/>
            </w:rPr>
            <w:drawing>
              <wp:inline distT="0" distB="0" distL="0" distR="0" wp14:anchorId="1AC85872" wp14:editId="12F5D6C6">
                <wp:extent cx="373711" cy="414082"/>
                <wp:effectExtent l="0" t="0" r="762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62C781B8" w14:textId="77777777" w:rsidR="00F25D0B" w:rsidRPr="00571223" w:rsidRDefault="00F25D0B"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F25D0B" w14:paraId="42E71109" w14:textId="77777777" w:rsidTr="00F25D0B">
      <w:trPr>
        <w:cantSplit/>
      </w:trPr>
      <w:tc>
        <w:tcPr>
          <w:tcW w:w="709" w:type="dxa"/>
          <w:vAlign w:val="center"/>
        </w:tcPr>
        <w:p w14:paraId="052897AB" w14:textId="77777777" w:rsidR="00F25D0B" w:rsidRDefault="00F25D0B" w:rsidP="00F25D0B">
          <w:pPr>
            <w:pStyle w:val="RectoFooter"/>
            <w:spacing w:before="120" w:after="0"/>
            <w:jc w:val="left"/>
          </w:pPr>
          <w:r>
            <w:rPr>
              <w:noProof/>
              <w:lang w:eastAsia="en-NZ"/>
            </w:rPr>
            <w:drawing>
              <wp:inline distT="0" distB="0" distL="0" distR="0" wp14:anchorId="562A01D9" wp14:editId="2495B83A">
                <wp:extent cx="373711" cy="414082"/>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014F2B27" w14:textId="77777777" w:rsidR="00F25D0B" w:rsidRDefault="00F25D0B" w:rsidP="00F25D0B">
          <w:pPr>
            <w:pStyle w:val="RectoFooter"/>
            <w:spacing w:before="120" w:after="0"/>
            <w:jc w:val="left"/>
          </w:pPr>
          <w:r w:rsidRPr="0030689A">
            <w:t>Quality Improvement Monitoring Report – Route to diagnosis</w:t>
          </w:r>
        </w:p>
      </w:tc>
      <w:tc>
        <w:tcPr>
          <w:tcW w:w="709" w:type="dxa"/>
          <w:vAlign w:val="center"/>
        </w:tcPr>
        <w:p w14:paraId="55373B34" w14:textId="77777777" w:rsidR="00F25D0B" w:rsidRPr="00931466" w:rsidRDefault="00F25D0B" w:rsidP="00F25D0B">
          <w:pPr>
            <w:pStyle w:val="Footer"/>
            <w:spacing w:before="120" w:after="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rPr>
            <w:t>1</w:t>
          </w:r>
          <w:r w:rsidRPr="00931466">
            <w:rPr>
              <w:rStyle w:val="PageNumber"/>
            </w:rPr>
            <w:fldChar w:fldCharType="end"/>
          </w:r>
        </w:p>
      </w:tc>
    </w:tr>
  </w:tbl>
  <w:p w14:paraId="4F026CC1" w14:textId="77777777" w:rsidR="00F25D0B" w:rsidRPr="00F25D0B" w:rsidRDefault="00F25D0B" w:rsidP="00F25D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95D9" w14:textId="77777777" w:rsidR="009D6723" w:rsidRPr="00A26E6B" w:rsidRDefault="009D6723" w:rsidP="00A26E6B">
      <w:r>
        <w:separator/>
      </w:r>
    </w:p>
  </w:footnote>
  <w:footnote w:type="continuationSeparator" w:id="0">
    <w:p w14:paraId="05D68445" w14:textId="77777777" w:rsidR="009D6723" w:rsidRDefault="009D6723">
      <w:r>
        <w:continuationSeparator/>
      </w:r>
    </w:p>
    <w:p w14:paraId="119CFD92" w14:textId="77777777" w:rsidR="009D6723" w:rsidRDefault="009D6723"/>
  </w:footnote>
  <w:footnote w:id="1">
    <w:p w14:paraId="30742489" w14:textId="785146B0" w:rsidR="00F90E9E" w:rsidRDefault="00F90E9E" w:rsidP="00F90E9E">
      <w:pPr>
        <w:pStyle w:val="FootnoteText"/>
      </w:pPr>
      <w:r>
        <w:rPr>
          <w:rStyle w:val="FootnoteReference"/>
        </w:rPr>
        <w:footnoteRef/>
      </w:r>
      <w:r>
        <w:t xml:space="preserve"> </w:t>
      </w:r>
      <w:r w:rsidR="00756CD8">
        <w:tab/>
      </w:r>
      <w:hyperlink r:id="rId1" w:history="1">
        <w:r w:rsidR="000B1839">
          <w:rPr>
            <w:rStyle w:val="Hyperlink"/>
          </w:rPr>
          <w:t>www.nsu.govt.nz/health-professionals/national-bowel-screening-programme/lower-starting-age-m%C4%81ori-and-pacific-peoples</w:t>
        </w:r>
      </w:hyperlink>
      <w:r w:rsidR="00756CD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105770" w14:paraId="0A8A6AB5" w14:textId="77777777" w:rsidTr="005A79E5">
      <w:trPr>
        <w:cantSplit/>
      </w:trPr>
      <w:tc>
        <w:tcPr>
          <w:tcW w:w="5210" w:type="dxa"/>
        </w:tcPr>
        <w:p w14:paraId="123597BB" w14:textId="77777777" w:rsidR="00105770" w:rsidRDefault="005718A6" w:rsidP="008814E8">
          <w:pPr>
            <w:pStyle w:val="Header"/>
          </w:pPr>
          <w:r>
            <w:rPr>
              <w:noProof/>
              <w:lang w:eastAsia="en-NZ"/>
            </w:rPr>
            <w:drawing>
              <wp:inline distT="0" distB="0" distL="0" distR="0" wp14:anchorId="2D297235" wp14:editId="2A0F24FC">
                <wp:extent cx="1396538" cy="650613"/>
                <wp:effectExtent l="0" t="0" r="0" b="0"/>
                <wp:docPr id="412080882" name="Picture 41208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2D0A9888" w14:textId="651686A8" w:rsidR="00105770" w:rsidRDefault="006E6E14" w:rsidP="008814E8">
          <w:pPr>
            <w:pStyle w:val="Header"/>
            <w:jc w:val="right"/>
          </w:pPr>
          <w:r>
            <w:rPr>
              <w:noProof/>
              <w:lang w:eastAsia="en-NZ"/>
            </w:rPr>
            <w:drawing>
              <wp:inline distT="0" distB="0" distL="0" distR="0" wp14:anchorId="2C38D581" wp14:editId="1B637867">
                <wp:extent cx="2294626" cy="542925"/>
                <wp:effectExtent l="0" t="0" r="0" b="0"/>
                <wp:docPr id="48258998" name="Picture 4825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420F02" w14:textId="77777777" w:rsidR="005D0402" w:rsidRPr="005D0402" w:rsidRDefault="005D0402" w:rsidP="005D0402"/>
  <w:p w14:paraId="7B2C584C" w14:textId="77777777" w:rsidR="00105770" w:rsidRPr="005718A6" w:rsidRDefault="0010577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CE4E" w14:textId="77777777" w:rsidR="000A5EC4" w:rsidRPr="000A5EC4" w:rsidRDefault="000A5EC4" w:rsidP="000A5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D6931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24670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50D64"/>
    <w:multiLevelType w:val="multilevel"/>
    <w:tmpl w:val="33B63C2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424"/>
        </w:tabs>
        <w:ind w:left="1066" w:hanging="357"/>
      </w:pPr>
      <w:rPr>
        <w:rFonts w:ascii="Symbol" w:hAnsi="Symbol" w:hint="default"/>
        <w:sz w:val="22"/>
        <w:vertAlign w:val="superscript"/>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 w15:restartNumberingAfterBreak="0">
    <w:nsid w:val="00D817C7"/>
    <w:multiLevelType w:val="multilevel"/>
    <w:tmpl w:val="C106893C"/>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623B1E"/>
    <w:multiLevelType w:val="hybridMultilevel"/>
    <w:tmpl w:val="4A3E8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1B64AE7"/>
    <w:multiLevelType w:val="hybridMultilevel"/>
    <w:tmpl w:val="7AF4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7" w15:restartNumberingAfterBreak="0">
    <w:nsid w:val="05954F30"/>
    <w:multiLevelType w:val="hybridMultilevel"/>
    <w:tmpl w:val="4048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6FA6483"/>
    <w:multiLevelType w:val="hybridMultilevel"/>
    <w:tmpl w:val="8394396E"/>
    <w:lvl w:ilvl="0" w:tplc="14090001">
      <w:start w:val="1"/>
      <w:numFmt w:val="bullet"/>
      <w:lvlText w:val=""/>
      <w:lvlJc w:val="left"/>
      <w:pPr>
        <w:ind w:left="790" w:hanging="360"/>
      </w:pPr>
      <w:rPr>
        <w:rFonts w:ascii="Symbol" w:hAnsi="Symbol" w:hint="default"/>
      </w:rPr>
    </w:lvl>
    <w:lvl w:ilvl="1" w:tplc="14090003" w:tentative="1">
      <w:start w:val="1"/>
      <w:numFmt w:val="bullet"/>
      <w:lvlText w:val="o"/>
      <w:lvlJc w:val="left"/>
      <w:pPr>
        <w:ind w:left="1510" w:hanging="360"/>
      </w:pPr>
      <w:rPr>
        <w:rFonts w:ascii="Courier New" w:hAnsi="Courier New" w:cs="Courier New" w:hint="default"/>
      </w:rPr>
    </w:lvl>
    <w:lvl w:ilvl="2" w:tplc="14090005" w:tentative="1">
      <w:start w:val="1"/>
      <w:numFmt w:val="bullet"/>
      <w:lvlText w:val=""/>
      <w:lvlJc w:val="left"/>
      <w:pPr>
        <w:ind w:left="2230" w:hanging="360"/>
      </w:pPr>
      <w:rPr>
        <w:rFonts w:ascii="Wingdings" w:hAnsi="Wingdings" w:hint="default"/>
      </w:rPr>
    </w:lvl>
    <w:lvl w:ilvl="3" w:tplc="14090001" w:tentative="1">
      <w:start w:val="1"/>
      <w:numFmt w:val="bullet"/>
      <w:lvlText w:val=""/>
      <w:lvlJc w:val="left"/>
      <w:pPr>
        <w:ind w:left="2950" w:hanging="360"/>
      </w:pPr>
      <w:rPr>
        <w:rFonts w:ascii="Symbol" w:hAnsi="Symbol" w:hint="default"/>
      </w:rPr>
    </w:lvl>
    <w:lvl w:ilvl="4" w:tplc="14090003" w:tentative="1">
      <w:start w:val="1"/>
      <w:numFmt w:val="bullet"/>
      <w:lvlText w:val="o"/>
      <w:lvlJc w:val="left"/>
      <w:pPr>
        <w:ind w:left="3670" w:hanging="360"/>
      </w:pPr>
      <w:rPr>
        <w:rFonts w:ascii="Courier New" w:hAnsi="Courier New" w:cs="Courier New" w:hint="default"/>
      </w:rPr>
    </w:lvl>
    <w:lvl w:ilvl="5" w:tplc="14090005" w:tentative="1">
      <w:start w:val="1"/>
      <w:numFmt w:val="bullet"/>
      <w:lvlText w:val=""/>
      <w:lvlJc w:val="left"/>
      <w:pPr>
        <w:ind w:left="4390" w:hanging="360"/>
      </w:pPr>
      <w:rPr>
        <w:rFonts w:ascii="Wingdings" w:hAnsi="Wingdings" w:hint="default"/>
      </w:rPr>
    </w:lvl>
    <w:lvl w:ilvl="6" w:tplc="14090001" w:tentative="1">
      <w:start w:val="1"/>
      <w:numFmt w:val="bullet"/>
      <w:lvlText w:val=""/>
      <w:lvlJc w:val="left"/>
      <w:pPr>
        <w:ind w:left="5110" w:hanging="360"/>
      </w:pPr>
      <w:rPr>
        <w:rFonts w:ascii="Symbol" w:hAnsi="Symbol" w:hint="default"/>
      </w:rPr>
    </w:lvl>
    <w:lvl w:ilvl="7" w:tplc="14090003" w:tentative="1">
      <w:start w:val="1"/>
      <w:numFmt w:val="bullet"/>
      <w:lvlText w:val="o"/>
      <w:lvlJc w:val="left"/>
      <w:pPr>
        <w:ind w:left="5830" w:hanging="360"/>
      </w:pPr>
      <w:rPr>
        <w:rFonts w:ascii="Courier New" w:hAnsi="Courier New" w:cs="Courier New" w:hint="default"/>
      </w:rPr>
    </w:lvl>
    <w:lvl w:ilvl="8" w:tplc="14090005" w:tentative="1">
      <w:start w:val="1"/>
      <w:numFmt w:val="bullet"/>
      <w:lvlText w:val=""/>
      <w:lvlJc w:val="left"/>
      <w:pPr>
        <w:ind w:left="6550" w:hanging="360"/>
      </w:pPr>
      <w:rPr>
        <w:rFonts w:ascii="Wingdings" w:hAnsi="Wingdings" w:hint="default"/>
      </w:rPr>
    </w:lvl>
  </w:abstractNum>
  <w:abstractNum w:abstractNumId="9" w15:restartNumberingAfterBreak="0">
    <w:nsid w:val="076735CD"/>
    <w:multiLevelType w:val="hybridMultilevel"/>
    <w:tmpl w:val="8C505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8142377"/>
    <w:multiLevelType w:val="hybridMultilevel"/>
    <w:tmpl w:val="C02C123E"/>
    <w:lvl w:ilvl="0" w:tplc="78E449E2">
      <w:start w:val="1"/>
      <w:numFmt w:val="lowerRoman"/>
      <w:lvlText w:val="%1."/>
      <w:lvlJc w:val="left"/>
      <w:pPr>
        <w:ind w:left="1440" w:hanging="72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C07BC"/>
    <w:multiLevelType w:val="hybridMultilevel"/>
    <w:tmpl w:val="ABA8FA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D8C5D5A"/>
    <w:multiLevelType w:val="multilevel"/>
    <w:tmpl w:val="2CD092E4"/>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3" w15:restartNumberingAfterBreak="0">
    <w:nsid w:val="12370A65"/>
    <w:multiLevelType w:val="multilevel"/>
    <w:tmpl w:val="14090029"/>
    <w:lvl w:ilvl="0">
      <w:start w:val="1"/>
      <w:numFmt w:val="decimal"/>
      <w:suff w:val="space"/>
      <w:lvlText w:val="Chapter %1"/>
      <w:lvlJc w:val="left"/>
      <w:pPr>
        <w:ind w:left="397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5D007DA"/>
    <w:multiLevelType w:val="hybridMultilevel"/>
    <w:tmpl w:val="CA301C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F50908"/>
    <w:multiLevelType w:val="hybridMultilevel"/>
    <w:tmpl w:val="6FCA3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AD060F0"/>
    <w:multiLevelType w:val="multilevel"/>
    <w:tmpl w:val="8362BF2E"/>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7" w15:restartNumberingAfterBreak="0">
    <w:nsid w:val="1C39728D"/>
    <w:multiLevelType w:val="hybridMultilevel"/>
    <w:tmpl w:val="FD204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D905CD6"/>
    <w:multiLevelType w:val="hybridMultilevel"/>
    <w:tmpl w:val="B16E5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0E211D"/>
    <w:multiLevelType w:val="multilevel"/>
    <w:tmpl w:val="50A68920"/>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567" w:hanging="567"/>
      </w:pPr>
      <w:rPr>
        <w:rFonts w:hint="default"/>
      </w:rPr>
    </w:lvl>
    <w:lvl w:ilvl="4">
      <w:start w:val="1"/>
      <w:numFmt w:val="decimal"/>
      <w:lvlText w:val="%5."/>
      <w:lvlJc w:val="left"/>
      <w:pPr>
        <w:ind w:left="927" w:hanging="360"/>
      </w:pPr>
    </w:lvl>
    <w:lvl w:ilvl="5">
      <w:start w:val="1"/>
      <w:numFmt w:val="lower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29050D"/>
    <w:multiLevelType w:val="multilevel"/>
    <w:tmpl w:val="756AE8BA"/>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567" w:hanging="567"/>
      </w:pPr>
      <w:rPr>
        <w:rFonts w:hint="default"/>
      </w:rPr>
    </w:lvl>
    <w:lvl w:ilvl="4">
      <w:start w:val="1"/>
      <w:numFmt w:val="decimal"/>
      <w:lvlText w:val="%5."/>
      <w:lvlJc w:val="left"/>
      <w:pPr>
        <w:ind w:left="927" w:hanging="360"/>
      </w:pPr>
    </w:lvl>
    <w:lvl w:ilvl="5">
      <w:start w:val="1"/>
      <w:numFmt w:val="lower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D3595D"/>
    <w:multiLevelType w:val="multilevel"/>
    <w:tmpl w:val="B040FCF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2EA0626C"/>
    <w:multiLevelType w:val="multilevel"/>
    <w:tmpl w:val="1422C38A"/>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3" w15:restartNumberingAfterBreak="0">
    <w:nsid w:val="2ED1413C"/>
    <w:multiLevelType w:val="hybridMultilevel"/>
    <w:tmpl w:val="B82E6C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F3E22D3"/>
    <w:multiLevelType w:val="multilevel"/>
    <w:tmpl w:val="758E542E"/>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5" w15:restartNumberingAfterBreak="0">
    <w:nsid w:val="307419EC"/>
    <w:multiLevelType w:val="hybridMultilevel"/>
    <w:tmpl w:val="2C28842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174597C"/>
    <w:multiLevelType w:val="multilevel"/>
    <w:tmpl w:val="37A8A922"/>
    <w:lvl w:ilvl="0">
      <w:start w:val="1"/>
      <w:numFmt w:val="decimal"/>
      <w:pStyle w:val="ReportBody-MOH"/>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7" w15:restartNumberingAfterBreak="0">
    <w:nsid w:val="34D165CB"/>
    <w:multiLevelType w:val="multilevel"/>
    <w:tmpl w:val="B040FCF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34DB6753"/>
    <w:multiLevelType w:val="multilevel"/>
    <w:tmpl w:val="CFA0ECD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9" w15:restartNumberingAfterBreak="0">
    <w:nsid w:val="35C46315"/>
    <w:multiLevelType w:val="hybridMultilevel"/>
    <w:tmpl w:val="98C66A74"/>
    <w:lvl w:ilvl="0" w:tplc="B4C469B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36F214BA"/>
    <w:multiLevelType w:val="multilevel"/>
    <w:tmpl w:val="9C9A3D3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o"/>
      <w:lvlJc w:val="left"/>
      <w:pPr>
        <w:tabs>
          <w:tab w:val="num" w:pos="1785"/>
        </w:tabs>
        <w:ind w:left="1428" w:hanging="357"/>
      </w:pPr>
      <w:rPr>
        <w:rFonts w:ascii="Courier New" w:hAnsi="Courier New" w:cs="Courier New"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1" w15:restartNumberingAfterBreak="0">
    <w:nsid w:val="3BBE233B"/>
    <w:multiLevelType w:val="multilevel"/>
    <w:tmpl w:val="050295E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2" w15:restartNumberingAfterBreak="0">
    <w:nsid w:val="3BE33DE2"/>
    <w:multiLevelType w:val="hybridMultilevel"/>
    <w:tmpl w:val="A4583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F0397A"/>
    <w:multiLevelType w:val="hybridMultilevel"/>
    <w:tmpl w:val="0E60C5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3F7B2343"/>
    <w:multiLevelType w:val="multilevel"/>
    <w:tmpl w:val="01E0353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134" w:hanging="1134"/>
      </w:pPr>
      <w:rPr>
        <w:rFonts w:hint="default"/>
      </w:rPr>
    </w:lvl>
    <w:lvl w:ilvl="8">
      <w:start w:val="1"/>
      <w:numFmt w:val="decimal"/>
      <w:pStyle w:val="Heading9"/>
      <w:lvlText w:val="%1.%2.%3.%4.%5.%6.%7.%8.%9"/>
      <w:lvlJc w:val="left"/>
      <w:pPr>
        <w:ind w:left="1134" w:hanging="1134"/>
      </w:pPr>
      <w:rPr>
        <w:rFonts w:hint="default"/>
      </w:rPr>
    </w:lvl>
  </w:abstractNum>
  <w:abstractNum w:abstractNumId="3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7C1C03"/>
    <w:multiLevelType w:val="hybridMultilevel"/>
    <w:tmpl w:val="A030E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27264AA"/>
    <w:multiLevelType w:val="multilevel"/>
    <w:tmpl w:val="48462F1A"/>
    <w:lvl w:ilvl="0">
      <w:start w:val="1"/>
      <w:numFmt w:val="bullet"/>
      <w:lvlText w:val=""/>
      <w:lvlJc w:val="left"/>
      <w:pPr>
        <w:ind w:left="357" w:hanging="357"/>
      </w:pPr>
      <w:rPr>
        <w:rFonts w:ascii="Symbol" w:hAnsi="Symbol"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9" w15:restartNumberingAfterBreak="0">
    <w:nsid w:val="43096F6B"/>
    <w:multiLevelType w:val="hybridMultilevel"/>
    <w:tmpl w:val="4684B4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6A02079"/>
    <w:multiLevelType w:val="multilevel"/>
    <w:tmpl w:val="F910959A"/>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41" w15:restartNumberingAfterBreak="0">
    <w:nsid w:val="4F843D9E"/>
    <w:multiLevelType w:val="multilevel"/>
    <w:tmpl w:val="68EA507E"/>
    <w:lvl w:ilvl="0">
      <w:start w:val="1"/>
      <w:numFmt w:val="decimal"/>
      <w:suff w:val="nothing"/>
      <w:lvlText w:val="Chapter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F8D26E9"/>
    <w:multiLevelType w:val="hybridMultilevel"/>
    <w:tmpl w:val="FB3CB93A"/>
    <w:lvl w:ilvl="0" w:tplc="39B8B2EC">
      <w:start w:val="1"/>
      <w:numFmt w:val="bullet"/>
      <w:lvlText w:val=""/>
      <w:lvlJc w:val="left"/>
      <w:pPr>
        <w:tabs>
          <w:tab w:val="num" w:pos="284"/>
        </w:tabs>
        <w:ind w:left="284" w:hanging="284"/>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B51688"/>
    <w:multiLevelType w:val="hybridMultilevel"/>
    <w:tmpl w:val="204EC29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0FC17C7"/>
    <w:multiLevelType w:val="hybridMultilevel"/>
    <w:tmpl w:val="A13AA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55167D45"/>
    <w:multiLevelType w:val="hybridMultilevel"/>
    <w:tmpl w:val="3A80A0FC"/>
    <w:lvl w:ilvl="0" w:tplc="0E74F91C">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6" w15:restartNumberingAfterBreak="0">
    <w:nsid w:val="55E73FA0"/>
    <w:multiLevelType w:val="multilevel"/>
    <w:tmpl w:val="1AAA43B4"/>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47" w15:restartNumberingAfterBreak="0">
    <w:nsid w:val="59BE1EDB"/>
    <w:multiLevelType w:val="hybridMultilevel"/>
    <w:tmpl w:val="BBB6D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B441916"/>
    <w:multiLevelType w:val="multilevel"/>
    <w:tmpl w:val="33189EF0"/>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49" w15:restartNumberingAfterBreak="0">
    <w:nsid w:val="5C44586F"/>
    <w:multiLevelType w:val="multilevel"/>
    <w:tmpl w:val="DE3893F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50" w15:restartNumberingAfterBreak="0">
    <w:nsid w:val="5D8323CD"/>
    <w:multiLevelType w:val="multilevel"/>
    <w:tmpl w:val="419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F949E5"/>
    <w:multiLevelType w:val="multilevel"/>
    <w:tmpl w:val="AFFA9E04"/>
    <w:lvl w:ilvl="0">
      <w:start w:val="1"/>
      <w:numFmt w:val="upperLetter"/>
      <w:pStyle w:val="Heading1Appendix"/>
      <w:suff w:val="space"/>
      <w:lvlText w:val="Appendix %1:"/>
      <w:lvlJc w:val="left"/>
      <w:pPr>
        <w:ind w:left="0" w:firstLine="0"/>
      </w:pPr>
      <w:rPr>
        <w:rFonts w:hint="default"/>
      </w:rPr>
    </w:lvl>
    <w:lvl w:ilvl="1">
      <w:start w:val="1"/>
      <w:numFmt w:val="decimal"/>
      <w:lvlText w:val="%1.%2"/>
      <w:lvlJc w:val="left"/>
      <w:pPr>
        <w:ind w:left="-10067" w:hanging="992"/>
      </w:pPr>
      <w:rPr>
        <w:rFonts w:hint="default"/>
      </w:rPr>
    </w:lvl>
    <w:lvl w:ilvl="2">
      <w:start w:val="1"/>
      <w:numFmt w:val="lowerRoman"/>
      <w:lvlText w:val="%3)"/>
      <w:lvlJc w:val="left"/>
      <w:pPr>
        <w:ind w:left="-9979" w:hanging="360"/>
      </w:pPr>
      <w:rPr>
        <w:rFonts w:hint="default"/>
      </w:rPr>
    </w:lvl>
    <w:lvl w:ilvl="3">
      <w:start w:val="1"/>
      <w:numFmt w:val="decimal"/>
      <w:lvlText w:val="(%4)"/>
      <w:lvlJc w:val="left"/>
      <w:pPr>
        <w:ind w:left="-9619" w:hanging="360"/>
      </w:pPr>
      <w:rPr>
        <w:rFonts w:hint="default"/>
      </w:rPr>
    </w:lvl>
    <w:lvl w:ilvl="4">
      <w:start w:val="1"/>
      <w:numFmt w:val="lowerLetter"/>
      <w:lvlText w:val="(%5)"/>
      <w:lvlJc w:val="left"/>
      <w:pPr>
        <w:ind w:left="-9259" w:hanging="360"/>
      </w:pPr>
      <w:rPr>
        <w:rFonts w:hint="default"/>
      </w:rPr>
    </w:lvl>
    <w:lvl w:ilvl="5">
      <w:start w:val="1"/>
      <w:numFmt w:val="lowerRoman"/>
      <w:lvlText w:val="(%6)"/>
      <w:lvlJc w:val="left"/>
      <w:pPr>
        <w:ind w:left="-8899" w:hanging="360"/>
      </w:pPr>
      <w:rPr>
        <w:rFonts w:hint="default"/>
      </w:rPr>
    </w:lvl>
    <w:lvl w:ilvl="6">
      <w:start w:val="1"/>
      <w:numFmt w:val="decimal"/>
      <w:lvlText w:val="%7."/>
      <w:lvlJc w:val="left"/>
      <w:pPr>
        <w:ind w:left="-8539" w:hanging="360"/>
      </w:pPr>
      <w:rPr>
        <w:rFonts w:hint="default"/>
      </w:rPr>
    </w:lvl>
    <w:lvl w:ilvl="7">
      <w:start w:val="1"/>
      <w:numFmt w:val="lowerLetter"/>
      <w:lvlText w:val="%8."/>
      <w:lvlJc w:val="left"/>
      <w:pPr>
        <w:ind w:left="-8179" w:hanging="360"/>
      </w:pPr>
      <w:rPr>
        <w:rFonts w:hint="default"/>
      </w:rPr>
    </w:lvl>
    <w:lvl w:ilvl="8">
      <w:start w:val="1"/>
      <w:numFmt w:val="lowerRoman"/>
      <w:lvlText w:val="%9."/>
      <w:lvlJc w:val="left"/>
      <w:pPr>
        <w:ind w:left="-7819" w:hanging="360"/>
      </w:pPr>
      <w:rPr>
        <w:rFonts w:hint="default"/>
      </w:rPr>
    </w:lvl>
  </w:abstractNum>
  <w:abstractNum w:abstractNumId="52" w15:restartNumberingAfterBreak="0">
    <w:nsid w:val="663834E8"/>
    <w:multiLevelType w:val="hybridMultilevel"/>
    <w:tmpl w:val="E8DC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82320D"/>
    <w:multiLevelType w:val="hybridMultilevel"/>
    <w:tmpl w:val="C0029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00F2C85"/>
    <w:multiLevelType w:val="hybridMultilevel"/>
    <w:tmpl w:val="6A54B99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708A1C9A"/>
    <w:multiLevelType w:val="hybridMultilevel"/>
    <w:tmpl w:val="D778D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1272775"/>
    <w:multiLevelType w:val="hybridMultilevel"/>
    <w:tmpl w:val="FE12A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8EA6977"/>
    <w:multiLevelType w:val="multilevel"/>
    <w:tmpl w:val="8848D1A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58"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59" w15:restartNumberingAfterBreak="0">
    <w:nsid w:val="7EE56D14"/>
    <w:multiLevelType w:val="multilevel"/>
    <w:tmpl w:val="D98A295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num w:numId="1" w16cid:durableId="166407095">
    <w:abstractNumId w:val="58"/>
  </w:num>
  <w:num w:numId="2" w16cid:durableId="2030792886">
    <w:abstractNumId w:val="33"/>
  </w:num>
  <w:num w:numId="3" w16cid:durableId="976642509">
    <w:abstractNumId w:val="36"/>
  </w:num>
  <w:num w:numId="4" w16cid:durableId="1105614642">
    <w:abstractNumId w:val="6"/>
  </w:num>
  <w:num w:numId="5" w16cid:durableId="809636227">
    <w:abstractNumId w:val="3"/>
  </w:num>
  <w:num w:numId="6" w16cid:durableId="1521579773">
    <w:abstractNumId w:val="42"/>
  </w:num>
  <w:num w:numId="7" w16cid:durableId="1479958860">
    <w:abstractNumId w:val="50"/>
  </w:num>
  <w:num w:numId="8" w16cid:durableId="1482845736">
    <w:abstractNumId w:val="5"/>
  </w:num>
  <w:num w:numId="9" w16cid:durableId="1224410987">
    <w:abstractNumId w:val="52"/>
  </w:num>
  <w:num w:numId="10" w16cid:durableId="590705663">
    <w:abstractNumId w:val="44"/>
  </w:num>
  <w:num w:numId="11" w16cid:durableId="1375882861">
    <w:abstractNumId w:val="22"/>
  </w:num>
  <w:num w:numId="12" w16cid:durableId="354426844">
    <w:abstractNumId w:val="31"/>
  </w:num>
  <w:num w:numId="13" w16cid:durableId="787357749">
    <w:abstractNumId w:val="2"/>
  </w:num>
  <w:num w:numId="14" w16cid:durableId="328561569">
    <w:abstractNumId w:val="16"/>
  </w:num>
  <w:num w:numId="15" w16cid:durableId="1452439692">
    <w:abstractNumId w:val="29"/>
  </w:num>
  <w:num w:numId="16" w16cid:durableId="230972361">
    <w:abstractNumId w:val="45"/>
  </w:num>
  <w:num w:numId="17" w16cid:durableId="1067538270">
    <w:abstractNumId w:val="10"/>
  </w:num>
  <w:num w:numId="18" w16cid:durableId="1594053626">
    <w:abstractNumId w:val="18"/>
  </w:num>
  <w:num w:numId="19" w16cid:durableId="1252666642">
    <w:abstractNumId w:val="11"/>
  </w:num>
  <w:num w:numId="20" w16cid:durableId="1870606457">
    <w:abstractNumId w:val="8"/>
  </w:num>
  <w:num w:numId="21" w16cid:durableId="260844915">
    <w:abstractNumId w:val="56"/>
  </w:num>
  <w:num w:numId="22" w16cid:durableId="976761729">
    <w:abstractNumId w:val="17"/>
  </w:num>
  <w:num w:numId="23" w16cid:durableId="51195057">
    <w:abstractNumId w:val="53"/>
  </w:num>
  <w:num w:numId="24" w16cid:durableId="1348559796">
    <w:abstractNumId w:val="4"/>
  </w:num>
  <w:num w:numId="25" w16cid:durableId="1014772396">
    <w:abstractNumId w:val="9"/>
  </w:num>
  <w:num w:numId="26" w16cid:durableId="312105476">
    <w:abstractNumId w:val="7"/>
  </w:num>
  <w:num w:numId="27" w16cid:durableId="2094810236">
    <w:abstractNumId w:val="47"/>
  </w:num>
  <w:num w:numId="28" w16cid:durableId="1031800689">
    <w:abstractNumId w:val="54"/>
  </w:num>
  <w:num w:numId="29" w16cid:durableId="2070611481">
    <w:abstractNumId w:val="28"/>
  </w:num>
  <w:num w:numId="30" w16cid:durableId="1903054314">
    <w:abstractNumId w:val="13"/>
  </w:num>
  <w:num w:numId="31" w16cid:durableId="1692297415">
    <w:abstractNumId w:val="43"/>
  </w:num>
  <w:num w:numId="32" w16cid:durableId="853763202">
    <w:abstractNumId w:val="30"/>
  </w:num>
  <w:num w:numId="33" w16cid:durableId="1760827352">
    <w:abstractNumId w:val="59"/>
  </w:num>
  <w:num w:numId="34" w16cid:durableId="1719667987">
    <w:abstractNumId w:val="24"/>
  </w:num>
  <w:num w:numId="35" w16cid:durableId="184099637">
    <w:abstractNumId w:val="49"/>
  </w:num>
  <w:num w:numId="36" w16cid:durableId="247811319">
    <w:abstractNumId w:val="46"/>
  </w:num>
  <w:num w:numId="37" w16cid:durableId="1170829579">
    <w:abstractNumId w:val="57"/>
  </w:num>
  <w:num w:numId="38" w16cid:durableId="367221241">
    <w:abstractNumId w:val="48"/>
  </w:num>
  <w:num w:numId="39" w16cid:durableId="1399749281">
    <w:abstractNumId w:val="38"/>
  </w:num>
  <w:num w:numId="40" w16cid:durableId="1363937739">
    <w:abstractNumId w:val="40"/>
  </w:num>
  <w:num w:numId="41" w16cid:durableId="1672173032">
    <w:abstractNumId w:val="12"/>
  </w:num>
  <w:num w:numId="42" w16cid:durableId="490565721">
    <w:abstractNumId w:val="41"/>
  </w:num>
  <w:num w:numId="43" w16cid:durableId="1115635138">
    <w:abstractNumId w:val="25"/>
  </w:num>
  <w:num w:numId="44" w16cid:durableId="175536353">
    <w:abstractNumId w:val="32"/>
  </w:num>
  <w:num w:numId="45" w16cid:durableId="1140921980">
    <w:abstractNumId w:val="35"/>
  </w:num>
  <w:num w:numId="46" w16cid:durableId="2040889178">
    <w:abstractNumId w:val="34"/>
  </w:num>
  <w:num w:numId="47" w16cid:durableId="695303394">
    <w:abstractNumId w:val="15"/>
  </w:num>
  <w:num w:numId="48" w16cid:durableId="1514955480">
    <w:abstractNumId w:val="39"/>
  </w:num>
  <w:num w:numId="49" w16cid:durableId="2013557841">
    <w:abstractNumId w:val="26"/>
    <w:lvlOverride w:ilvl="0">
      <w:lvl w:ilvl="0">
        <w:start w:val="1"/>
        <w:numFmt w:val="decimal"/>
        <w:pStyle w:val="ReportBody-MOH"/>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0" w16cid:durableId="1053044646">
    <w:abstractNumId w:val="51"/>
  </w:num>
  <w:num w:numId="51" w16cid:durableId="1093283301">
    <w:abstractNumId w:val="20"/>
  </w:num>
  <w:num w:numId="52" w16cid:durableId="1152520464">
    <w:abstractNumId w:val="19"/>
  </w:num>
  <w:num w:numId="53" w16cid:durableId="627979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769714">
    <w:abstractNumId w:val="37"/>
  </w:num>
  <w:num w:numId="55" w16cid:durableId="2032144492">
    <w:abstractNumId w:val="55"/>
  </w:num>
  <w:num w:numId="56" w16cid:durableId="1201743183">
    <w:abstractNumId w:val="14"/>
  </w:num>
  <w:num w:numId="57" w16cid:durableId="1557619316">
    <w:abstractNumId w:val="23"/>
  </w:num>
  <w:num w:numId="58" w16cid:durableId="955284591">
    <w:abstractNumId w:val="27"/>
  </w:num>
  <w:num w:numId="59" w16cid:durableId="2084135617">
    <w:abstractNumId w:val="21"/>
  </w:num>
  <w:num w:numId="60" w16cid:durableId="1378049777">
    <w:abstractNumId w:val="1"/>
  </w:num>
  <w:num w:numId="61" w16cid:durableId="221525522">
    <w:abstractNumId w:val="0"/>
  </w:num>
  <w:num w:numId="62" w16cid:durableId="1354458217">
    <w:abstractNumId w:val="0"/>
    <w:lvlOverride w:ilvl="0">
      <w:startOverride w:val="1"/>
    </w:lvlOverride>
  </w:num>
  <w:num w:numId="63" w16cid:durableId="206573900">
    <w:abstractNumId w:val="0"/>
    <w:lvlOverride w:ilvl="0">
      <w:startOverride w:val="1"/>
    </w:lvlOverride>
  </w:num>
  <w:num w:numId="64" w16cid:durableId="1087388005">
    <w:abstractNumId w:val="0"/>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1C6"/>
    <w:rsid w:val="000025B8"/>
    <w:rsid w:val="00005BB5"/>
    <w:rsid w:val="00006EC5"/>
    <w:rsid w:val="00007877"/>
    <w:rsid w:val="00010A36"/>
    <w:rsid w:val="00011791"/>
    <w:rsid w:val="000144DE"/>
    <w:rsid w:val="00014CA4"/>
    <w:rsid w:val="00022F31"/>
    <w:rsid w:val="00023D93"/>
    <w:rsid w:val="00025A6F"/>
    <w:rsid w:val="0002618D"/>
    <w:rsid w:val="00030B26"/>
    <w:rsid w:val="00030E84"/>
    <w:rsid w:val="00032C0A"/>
    <w:rsid w:val="00035257"/>
    <w:rsid w:val="00035D68"/>
    <w:rsid w:val="00036027"/>
    <w:rsid w:val="0004167C"/>
    <w:rsid w:val="000419A9"/>
    <w:rsid w:val="0004344A"/>
    <w:rsid w:val="00043AC6"/>
    <w:rsid w:val="0004538F"/>
    <w:rsid w:val="00045613"/>
    <w:rsid w:val="00046171"/>
    <w:rsid w:val="00047899"/>
    <w:rsid w:val="00051FFD"/>
    <w:rsid w:val="00053921"/>
    <w:rsid w:val="00054B44"/>
    <w:rsid w:val="000558DB"/>
    <w:rsid w:val="0006006B"/>
    <w:rsid w:val="0006228D"/>
    <w:rsid w:val="000649E7"/>
    <w:rsid w:val="00067204"/>
    <w:rsid w:val="00070B01"/>
    <w:rsid w:val="00072BD6"/>
    <w:rsid w:val="0007383B"/>
    <w:rsid w:val="00073D98"/>
    <w:rsid w:val="00075B78"/>
    <w:rsid w:val="000763E9"/>
    <w:rsid w:val="00082CD6"/>
    <w:rsid w:val="0008437D"/>
    <w:rsid w:val="00085AFE"/>
    <w:rsid w:val="0009144E"/>
    <w:rsid w:val="0009177B"/>
    <w:rsid w:val="0009373F"/>
    <w:rsid w:val="00094800"/>
    <w:rsid w:val="00095942"/>
    <w:rsid w:val="0009662F"/>
    <w:rsid w:val="00096E99"/>
    <w:rsid w:val="000A0158"/>
    <w:rsid w:val="000A373D"/>
    <w:rsid w:val="000A41ED"/>
    <w:rsid w:val="000A5EC4"/>
    <w:rsid w:val="000A778F"/>
    <w:rsid w:val="000B0730"/>
    <w:rsid w:val="000B1839"/>
    <w:rsid w:val="000B4BD8"/>
    <w:rsid w:val="000B6AAB"/>
    <w:rsid w:val="000C1290"/>
    <w:rsid w:val="000C413F"/>
    <w:rsid w:val="000C5C03"/>
    <w:rsid w:val="000C6100"/>
    <w:rsid w:val="000C728A"/>
    <w:rsid w:val="000D0518"/>
    <w:rsid w:val="000D112B"/>
    <w:rsid w:val="000D19F4"/>
    <w:rsid w:val="000D1ED4"/>
    <w:rsid w:val="000D2EE9"/>
    <w:rsid w:val="000D58DD"/>
    <w:rsid w:val="000E0BD4"/>
    <w:rsid w:val="000E1BF1"/>
    <w:rsid w:val="000F1F42"/>
    <w:rsid w:val="000F2AE2"/>
    <w:rsid w:val="000F2BFF"/>
    <w:rsid w:val="00102063"/>
    <w:rsid w:val="0010541C"/>
    <w:rsid w:val="00105770"/>
    <w:rsid w:val="0010650C"/>
    <w:rsid w:val="001068A1"/>
    <w:rsid w:val="00106F93"/>
    <w:rsid w:val="00107982"/>
    <w:rsid w:val="00111675"/>
    <w:rsid w:val="00111D50"/>
    <w:rsid w:val="00112425"/>
    <w:rsid w:val="00113B8E"/>
    <w:rsid w:val="00115A7B"/>
    <w:rsid w:val="001160FB"/>
    <w:rsid w:val="00117F59"/>
    <w:rsid w:val="0012053C"/>
    <w:rsid w:val="00120C4C"/>
    <w:rsid w:val="00122363"/>
    <w:rsid w:val="001223F6"/>
    <w:rsid w:val="001230F3"/>
    <w:rsid w:val="00125D45"/>
    <w:rsid w:val="00131806"/>
    <w:rsid w:val="00131D64"/>
    <w:rsid w:val="001342C7"/>
    <w:rsid w:val="00134502"/>
    <w:rsid w:val="0013585C"/>
    <w:rsid w:val="001373C6"/>
    <w:rsid w:val="00137D34"/>
    <w:rsid w:val="00141A1D"/>
    <w:rsid w:val="00142261"/>
    <w:rsid w:val="00142954"/>
    <w:rsid w:val="00143721"/>
    <w:rsid w:val="001460E0"/>
    <w:rsid w:val="001472F0"/>
    <w:rsid w:val="00147DC2"/>
    <w:rsid w:val="00147F71"/>
    <w:rsid w:val="00150A6E"/>
    <w:rsid w:val="00151C22"/>
    <w:rsid w:val="00153926"/>
    <w:rsid w:val="00160810"/>
    <w:rsid w:val="0016304B"/>
    <w:rsid w:val="0016318F"/>
    <w:rsid w:val="0016468A"/>
    <w:rsid w:val="00165737"/>
    <w:rsid w:val="001665B5"/>
    <w:rsid w:val="0017070E"/>
    <w:rsid w:val="00174F02"/>
    <w:rsid w:val="0018376C"/>
    <w:rsid w:val="0018662D"/>
    <w:rsid w:val="00191ACF"/>
    <w:rsid w:val="001939AC"/>
    <w:rsid w:val="00197427"/>
    <w:rsid w:val="001A21B4"/>
    <w:rsid w:val="001A591D"/>
    <w:rsid w:val="001A5CF5"/>
    <w:rsid w:val="001B1F39"/>
    <w:rsid w:val="001B39D2"/>
    <w:rsid w:val="001B4BF8"/>
    <w:rsid w:val="001B68E2"/>
    <w:rsid w:val="001B7B14"/>
    <w:rsid w:val="001C228A"/>
    <w:rsid w:val="001C35BF"/>
    <w:rsid w:val="001C4269"/>
    <w:rsid w:val="001C4326"/>
    <w:rsid w:val="001C665E"/>
    <w:rsid w:val="001C6CDD"/>
    <w:rsid w:val="001C7301"/>
    <w:rsid w:val="001D1F01"/>
    <w:rsid w:val="001D3541"/>
    <w:rsid w:val="001D3E4E"/>
    <w:rsid w:val="001D4D6D"/>
    <w:rsid w:val="001D657E"/>
    <w:rsid w:val="001E254A"/>
    <w:rsid w:val="001E5EB4"/>
    <w:rsid w:val="001E7386"/>
    <w:rsid w:val="001F2174"/>
    <w:rsid w:val="001F45A7"/>
    <w:rsid w:val="001F59CF"/>
    <w:rsid w:val="001F5E27"/>
    <w:rsid w:val="001F622B"/>
    <w:rsid w:val="001F6F38"/>
    <w:rsid w:val="0020027C"/>
    <w:rsid w:val="00200906"/>
    <w:rsid w:val="00201A01"/>
    <w:rsid w:val="002031D3"/>
    <w:rsid w:val="0020754B"/>
    <w:rsid w:val="002104D3"/>
    <w:rsid w:val="00213A33"/>
    <w:rsid w:val="00214E5A"/>
    <w:rsid w:val="00216320"/>
    <w:rsid w:val="0021763B"/>
    <w:rsid w:val="00232E9F"/>
    <w:rsid w:val="002338DB"/>
    <w:rsid w:val="00234599"/>
    <w:rsid w:val="00236D13"/>
    <w:rsid w:val="0023728C"/>
    <w:rsid w:val="0024026A"/>
    <w:rsid w:val="00243CB3"/>
    <w:rsid w:val="00245748"/>
    <w:rsid w:val="00246DB1"/>
    <w:rsid w:val="002475AC"/>
    <w:rsid w:val="002476B5"/>
    <w:rsid w:val="002520CC"/>
    <w:rsid w:val="002530DE"/>
    <w:rsid w:val="00253ECF"/>
    <w:rsid w:val="00254044"/>
    <w:rsid w:val="002546A1"/>
    <w:rsid w:val="00255C40"/>
    <w:rsid w:val="002568EC"/>
    <w:rsid w:val="002575E8"/>
    <w:rsid w:val="00257EF1"/>
    <w:rsid w:val="002628F4"/>
    <w:rsid w:val="00263724"/>
    <w:rsid w:val="002700CC"/>
    <w:rsid w:val="00270DAE"/>
    <w:rsid w:val="00275D08"/>
    <w:rsid w:val="002762CF"/>
    <w:rsid w:val="002768F6"/>
    <w:rsid w:val="00282DB7"/>
    <w:rsid w:val="00282F28"/>
    <w:rsid w:val="00283889"/>
    <w:rsid w:val="002839AF"/>
    <w:rsid w:val="00285080"/>
    <w:rsid w:val="002858E3"/>
    <w:rsid w:val="0029190A"/>
    <w:rsid w:val="00292C5A"/>
    <w:rsid w:val="00294957"/>
    <w:rsid w:val="00295241"/>
    <w:rsid w:val="002967E7"/>
    <w:rsid w:val="00296D92"/>
    <w:rsid w:val="00297D65"/>
    <w:rsid w:val="002A0D51"/>
    <w:rsid w:val="002A22A0"/>
    <w:rsid w:val="002A3359"/>
    <w:rsid w:val="002A43B3"/>
    <w:rsid w:val="002A4DFC"/>
    <w:rsid w:val="002A725D"/>
    <w:rsid w:val="002B047D"/>
    <w:rsid w:val="002B709A"/>
    <w:rsid w:val="002B732B"/>
    <w:rsid w:val="002B76A7"/>
    <w:rsid w:val="002B7BEC"/>
    <w:rsid w:val="002C0DAD"/>
    <w:rsid w:val="002C2219"/>
    <w:rsid w:val="002C2552"/>
    <w:rsid w:val="002C380A"/>
    <w:rsid w:val="002C55A8"/>
    <w:rsid w:val="002D0DF2"/>
    <w:rsid w:val="002D169A"/>
    <w:rsid w:val="002D23BD"/>
    <w:rsid w:val="002D503E"/>
    <w:rsid w:val="002D60BC"/>
    <w:rsid w:val="002E0B47"/>
    <w:rsid w:val="002E2513"/>
    <w:rsid w:val="002E6048"/>
    <w:rsid w:val="002F27EE"/>
    <w:rsid w:val="002F31BE"/>
    <w:rsid w:val="002F3A0D"/>
    <w:rsid w:val="002F4685"/>
    <w:rsid w:val="002F49E2"/>
    <w:rsid w:val="002F5258"/>
    <w:rsid w:val="002F7213"/>
    <w:rsid w:val="00300DFE"/>
    <w:rsid w:val="0030382F"/>
    <w:rsid w:val="00303BA7"/>
    <w:rsid w:val="0030408D"/>
    <w:rsid w:val="003060E4"/>
    <w:rsid w:val="0030689A"/>
    <w:rsid w:val="00311FE1"/>
    <w:rsid w:val="003160E7"/>
    <w:rsid w:val="00317055"/>
    <w:rsid w:val="0031739E"/>
    <w:rsid w:val="00317DA3"/>
    <w:rsid w:val="00320CCE"/>
    <w:rsid w:val="00321381"/>
    <w:rsid w:val="0032194F"/>
    <w:rsid w:val="00322EA9"/>
    <w:rsid w:val="003235C6"/>
    <w:rsid w:val="003309CA"/>
    <w:rsid w:val="003314E9"/>
    <w:rsid w:val="00332175"/>
    <w:rsid w:val="003325AB"/>
    <w:rsid w:val="003332D1"/>
    <w:rsid w:val="0033412B"/>
    <w:rsid w:val="0033448B"/>
    <w:rsid w:val="003352E9"/>
    <w:rsid w:val="00340073"/>
    <w:rsid w:val="00341161"/>
    <w:rsid w:val="00341BDC"/>
    <w:rsid w:val="0034222A"/>
    <w:rsid w:val="00342FCF"/>
    <w:rsid w:val="00343365"/>
    <w:rsid w:val="003435EE"/>
    <w:rsid w:val="003445F4"/>
    <w:rsid w:val="00345BCC"/>
    <w:rsid w:val="00347529"/>
    <w:rsid w:val="00347962"/>
    <w:rsid w:val="00353501"/>
    <w:rsid w:val="00353734"/>
    <w:rsid w:val="003538D4"/>
    <w:rsid w:val="00356BCB"/>
    <w:rsid w:val="003606F8"/>
    <w:rsid w:val="0036103C"/>
    <w:rsid w:val="003616DC"/>
    <w:rsid w:val="003618E2"/>
    <w:rsid w:val="0036270F"/>
    <w:rsid w:val="003648EF"/>
    <w:rsid w:val="003673E6"/>
    <w:rsid w:val="003713FB"/>
    <w:rsid w:val="00371EBF"/>
    <w:rsid w:val="00375256"/>
    <w:rsid w:val="00376A0B"/>
    <w:rsid w:val="00376CA2"/>
    <w:rsid w:val="00377264"/>
    <w:rsid w:val="003779D2"/>
    <w:rsid w:val="00381556"/>
    <w:rsid w:val="003836F3"/>
    <w:rsid w:val="00385E38"/>
    <w:rsid w:val="00390C42"/>
    <w:rsid w:val="003948EA"/>
    <w:rsid w:val="003952F9"/>
    <w:rsid w:val="00397073"/>
    <w:rsid w:val="00397186"/>
    <w:rsid w:val="003A1F49"/>
    <w:rsid w:val="003A26A5"/>
    <w:rsid w:val="003A3761"/>
    <w:rsid w:val="003A512D"/>
    <w:rsid w:val="003A5FEA"/>
    <w:rsid w:val="003A66A8"/>
    <w:rsid w:val="003A710B"/>
    <w:rsid w:val="003B1D10"/>
    <w:rsid w:val="003B28D7"/>
    <w:rsid w:val="003B53B5"/>
    <w:rsid w:val="003C310C"/>
    <w:rsid w:val="003C66B1"/>
    <w:rsid w:val="003C76D4"/>
    <w:rsid w:val="003D137D"/>
    <w:rsid w:val="003D17B7"/>
    <w:rsid w:val="003D2CC5"/>
    <w:rsid w:val="003D3E5C"/>
    <w:rsid w:val="003D59BB"/>
    <w:rsid w:val="003D62AE"/>
    <w:rsid w:val="003E04C1"/>
    <w:rsid w:val="003E04F4"/>
    <w:rsid w:val="003E0887"/>
    <w:rsid w:val="003E111D"/>
    <w:rsid w:val="003E5127"/>
    <w:rsid w:val="003E74C8"/>
    <w:rsid w:val="003E74E2"/>
    <w:rsid w:val="003E7C46"/>
    <w:rsid w:val="003E7CCC"/>
    <w:rsid w:val="003F06D6"/>
    <w:rsid w:val="003F10A9"/>
    <w:rsid w:val="003F2106"/>
    <w:rsid w:val="003F52A7"/>
    <w:rsid w:val="003F5A8A"/>
    <w:rsid w:val="003F7013"/>
    <w:rsid w:val="003F7F6A"/>
    <w:rsid w:val="00400541"/>
    <w:rsid w:val="0040240C"/>
    <w:rsid w:val="004053F2"/>
    <w:rsid w:val="004057B4"/>
    <w:rsid w:val="00413021"/>
    <w:rsid w:val="00414801"/>
    <w:rsid w:val="00414C35"/>
    <w:rsid w:val="004171B7"/>
    <w:rsid w:val="00422424"/>
    <w:rsid w:val="00424D73"/>
    <w:rsid w:val="00424E27"/>
    <w:rsid w:val="004252BB"/>
    <w:rsid w:val="004301C6"/>
    <w:rsid w:val="00431054"/>
    <w:rsid w:val="0043478F"/>
    <w:rsid w:val="0043602B"/>
    <w:rsid w:val="004362A3"/>
    <w:rsid w:val="00436395"/>
    <w:rsid w:val="004367D2"/>
    <w:rsid w:val="004374D1"/>
    <w:rsid w:val="00437D66"/>
    <w:rsid w:val="00440BE0"/>
    <w:rsid w:val="00442232"/>
    <w:rsid w:val="00442A06"/>
    <w:rsid w:val="00442C1C"/>
    <w:rsid w:val="00443BF3"/>
    <w:rsid w:val="004445D1"/>
    <w:rsid w:val="00445635"/>
    <w:rsid w:val="0044584B"/>
    <w:rsid w:val="00447CB7"/>
    <w:rsid w:val="00451D27"/>
    <w:rsid w:val="00455CC9"/>
    <w:rsid w:val="0045772A"/>
    <w:rsid w:val="004600DC"/>
    <w:rsid w:val="00460826"/>
    <w:rsid w:val="004609D5"/>
    <w:rsid w:val="00460B1E"/>
    <w:rsid w:val="00460EA7"/>
    <w:rsid w:val="0046195B"/>
    <w:rsid w:val="004634BB"/>
    <w:rsid w:val="0046362D"/>
    <w:rsid w:val="0046596D"/>
    <w:rsid w:val="00466370"/>
    <w:rsid w:val="00466DB7"/>
    <w:rsid w:val="00470889"/>
    <w:rsid w:val="004719F9"/>
    <w:rsid w:val="004751BA"/>
    <w:rsid w:val="004852AB"/>
    <w:rsid w:val="00487C04"/>
    <w:rsid w:val="004907E1"/>
    <w:rsid w:val="00494C8E"/>
    <w:rsid w:val="004A035B"/>
    <w:rsid w:val="004A2108"/>
    <w:rsid w:val="004A38D7"/>
    <w:rsid w:val="004A5867"/>
    <w:rsid w:val="004A6590"/>
    <w:rsid w:val="004A66D4"/>
    <w:rsid w:val="004A6F8E"/>
    <w:rsid w:val="004A778C"/>
    <w:rsid w:val="004B128F"/>
    <w:rsid w:val="004B14DD"/>
    <w:rsid w:val="004B30F1"/>
    <w:rsid w:val="004B4368"/>
    <w:rsid w:val="004B4636"/>
    <w:rsid w:val="004B48C7"/>
    <w:rsid w:val="004B5CEE"/>
    <w:rsid w:val="004C127A"/>
    <w:rsid w:val="004C18A2"/>
    <w:rsid w:val="004C2E6A"/>
    <w:rsid w:val="004C64B8"/>
    <w:rsid w:val="004D2A2D"/>
    <w:rsid w:val="004D3F82"/>
    <w:rsid w:val="004D479F"/>
    <w:rsid w:val="004D5CDC"/>
    <w:rsid w:val="004D5E39"/>
    <w:rsid w:val="004D6689"/>
    <w:rsid w:val="004E0B4C"/>
    <w:rsid w:val="004E1D1D"/>
    <w:rsid w:val="004E236E"/>
    <w:rsid w:val="004E2D27"/>
    <w:rsid w:val="004E7AC8"/>
    <w:rsid w:val="004F05F4"/>
    <w:rsid w:val="004F0C94"/>
    <w:rsid w:val="004F2F30"/>
    <w:rsid w:val="004F3999"/>
    <w:rsid w:val="004F49B5"/>
    <w:rsid w:val="005019AE"/>
    <w:rsid w:val="00503749"/>
    <w:rsid w:val="00503D59"/>
    <w:rsid w:val="00504CF4"/>
    <w:rsid w:val="0050635B"/>
    <w:rsid w:val="005075B3"/>
    <w:rsid w:val="00507DE6"/>
    <w:rsid w:val="005138BE"/>
    <w:rsid w:val="005151C2"/>
    <w:rsid w:val="0051553A"/>
    <w:rsid w:val="0051714C"/>
    <w:rsid w:val="005175D3"/>
    <w:rsid w:val="00517DB8"/>
    <w:rsid w:val="005205B8"/>
    <w:rsid w:val="0052145C"/>
    <w:rsid w:val="00522508"/>
    <w:rsid w:val="00524BB1"/>
    <w:rsid w:val="00525C5A"/>
    <w:rsid w:val="00527148"/>
    <w:rsid w:val="0052723A"/>
    <w:rsid w:val="005275E8"/>
    <w:rsid w:val="005309FE"/>
    <w:rsid w:val="0053199F"/>
    <w:rsid w:val="00531DE0"/>
    <w:rsid w:val="00531E12"/>
    <w:rsid w:val="00532B7A"/>
    <w:rsid w:val="00532CFA"/>
    <w:rsid w:val="00533B90"/>
    <w:rsid w:val="005410F8"/>
    <w:rsid w:val="00541E53"/>
    <w:rsid w:val="0054210E"/>
    <w:rsid w:val="00544186"/>
    <w:rsid w:val="005448EC"/>
    <w:rsid w:val="00545963"/>
    <w:rsid w:val="00546792"/>
    <w:rsid w:val="00550256"/>
    <w:rsid w:val="005505FF"/>
    <w:rsid w:val="00552B1F"/>
    <w:rsid w:val="00553165"/>
    <w:rsid w:val="00553958"/>
    <w:rsid w:val="005541B2"/>
    <w:rsid w:val="00554C15"/>
    <w:rsid w:val="00554D9A"/>
    <w:rsid w:val="00555B7B"/>
    <w:rsid w:val="00556726"/>
    <w:rsid w:val="00556BB7"/>
    <w:rsid w:val="0055763D"/>
    <w:rsid w:val="00561516"/>
    <w:rsid w:val="00562018"/>
    <w:rsid w:val="005621F2"/>
    <w:rsid w:val="00563713"/>
    <w:rsid w:val="0056528C"/>
    <w:rsid w:val="00567B58"/>
    <w:rsid w:val="00571223"/>
    <w:rsid w:val="005718A6"/>
    <w:rsid w:val="00571BF0"/>
    <w:rsid w:val="005726EB"/>
    <w:rsid w:val="005763E0"/>
    <w:rsid w:val="00577F09"/>
    <w:rsid w:val="00581136"/>
    <w:rsid w:val="00581EB8"/>
    <w:rsid w:val="005839E7"/>
    <w:rsid w:val="0058437F"/>
    <w:rsid w:val="005932F5"/>
    <w:rsid w:val="005939A0"/>
    <w:rsid w:val="005A27CA"/>
    <w:rsid w:val="005A43BD"/>
    <w:rsid w:val="005A79E5"/>
    <w:rsid w:val="005B0D56"/>
    <w:rsid w:val="005B1910"/>
    <w:rsid w:val="005B29E6"/>
    <w:rsid w:val="005C2B8E"/>
    <w:rsid w:val="005C3648"/>
    <w:rsid w:val="005D034C"/>
    <w:rsid w:val="005D0402"/>
    <w:rsid w:val="005D11D0"/>
    <w:rsid w:val="005D1A1C"/>
    <w:rsid w:val="005D41CC"/>
    <w:rsid w:val="005D5C42"/>
    <w:rsid w:val="005D63DA"/>
    <w:rsid w:val="005D71D6"/>
    <w:rsid w:val="005E1110"/>
    <w:rsid w:val="005E226E"/>
    <w:rsid w:val="005E2636"/>
    <w:rsid w:val="005E7CCB"/>
    <w:rsid w:val="005F246A"/>
    <w:rsid w:val="005F4DA6"/>
    <w:rsid w:val="005F5447"/>
    <w:rsid w:val="005F774D"/>
    <w:rsid w:val="00600DC6"/>
    <w:rsid w:val="006015D7"/>
    <w:rsid w:val="00601B21"/>
    <w:rsid w:val="006041F0"/>
    <w:rsid w:val="0060512A"/>
    <w:rsid w:val="00605C6D"/>
    <w:rsid w:val="00606CFF"/>
    <w:rsid w:val="006120CA"/>
    <w:rsid w:val="00612D38"/>
    <w:rsid w:val="0061443A"/>
    <w:rsid w:val="00623E6A"/>
    <w:rsid w:val="00624174"/>
    <w:rsid w:val="00625FCF"/>
    <w:rsid w:val="00626CF8"/>
    <w:rsid w:val="00630E6F"/>
    <w:rsid w:val="006314AF"/>
    <w:rsid w:val="006325CB"/>
    <w:rsid w:val="00634003"/>
    <w:rsid w:val="00634321"/>
    <w:rsid w:val="00634ED8"/>
    <w:rsid w:val="006358B2"/>
    <w:rsid w:val="00636D7D"/>
    <w:rsid w:val="00637408"/>
    <w:rsid w:val="00637CFA"/>
    <w:rsid w:val="006425B6"/>
    <w:rsid w:val="00642868"/>
    <w:rsid w:val="006431B4"/>
    <w:rsid w:val="00644C00"/>
    <w:rsid w:val="00647AFE"/>
    <w:rsid w:val="00650417"/>
    <w:rsid w:val="006512BC"/>
    <w:rsid w:val="00653A5A"/>
    <w:rsid w:val="006554AC"/>
    <w:rsid w:val="00655B52"/>
    <w:rsid w:val="00656F28"/>
    <w:rsid w:val="00657385"/>
    <w:rsid w:val="006575F4"/>
    <w:rsid w:val="006579E6"/>
    <w:rsid w:val="00660682"/>
    <w:rsid w:val="006609B9"/>
    <w:rsid w:val="00660F74"/>
    <w:rsid w:val="00663EDC"/>
    <w:rsid w:val="00665606"/>
    <w:rsid w:val="006663D6"/>
    <w:rsid w:val="00671078"/>
    <w:rsid w:val="00672986"/>
    <w:rsid w:val="00673666"/>
    <w:rsid w:val="00673775"/>
    <w:rsid w:val="0067378E"/>
    <w:rsid w:val="006758CA"/>
    <w:rsid w:val="00677E29"/>
    <w:rsid w:val="00680A04"/>
    <w:rsid w:val="00681800"/>
    <w:rsid w:val="006825C0"/>
    <w:rsid w:val="0068297C"/>
    <w:rsid w:val="006855A8"/>
    <w:rsid w:val="00686111"/>
    <w:rsid w:val="00686D80"/>
    <w:rsid w:val="006922FB"/>
    <w:rsid w:val="00693A67"/>
    <w:rsid w:val="00694895"/>
    <w:rsid w:val="00697E2E"/>
    <w:rsid w:val="00697F90"/>
    <w:rsid w:val="006A25A2"/>
    <w:rsid w:val="006A2840"/>
    <w:rsid w:val="006A2B57"/>
    <w:rsid w:val="006A3B87"/>
    <w:rsid w:val="006A4597"/>
    <w:rsid w:val="006A4A1B"/>
    <w:rsid w:val="006A75B6"/>
    <w:rsid w:val="006B0A88"/>
    <w:rsid w:val="006B0E73"/>
    <w:rsid w:val="006B1E3D"/>
    <w:rsid w:val="006B4A4D"/>
    <w:rsid w:val="006B5695"/>
    <w:rsid w:val="006B58CA"/>
    <w:rsid w:val="006B58E9"/>
    <w:rsid w:val="006B62E6"/>
    <w:rsid w:val="006B7B2E"/>
    <w:rsid w:val="006C647B"/>
    <w:rsid w:val="006C78EB"/>
    <w:rsid w:val="006D1660"/>
    <w:rsid w:val="006D2651"/>
    <w:rsid w:val="006D3367"/>
    <w:rsid w:val="006D35BB"/>
    <w:rsid w:val="006D63E5"/>
    <w:rsid w:val="006E1753"/>
    <w:rsid w:val="006E1CC6"/>
    <w:rsid w:val="006E2886"/>
    <w:rsid w:val="006E3911"/>
    <w:rsid w:val="006E69F4"/>
    <w:rsid w:val="006E6E14"/>
    <w:rsid w:val="006E7EE4"/>
    <w:rsid w:val="006F1B67"/>
    <w:rsid w:val="006F273B"/>
    <w:rsid w:val="006F3E07"/>
    <w:rsid w:val="006F4002"/>
    <w:rsid w:val="006F4D9C"/>
    <w:rsid w:val="006F70FD"/>
    <w:rsid w:val="007005C5"/>
    <w:rsid w:val="0070091D"/>
    <w:rsid w:val="00701225"/>
    <w:rsid w:val="00702854"/>
    <w:rsid w:val="007071A7"/>
    <w:rsid w:val="00712785"/>
    <w:rsid w:val="00712F2A"/>
    <w:rsid w:val="00715E4D"/>
    <w:rsid w:val="0071645F"/>
    <w:rsid w:val="0071741C"/>
    <w:rsid w:val="00726E9D"/>
    <w:rsid w:val="00727C0B"/>
    <w:rsid w:val="00734021"/>
    <w:rsid w:val="00734FBB"/>
    <w:rsid w:val="00740D45"/>
    <w:rsid w:val="00742B90"/>
    <w:rsid w:val="00743CCC"/>
    <w:rsid w:val="0074434D"/>
    <w:rsid w:val="00745F09"/>
    <w:rsid w:val="00746F74"/>
    <w:rsid w:val="007520DB"/>
    <w:rsid w:val="0075242D"/>
    <w:rsid w:val="00752E53"/>
    <w:rsid w:val="00756CD8"/>
    <w:rsid w:val="00756D5B"/>
    <w:rsid w:val="007570C4"/>
    <w:rsid w:val="007605B8"/>
    <w:rsid w:val="007642BF"/>
    <w:rsid w:val="00770D71"/>
    <w:rsid w:val="00771B1E"/>
    <w:rsid w:val="007723AB"/>
    <w:rsid w:val="00773C95"/>
    <w:rsid w:val="0077696E"/>
    <w:rsid w:val="00777362"/>
    <w:rsid w:val="00780D19"/>
    <w:rsid w:val="0078171E"/>
    <w:rsid w:val="0078539F"/>
    <w:rsid w:val="00785542"/>
    <w:rsid w:val="00785BAD"/>
    <w:rsid w:val="0078658E"/>
    <w:rsid w:val="007875F8"/>
    <w:rsid w:val="00791985"/>
    <w:rsid w:val="007920E2"/>
    <w:rsid w:val="0079566E"/>
    <w:rsid w:val="00795B34"/>
    <w:rsid w:val="007979D9"/>
    <w:rsid w:val="00797D82"/>
    <w:rsid w:val="007A067F"/>
    <w:rsid w:val="007B1770"/>
    <w:rsid w:val="007B4D3E"/>
    <w:rsid w:val="007B7833"/>
    <w:rsid w:val="007B7C70"/>
    <w:rsid w:val="007B7DEB"/>
    <w:rsid w:val="007C0449"/>
    <w:rsid w:val="007C43B6"/>
    <w:rsid w:val="007D0EA1"/>
    <w:rsid w:val="007D2151"/>
    <w:rsid w:val="007D3B90"/>
    <w:rsid w:val="007D40AB"/>
    <w:rsid w:val="007D42CC"/>
    <w:rsid w:val="007D5DE4"/>
    <w:rsid w:val="007D7C3A"/>
    <w:rsid w:val="007E0777"/>
    <w:rsid w:val="007E0DD8"/>
    <w:rsid w:val="007E115E"/>
    <w:rsid w:val="007E1341"/>
    <w:rsid w:val="007E1B41"/>
    <w:rsid w:val="007E1EC4"/>
    <w:rsid w:val="007E30B9"/>
    <w:rsid w:val="007E6D26"/>
    <w:rsid w:val="007E74F1"/>
    <w:rsid w:val="007E779D"/>
    <w:rsid w:val="007F0F0C"/>
    <w:rsid w:val="007F1288"/>
    <w:rsid w:val="007F2E8A"/>
    <w:rsid w:val="007F3835"/>
    <w:rsid w:val="007F3E11"/>
    <w:rsid w:val="007F5931"/>
    <w:rsid w:val="007F5B93"/>
    <w:rsid w:val="008002F5"/>
    <w:rsid w:val="008007C4"/>
    <w:rsid w:val="00800A8A"/>
    <w:rsid w:val="0080155C"/>
    <w:rsid w:val="0080489C"/>
    <w:rsid w:val="008052E1"/>
    <w:rsid w:val="00805754"/>
    <w:rsid w:val="0080622A"/>
    <w:rsid w:val="0080786E"/>
    <w:rsid w:val="00811EEB"/>
    <w:rsid w:val="0082081A"/>
    <w:rsid w:val="00820F65"/>
    <w:rsid w:val="00822F2C"/>
    <w:rsid w:val="00823DEE"/>
    <w:rsid w:val="00825269"/>
    <w:rsid w:val="00825F8E"/>
    <w:rsid w:val="0082629B"/>
    <w:rsid w:val="00826500"/>
    <w:rsid w:val="00826BE2"/>
    <w:rsid w:val="008305E8"/>
    <w:rsid w:val="00836165"/>
    <w:rsid w:val="008365B2"/>
    <w:rsid w:val="00836C1B"/>
    <w:rsid w:val="00844849"/>
    <w:rsid w:val="0084640C"/>
    <w:rsid w:val="00850A02"/>
    <w:rsid w:val="00851595"/>
    <w:rsid w:val="00851E2D"/>
    <w:rsid w:val="00852C5D"/>
    <w:rsid w:val="00856088"/>
    <w:rsid w:val="008574B8"/>
    <w:rsid w:val="008607A6"/>
    <w:rsid w:val="00860826"/>
    <w:rsid w:val="00860E21"/>
    <w:rsid w:val="0086147D"/>
    <w:rsid w:val="00862951"/>
    <w:rsid w:val="00863117"/>
    <w:rsid w:val="0086388B"/>
    <w:rsid w:val="008639E1"/>
    <w:rsid w:val="008642E5"/>
    <w:rsid w:val="00864307"/>
    <w:rsid w:val="00864488"/>
    <w:rsid w:val="00870A36"/>
    <w:rsid w:val="008720F7"/>
    <w:rsid w:val="00872321"/>
    <w:rsid w:val="00872D93"/>
    <w:rsid w:val="00873CEA"/>
    <w:rsid w:val="00873D4A"/>
    <w:rsid w:val="00877FAD"/>
    <w:rsid w:val="00880470"/>
    <w:rsid w:val="008809D7"/>
    <w:rsid w:val="00880D94"/>
    <w:rsid w:val="008814E8"/>
    <w:rsid w:val="00882336"/>
    <w:rsid w:val="00884180"/>
    <w:rsid w:val="00886F64"/>
    <w:rsid w:val="0089217C"/>
    <w:rsid w:val="008924DE"/>
    <w:rsid w:val="0089536B"/>
    <w:rsid w:val="00897010"/>
    <w:rsid w:val="008A22D1"/>
    <w:rsid w:val="008A24D5"/>
    <w:rsid w:val="008A2FAD"/>
    <w:rsid w:val="008A3755"/>
    <w:rsid w:val="008A3D9C"/>
    <w:rsid w:val="008B19DC"/>
    <w:rsid w:val="008B1FF8"/>
    <w:rsid w:val="008B264F"/>
    <w:rsid w:val="008B2EFD"/>
    <w:rsid w:val="008B6F83"/>
    <w:rsid w:val="008B7FD8"/>
    <w:rsid w:val="008C11AC"/>
    <w:rsid w:val="008C2973"/>
    <w:rsid w:val="008C55EA"/>
    <w:rsid w:val="008C6324"/>
    <w:rsid w:val="008C64C4"/>
    <w:rsid w:val="008D1D30"/>
    <w:rsid w:val="008D2CDD"/>
    <w:rsid w:val="008D6CFC"/>
    <w:rsid w:val="008D74D5"/>
    <w:rsid w:val="008D7C9F"/>
    <w:rsid w:val="008E04BA"/>
    <w:rsid w:val="008E0ED1"/>
    <w:rsid w:val="008E2083"/>
    <w:rsid w:val="008E3A07"/>
    <w:rsid w:val="008E537B"/>
    <w:rsid w:val="008E6E64"/>
    <w:rsid w:val="008F29BE"/>
    <w:rsid w:val="008F4AE5"/>
    <w:rsid w:val="008F51EB"/>
    <w:rsid w:val="008F6557"/>
    <w:rsid w:val="00900197"/>
    <w:rsid w:val="00902F55"/>
    <w:rsid w:val="00904B1C"/>
    <w:rsid w:val="00905251"/>
    <w:rsid w:val="0090582B"/>
    <w:rsid w:val="009060C0"/>
    <w:rsid w:val="00910377"/>
    <w:rsid w:val="00910B83"/>
    <w:rsid w:val="009119F4"/>
    <w:rsid w:val="00912EF2"/>
    <w:rsid w:val="009133F5"/>
    <w:rsid w:val="009155C1"/>
    <w:rsid w:val="0091756F"/>
    <w:rsid w:val="00920A27"/>
    <w:rsid w:val="00921216"/>
    <w:rsid w:val="009216CC"/>
    <w:rsid w:val="00922E41"/>
    <w:rsid w:val="00925892"/>
    <w:rsid w:val="00926083"/>
    <w:rsid w:val="00926170"/>
    <w:rsid w:val="00926D08"/>
    <w:rsid w:val="00930D08"/>
    <w:rsid w:val="00931466"/>
    <w:rsid w:val="00932D69"/>
    <w:rsid w:val="009354FD"/>
    <w:rsid w:val="00935589"/>
    <w:rsid w:val="00937408"/>
    <w:rsid w:val="009427FA"/>
    <w:rsid w:val="00944503"/>
    <w:rsid w:val="00944647"/>
    <w:rsid w:val="009469E2"/>
    <w:rsid w:val="009477E1"/>
    <w:rsid w:val="0095565C"/>
    <w:rsid w:val="00957378"/>
    <w:rsid w:val="00962886"/>
    <w:rsid w:val="00964AB6"/>
    <w:rsid w:val="00966F9A"/>
    <w:rsid w:val="00971B32"/>
    <w:rsid w:val="00972F8F"/>
    <w:rsid w:val="00973B13"/>
    <w:rsid w:val="00977B8A"/>
    <w:rsid w:val="009823B2"/>
    <w:rsid w:val="00982971"/>
    <w:rsid w:val="009845AD"/>
    <w:rsid w:val="00984835"/>
    <w:rsid w:val="0098486B"/>
    <w:rsid w:val="009863F8"/>
    <w:rsid w:val="0098738D"/>
    <w:rsid w:val="009933EF"/>
    <w:rsid w:val="00993E67"/>
    <w:rsid w:val="00993EED"/>
    <w:rsid w:val="00995BA0"/>
    <w:rsid w:val="0099798E"/>
    <w:rsid w:val="009A09C6"/>
    <w:rsid w:val="009A418B"/>
    <w:rsid w:val="009A426F"/>
    <w:rsid w:val="009A42D5"/>
    <w:rsid w:val="009A4473"/>
    <w:rsid w:val="009A4A69"/>
    <w:rsid w:val="009A4F67"/>
    <w:rsid w:val="009A5BC2"/>
    <w:rsid w:val="009B05C9"/>
    <w:rsid w:val="009B286C"/>
    <w:rsid w:val="009B41CA"/>
    <w:rsid w:val="009B476E"/>
    <w:rsid w:val="009C118E"/>
    <w:rsid w:val="009C151C"/>
    <w:rsid w:val="009C1B0D"/>
    <w:rsid w:val="009C440A"/>
    <w:rsid w:val="009C4770"/>
    <w:rsid w:val="009C6252"/>
    <w:rsid w:val="009D1C32"/>
    <w:rsid w:val="009D2C3E"/>
    <w:rsid w:val="009D5125"/>
    <w:rsid w:val="009D5DE4"/>
    <w:rsid w:val="009D60B8"/>
    <w:rsid w:val="009D661E"/>
    <w:rsid w:val="009D6723"/>
    <w:rsid w:val="009D7D4B"/>
    <w:rsid w:val="009E36ED"/>
    <w:rsid w:val="009E3B47"/>
    <w:rsid w:val="009E3C8C"/>
    <w:rsid w:val="009E6B77"/>
    <w:rsid w:val="009F4372"/>
    <w:rsid w:val="009F460A"/>
    <w:rsid w:val="009F639C"/>
    <w:rsid w:val="009F6C3B"/>
    <w:rsid w:val="00A01E25"/>
    <w:rsid w:val="00A02283"/>
    <w:rsid w:val="00A03542"/>
    <w:rsid w:val="00A043FB"/>
    <w:rsid w:val="00A04D1D"/>
    <w:rsid w:val="00A05FA9"/>
    <w:rsid w:val="00A06BE4"/>
    <w:rsid w:val="00A0729C"/>
    <w:rsid w:val="00A073CF"/>
    <w:rsid w:val="00A07779"/>
    <w:rsid w:val="00A11668"/>
    <w:rsid w:val="00A1166A"/>
    <w:rsid w:val="00A119ED"/>
    <w:rsid w:val="00A13CDE"/>
    <w:rsid w:val="00A200A6"/>
    <w:rsid w:val="00A20B2E"/>
    <w:rsid w:val="00A24F33"/>
    <w:rsid w:val="00A25069"/>
    <w:rsid w:val="00A26E6B"/>
    <w:rsid w:val="00A3068F"/>
    <w:rsid w:val="00A3145B"/>
    <w:rsid w:val="00A339D0"/>
    <w:rsid w:val="00A3415C"/>
    <w:rsid w:val="00A362AF"/>
    <w:rsid w:val="00A41002"/>
    <w:rsid w:val="00A4201A"/>
    <w:rsid w:val="00A440D7"/>
    <w:rsid w:val="00A536F4"/>
    <w:rsid w:val="00A53EF1"/>
    <w:rsid w:val="00A540F0"/>
    <w:rsid w:val="00A5465D"/>
    <w:rsid w:val="00A54EBC"/>
    <w:rsid w:val="00A553CE"/>
    <w:rsid w:val="00A5677A"/>
    <w:rsid w:val="00A56DCC"/>
    <w:rsid w:val="00A62158"/>
    <w:rsid w:val="00A625E8"/>
    <w:rsid w:val="00A6272D"/>
    <w:rsid w:val="00A62EEA"/>
    <w:rsid w:val="00A63DFF"/>
    <w:rsid w:val="00A64496"/>
    <w:rsid w:val="00A6490D"/>
    <w:rsid w:val="00A65DA8"/>
    <w:rsid w:val="00A67033"/>
    <w:rsid w:val="00A70001"/>
    <w:rsid w:val="00A70249"/>
    <w:rsid w:val="00A71624"/>
    <w:rsid w:val="00A716FD"/>
    <w:rsid w:val="00A72331"/>
    <w:rsid w:val="00A733FF"/>
    <w:rsid w:val="00A7410A"/>
    <w:rsid w:val="00A7415D"/>
    <w:rsid w:val="00A74411"/>
    <w:rsid w:val="00A74AFA"/>
    <w:rsid w:val="00A760E8"/>
    <w:rsid w:val="00A80363"/>
    <w:rsid w:val="00A80939"/>
    <w:rsid w:val="00A8136A"/>
    <w:rsid w:val="00A817CE"/>
    <w:rsid w:val="00A8226D"/>
    <w:rsid w:val="00A837DC"/>
    <w:rsid w:val="00A83E9D"/>
    <w:rsid w:val="00A85722"/>
    <w:rsid w:val="00A87A11"/>
    <w:rsid w:val="00A87C05"/>
    <w:rsid w:val="00A9169D"/>
    <w:rsid w:val="00A93598"/>
    <w:rsid w:val="00A97A3A"/>
    <w:rsid w:val="00AA240C"/>
    <w:rsid w:val="00AA56C9"/>
    <w:rsid w:val="00AA6891"/>
    <w:rsid w:val="00AB0332"/>
    <w:rsid w:val="00AB5D94"/>
    <w:rsid w:val="00AB7896"/>
    <w:rsid w:val="00AB7F45"/>
    <w:rsid w:val="00AC101C"/>
    <w:rsid w:val="00AC1838"/>
    <w:rsid w:val="00AC4EC6"/>
    <w:rsid w:val="00AC7328"/>
    <w:rsid w:val="00AD149F"/>
    <w:rsid w:val="00AD2C57"/>
    <w:rsid w:val="00AD35F7"/>
    <w:rsid w:val="00AD4CF1"/>
    <w:rsid w:val="00AD5988"/>
    <w:rsid w:val="00AD6293"/>
    <w:rsid w:val="00AE06DE"/>
    <w:rsid w:val="00AE1643"/>
    <w:rsid w:val="00AE16AF"/>
    <w:rsid w:val="00AE2528"/>
    <w:rsid w:val="00AE60D4"/>
    <w:rsid w:val="00AF0A77"/>
    <w:rsid w:val="00AF19F4"/>
    <w:rsid w:val="00AF372E"/>
    <w:rsid w:val="00AF4941"/>
    <w:rsid w:val="00AF7800"/>
    <w:rsid w:val="00B00CF5"/>
    <w:rsid w:val="00B05607"/>
    <w:rsid w:val="00B05FC5"/>
    <w:rsid w:val="00B072E0"/>
    <w:rsid w:val="00B1007E"/>
    <w:rsid w:val="00B12E91"/>
    <w:rsid w:val="00B13C0B"/>
    <w:rsid w:val="00B13D41"/>
    <w:rsid w:val="00B15C8F"/>
    <w:rsid w:val="00B20B80"/>
    <w:rsid w:val="00B23E80"/>
    <w:rsid w:val="00B253F6"/>
    <w:rsid w:val="00B2554F"/>
    <w:rsid w:val="00B26675"/>
    <w:rsid w:val="00B27C42"/>
    <w:rsid w:val="00B305DB"/>
    <w:rsid w:val="00B32CFE"/>
    <w:rsid w:val="00B332F8"/>
    <w:rsid w:val="00B344D9"/>
    <w:rsid w:val="00B3492B"/>
    <w:rsid w:val="00B44C72"/>
    <w:rsid w:val="00B4646F"/>
    <w:rsid w:val="00B47A5B"/>
    <w:rsid w:val="00B47C82"/>
    <w:rsid w:val="00B557E7"/>
    <w:rsid w:val="00B55C7D"/>
    <w:rsid w:val="00B579A2"/>
    <w:rsid w:val="00B63038"/>
    <w:rsid w:val="00B64BD8"/>
    <w:rsid w:val="00B701D1"/>
    <w:rsid w:val="00B73AF2"/>
    <w:rsid w:val="00B73D79"/>
    <w:rsid w:val="00B7551A"/>
    <w:rsid w:val="00B7643C"/>
    <w:rsid w:val="00B76F5C"/>
    <w:rsid w:val="00B773F1"/>
    <w:rsid w:val="00B82A6E"/>
    <w:rsid w:val="00B86532"/>
    <w:rsid w:val="00B86AB1"/>
    <w:rsid w:val="00B87726"/>
    <w:rsid w:val="00B91B22"/>
    <w:rsid w:val="00B933A5"/>
    <w:rsid w:val="00BA0E24"/>
    <w:rsid w:val="00BA683A"/>
    <w:rsid w:val="00BA7EBA"/>
    <w:rsid w:val="00BB00DB"/>
    <w:rsid w:val="00BB1B90"/>
    <w:rsid w:val="00BB2A06"/>
    <w:rsid w:val="00BB2CBB"/>
    <w:rsid w:val="00BB35F2"/>
    <w:rsid w:val="00BB4198"/>
    <w:rsid w:val="00BB5AAE"/>
    <w:rsid w:val="00BB5E5C"/>
    <w:rsid w:val="00BC03EE"/>
    <w:rsid w:val="00BC0B6B"/>
    <w:rsid w:val="00BC59F1"/>
    <w:rsid w:val="00BC6850"/>
    <w:rsid w:val="00BD183D"/>
    <w:rsid w:val="00BD488E"/>
    <w:rsid w:val="00BE5877"/>
    <w:rsid w:val="00BE750A"/>
    <w:rsid w:val="00BF0349"/>
    <w:rsid w:val="00BF238C"/>
    <w:rsid w:val="00BF3DE1"/>
    <w:rsid w:val="00BF4843"/>
    <w:rsid w:val="00BF5205"/>
    <w:rsid w:val="00BF5FA7"/>
    <w:rsid w:val="00C03F54"/>
    <w:rsid w:val="00C05132"/>
    <w:rsid w:val="00C057BA"/>
    <w:rsid w:val="00C061E4"/>
    <w:rsid w:val="00C10F30"/>
    <w:rsid w:val="00C12508"/>
    <w:rsid w:val="00C12DC3"/>
    <w:rsid w:val="00C164A7"/>
    <w:rsid w:val="00C1692D"/>
    <w:rsid w:val="00C17973"/>
    <w:rsid w:val="00C2246B"/>
    <w:rsid w:val="00C22688"/>
    <w:rsid w:val="00C23728"/>
    <w:rsid w:val="00C251D0"/>
    <w:rsid w:val="00C25419"/>
    <w:rsid w:val="00C255F2"/>
    <w:rsid w:val="00C2734C"/>
    <w:rsid w:val="00C3026C"/>
    <w:rsid w:val="00C313A9"/>
    <w:rsid w:val="00C347C8"/>
    <w:rsid w:val="00C358E4"/>
    <w:rsid w:val="00C418EE"/>
    <w:rsid w:val="00C43965"/>
    <w:rsid w:val="00C441CF"/>
    <w:rsid w:val="00C45AA2"/>
    <w:rsid w:val="00C45D40"/>
    <w:rsid w:val="00C46929"/>
    <w:rsid w:val="00C4792C"/>
    <w:rsid w:val="00C511C4"/>
    <w:rsid w:val="00C52E02"/>
    <w:rsid w:val="00C550A0"/>
    <w:rsid w:val="00C55BEF"/>
    <w:rsid w:val="00C56C58"/>
    <w:rsid w:val="00C57C00"/>
    <w:rsid w:val="00C601AF"/>
    <w:rsid w:val="00C619B7"/>
    <w:rsid w:val="00C61A63"/>
    <w:rsid w:val="00C6526A"/>
    <w:rsid w:val="00C66296"/>
    <w:rsid w:val="00C7093C"/>
    <w:rsid w:val="00C70CA4"/>
    <w:rsid w:val="00C71588"/>
    <w:rsid w:val="00C7373E"/>
    <w:rsid w:val="00C7394D"/>
    <w:rsid w:val="00C73D79"/>
    <w:rsid w:val="00C7554A"/>
    <w:rsid w:val="00C756B7"/>
    <w:rsid w:val="00C75D46"/>
    <w:rsid w:val="00C77282"/>
    <w:rsid w:val="00C84BC5"/>
    <w:rsid w:val="00C84DE5"/>
    <w:rsid w:val="00C8534A"/>
    <w:rsid w:val="00C85737"/>
    <w:rsid w:val="00C86248"/>
    <w:rsid w:val="00C8720E"/>
    <w:rsid w:val="00C90B31"/>
    <w:rsid w:val="00C9576B"/>
    <w:rsid w:val="00C964C5"/>
    <w:rsid w:val="00CA0D6F"/>
    <w:rsid w:val="00CA4C33"/>
    <w:rsid w:val="00CA6F4A"/>
    <w:rsid w:val="00CA7F78"/>
    <w:rsid w:val="00CB2332"/>
    <w:rsid w:val="00CB3483"/>
    <w:rsid w:val="00CB400C"/>
    <w:rsid w:val="00CB6427"/>
    <w:rsid w:val="00CB70B3"/>
    <w:rsid w:val="00CB7384"/>
    <w:rsid w:val="00CC0FBE"/>
    <w:rsid w:val="00CC2E8A"/>
    <w:rsid w:val="00CC637C"/>
    <w:rsid w:val="00CD077C"/>
    <w:rsid w:val="00CD1360"/>
    <w:rsid w:val="00CD20AA"/>
    <w:rsid w:val="00CD2119"/>
    <w:rsid w:val="00CD237A"/>
    <w:rsid w:val="00CD36AC"/>
    <w:rsid w:val="00CD57AB"/>
    <w:rsid w:val="00CD6208"/>
    <w:rsid w:val="00CD7344"/>
    <w:rsid w:val="00CE0C31"/>
    <w:rsid w:val="00CE13A3"/>
    <w:rsid w:val="00CE36BC"/>
    <w:rsid w:val="00CE6E57"/>
    <w:rsid w:val="00CE7788"/>
    <w:rsid w:val="00CE7B03"/>
    <w:rsid w:val="00CF1747"/>
    <w:rsid w:val="00CF2026"/>
    <w:rsid w:val="00CF2176"/>
    <w:rsid w:val="00CF4CDC"/>
    <w:rsid w:val="00CF60ED"/>
    <w:rsid w:val="00D026BB"/>
    <w:rsid w:val="00D05D74"/>
    <w:rsid w:val="00D0766C"/>
    <w:rsid w:val="00D10E3C"/>
    <w:rsid w:val="00D12AFF"/>
    <w:rsid w:val="00D140D2"/>
    <w:rsid w:val="00D140DA"/>
    <w:rsid w:val="00D16001"/>
    <w:rsid w:val="00D167A9"/>
    <w:rsid w:val="00D20C59"/>
    <w:rsid w:val="00D21B7D"/>
    <w:rsid w:val="00D23323"/>
    <w:rsid w:val="00D2392A"/>
    <w:rsid w:val="00D25FFE"/>
    <w:rsid w:val="00D275CD"/>
    <w:rsid w:val="00D27922"/>
    <w:rsid w:val="00D27A64"/>
    <w:rsid w:val="00D33B67"/>
    <w:rsid w:val="00D374E3"/>
    <w:rsid w:val="00D37D80"/>
    <w:rsid w:val="00D423EB"/>
    <w:rsid w:val="00D43A88"/>
    <w:rsid w:val="00D442F3"/>
    <w:rsid w:val="00D44483"/>
    <w:rsid w:val="00D4476F"/>
    <w:rsid w:val="00D50573"/>
    <w:rsid w:val="00D50CBF"/>
    <w:rsid w:val="00D514DC"/>
    <w:rsid w:val="00D53BDB"/>
    <w:rsid w:val="00D54D50"/>
    <w:rsid w:val="00D560B4"/>
    <w:rsid w:val="00D6041F"/>
    <w:rsid w:val="00D62966"/>
    <w:rsid w:val="00D662F8"/>
    <w:rsid w:val="00D66797"/>
    <w:rsid w:val="00D7087C"/>
    <w:rsid w:val="00D70C3C"/>
    <w:rsid w:val="00D71DF7"/>
    <w:rsid w:val="00D72BE5"/>
    <w:rsid w:val="00D7547E"/>
    <w:rsid w:val="00D75B33"/>
    <w:rsid w:val="00D80CF7"/>
    <w:rsid w:val="00D81462"/>
    <w:rsid w:val="00D82431"/>
    <w:rsid w:val="00D82F26"/>
    <w:rsid w:val="00D84E90"/>
    <w:rsid w:val="00D863D0"/>
    <w:rsid w:val="00D86B00"/>
    <w:rsid w:val="00D86FB9"/>
    <w:rsid w:val="00D87C87"/>
    <w:rsid w:val="00D90BB4"/>
    <w:rsid w:val="00D90E07"/>
    <w:rsid w:val="00D921C6"/>
    <w:rsid w:val="00D932C2"/>
    <w:rsid w:val="00D93707"/>
    <w:rsid w:val="00D94878"/>
    <w:rsid w:val="00DA0232"/>
    <w:rsid w:val="00DA7F9E"/>
    <w:rsid w:val="00DB39CF"/>
    <w:rsid w:val="00DB7256"/>
    <w:rsid w:val="00DB77E1"/>
    <w:rsid w:val="00DC0401"/>
    <w:rsid w:val="00DC0679"/>
    <w:rsid w:val="00DC106E"/>
    <w:rsid w:val="00DC204F"/>
    <w:rsid w:val="00DC20BD"/>
    <w:rsid w:val="00DC5380"/>
    <w:rsid w:val="00DC5E62"/>
    <w:rsid w:val="00DD0BCD"/>
    <w:rsid w:val="00DD1FFE"/>
    <w:rsid w:val="00DD296C"/>
    <w:rsid w:val="00DD447A"/>
    <w:rsid w:val="00DE2860"/>
    <w:rsid w:val="00DE28E6"/>
    <w:rsid w:val="00DE3B20"/>
    <w:rsid w:val="00DE57CF"/>
    <w:rsid w:val="00DE6C94"/>
    <w:rsid w:val="00DE6FD7"/>
    <w:rsid w:val="00DF0C7C"/>
    <w:rsid w:val="00DF5DEC"/>
    <w:rsid w:val="00DF7AE7"/>
    <w:rsid w:val="00DF7B37"/>
    <w:rsid w:val="00E00250"/>
    <w:rsid w:val="00E06C8A"/>
    <w:rsid w:val="00E06CCC"/>
    <w:rsid w:val="00E10B18"/>
    <w:rsid w:val="00E13B1F"/>
    <w:rsid w:val="00E20A29"/>
    <w:rsid w:val="00E23271"/>
    <w:rsid w:val="00E24F80"/>
    <w:rsid w:val="00E259F3"/>
    <w:rsid w:val="00E30985"/>
    <w:rsid w:val="00E31EA0"/>
    <w:rsid w:val="00E323E5"/>
    <w:rsid w:val="00E33238"/>
    <w:rsid w:val="00E33934"/>
    <w:rsid w:val="00E3415D"/>
    <w:rsid w:val="00E34B69"/>
    <w:rsid w:val="00E3663E"/>
    <w:rsid w:val="00E371F4"/>
    <w:rsid w:val="00E374CC"/>
    <w:rsid w:val="00E376B7"/>
    <w:rsid w:val="00E41397"/>
    <w:rsid w:val="00E42F5D"/>
    <w:rsid w:val="00E4486C"/>
    <w:rsid w:val="00E460B6"/>
    <w:rsid w:val="00E46E44"/>
    <w:rsid w:val="00E511D5"/>
    <w:rsid w:val="00E5166A"/>
    <w:rsid w:val="00E51C9C"/>
    <w:rsid w:val="00E52321"/>
    <w:rsid w:val="00E53A9F"/>
    <w:rsid w:val="00E53CC2"/>
    <w:rsid w:val="00E555EB"/>
    <w:rsid w:val="00E55F96"/>
    <w:rsid w:val="00E57349"/>
    <w:rsid w:val="00E60249"/>
    <w:rsid w:val="00E6203F"/>
    <w:rsid w:val="00E62238"/>
    <w:rsid w:val="00E628D6"/>
    <w:rsid w:val="00E65269"/>
    <w:rsid w:val="00E731EC"/>
    <w:rsid w:val="00E7561C"/>
    <w:rsid w:val="00E76D66"/>
    <w:rsid w:val="00E77D83"/>
    <w:rsid w:val="00E81640"/>
    <w:rsid w:val="00E83211"/>
    <w:rsid w:val="00E83D13"/>
    <w:rsid w:val="00E841C1"/>
    <w:rsid w:val="00E91B29"/>
    <w:rsid w:val="00E92EA7"/>
    <w:rsid w:val="00E95F94"/>
    <w:rsid w:val="00E9747D"/>
    <w:rsid w:val="00E97E08"/>
    <w:rsid w:val="00EA0E78"/>
    <w:rsid w:val="00EA371E"/>
    <w:rsid w:val="00EA796A"/>
    <w:rsid w:val="00EB1856"/>
    <w:rsid w:val="00EB5355"/>
    <w:rsid w:val="00EB76AA"/>
    <w:rsid w:val="00EC21AC"/>
    <w:rsid w:val="00EC2931"/>
    <w:rsid w:val="00EC4D15"/>
    <w:rsid w:val="00EC50CE"/>
    <w:rsid w:val="00EC5B34"/>
    <w:rsid w:val="00ED021E"/>
    <w:rsid w:val="00ED323C"/>
    <w:rsid w:val="00ED4870"/>
    <w:rsid w:val="00EE155F"/>
    <w:rsid w:val="00EE2D5C"/>
    <w:rsid w:val="00EE4ADE"/>
    <w:rsid w:val="00EE4DE8"/>
    <w:rsid w:val="00EE5CB7"/>
    <w:rsid w:val="00EF1519"/>
    <w:rsid w:val="00EF2535"/>
    <w:rsid w:val="00EF5862"/>
    <w:rsid w:val="00F000BF"/>
    <w:rsid w:val="00F00A62"/>
    <w:rsid w:val="00F020C6"/>
    <w:rsid w:val="00F024FE"/>
    <w:rsid w:val="00F05AD4"/>
    <w:rsid w:val="00F103BE"/>
    <w:rsid w:val="00F10EB6"/>
    <w:rsid w:val="00F134D1"/>
    <w:rsid w:val="00F13F07"/>
    <w:rsid w:val="00F140B2"/>
    <w:rsid w:val="00F16595"/>
    <w:rsid w:val="00F16DD6"/>
    <w:rsid w:val="00F17E7B"/>
    <w:rsid w:val="00F2089D"/>
    <w:rsid w:val="00F20C5A"/>
    <w:rsid w:val="00F23B08"/>
    <w:rsid w:val="00F257C2"/>
    <w:rsid w:val="00F25970"/>
    <w:rsid w:val="00F25D0B"/>
    <w:rsid w:val="00F26DDC"/>
    <w:rsid w:val="00F311A9"/>
    <w:rsid w:val="00F31343"/>
    <w:rsid w:val="00F31BB8"/>
    <w:rsid w:val="00F3317E"/>
    <w:rsid w:val="00F3465C"/>
    <w:rsid w:val="00F3530D"/>
    <w:rsid w:val="00F37381"/>
    <w:rsid w:val="00F41A2A"/>
    <w:rsid w:val="00F5180D"/>
    <w:rsid w:val="00F54141"/>
    <w:rsid w:val="00F54E74"/>
    <w:rsid w:val="00F56A5E"/>
    <w:rsid w:val="00F577E4"/>
    <w:rsid w:val="00F60115"/>
    <w:rsid w:val="00F63781"/>
    <w:rsid w:val="00F6606C"/>
    <w:rsid w:val="00F67496"/>
    <w:rsid w:val="00F7037B"/>
    <w:rsid w:val="00F7421E"/>
    <w:rsid w:val="00F801BA"/>
    <w:rsid w:val="00F807AD"/>
    <w:rsid w:val="00F80B68"/>
    <w:rsid w:val="00F81E0B"/>
    <w:rsid w:val="00F838E4"/>
    <w:rsid w:val="00F84165"/>
    <w:rsid w:val="00F849A5"/>
    <w:rsid w:val="00F85A95"/>
    <w:rsid w:val="00F90E9E"/>
    <w:rsid w:val="00F91889"/>
    <w:rsid w:val="00F9366A"/>
    <w:rsid w:val="00F946C9"/>
    <w:rsid w:val="00FA07EE"/>
    <w:rsid w:val="00FA0C75"/>
    <w:rsid w:val="00FA0EA5"/>
    <w:rsid w:val="00FA4546"/>
    <w:rsid w:val="00FA5403"/>
    <w:rsid w:val="00FA68C7"/>
    <w:rsid w:val="00FA74EE"/>
    <w:rsid w:val="00FB0A5B"/>
    <w:rsid w:val="00FB1B8E"/>
    <w:rsid w:val="00FB326A"/>
    <w:rsid w:val="00FC3711"/>
    <w:rsid w:val="00FC3B48"/>
    <w:rsid w:val="00FC46E7"/>
    <w:rsid w:val="00FC5D25"/>
    <w:rsid w:val="00FD0D7E"/>
    <w:rsid w:val="00FD16C4"/>
    <w:rsid w:val="00FD3172"/>
    <w:rsid w:val="00FD362F"/>
    <w:rsid w:val="00FD43AA"/>
    <w:rsid w:val="00FD4789"/>
    <w:rsid w:val="00FD47FE"/>
    <w:rsid w:val="00FD4FFB"/>
    <w:rsid w:val="00FD6FDD"/>
    <w:rsid w:val="00FD70C1"/>
    <w:rsid w:val="00FD737E"/>
    <w:rsid w:val="00FE022F"/>
    <w:rsid w:val="00FE109B"/>
    <w:rsid w:val="00FE44BD"/>
    <w:rsid w:val="00FE6E13"/>
    <w:rsid w:val="00FE6E3F"/>
    <w:rsid w:val="00FE7D38"/>
    <w:rsid w:val="00FF15F6"/>
    <w:rsid w:val="00FF4AC0"/>
    <w:rsid w:val="00FF527C"/>
    <w:rsid w:val="00FF65CD"/>
    <w:rsid w:val="00FF6A1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2B059"/>
  <w15:docId w15:val="{89FEA3F4-118C-44F4-BEB4-D2C42E10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073"/>
    <w:pPr>
      <w:spacing w:after="160" w:line="264" w:lineRule="auto"/>
    </w:pPr>
    <w:rPr>
      <w:rFonts w:ascii="Fira Sans" w:hAnsi="Fira Sans"/>
      <w:lang w:eastAsia="en-GB"/>
    </w:rPr>
  </w:style>
  <w:style w:type="paragraph" w:styleId="Heading1">
    <w:name w:val="heading 1"/>
    <w:basedOn w:val="Normal"/>
    <w:next w:val="Normal"/>
    <w:link w:val="Heading1Char"/>
    <w:uiPriority w:val="9"/>
    <w:qFormat/>
    <w:rsid w:val="005F4DA6"/>
    <w:pPr>
      <w:pageBreakBefore/>
      <w:spacing w:after="360" w:line="240" w:lineRule="auto"/>
      <w:outlineLvl w:val="0"/>
    </w:pPr>
    <w:rPr>
      <w:b/>
      <w:color w:val="2C463B"/>
      <w:spacing w:val="-10"/>
      <w:sz w:val="62"/>
    </w:rPr>
  </w:style>
  <w:style w:type="paragraph" w:styleId="Heading2">
    <w:name w:val="heading 2"/>
    <w:basedOn w:val="Normal"/>
    <w:next w:val="Normal"/>
    <w:link w:val="Heading2Char"/>
    <w:uiPriority w:val="9"/>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qFormat/>
    <w:rsid w:val="005718A6"/>
    <w:pPr>
      <w:keepNext/>
      <w:spacing w:before="360" w:after="180"/>
      <w:outlineLvl w:val="2"/>
    </w:pPr>
    <w:rPr>
      <w:rFonts w:ascii="Montserrat" w:hAnsi="Montserrat"/>
      <w:color w:val="2C463B"/>
      <w:spacing w:val="-5"/>
      <w:sz w:val="36"/>
    </w:rPr>
  </w:style>
  <w:style w:type="paragraph" w:styleId="Heading4">
    <w:name w:val="heading 4"/>
    <w:basedOn w:val="Normal"/>
    <w:next w:val="Normal"/>
    <w:link w:val="Heading4Char"/>
    <w:qFormat/>
    <w:rsid w:val="004374D1"/>
    <w:pPr>
      <w:keepNext/>
      <w:numPr>
        <w:ilvl w:val="3"/>
        <w:numId w:val="45"/>
      </w:numPr>
      <w:spacing w:before="240" w:after="120"/>
      <w:outlineLvl w:val="3"/>
    </w:pPr>
    <w:rPr>
      <w:rFonts w:ascii="Montserrat" w:hAnsi="Montserrat"/>
      <w:sz w:val="28"/>
    </w:rPr>
  </w:style>
  <w:style w:type="paragraph" w:styleId="Heading5">
    <w:name w:val="heading 5"/>
    <w:basedOn w:val="Normal"/>
    <w:next w:val="Normal"/>
    <w:link w:val="Heading5Char"/>
    <w:qFormat/>
    <w:rsid w:val="004374D1"/>
    <w:pPr>
      <w:keepNext/>
      <w:numPr>
        <w:ilvl w:val="4"/>
        <w:numId w:val="45"/>
      </w:numPr>
      <w:spacing w:before="120" w:after="120"/>
      <w:outlineLvl w:val="4"/>
    </w:pPr>
    <w:rPr>
      <w:rFonts w:ascii="Montserrat" w:hAnsi="Montserrat"/>
      <w:color w:val="2C463B"/>
      <w:sz w:val="24"/>
    </w:rPr>
  </w:style>
  <w:style w:type="paragraph" w:styleId="Heading6">
    <w:name w:val="heading 6"/>
    <w:basedOn w:val="Normal"/>
    <w:next w:val="Normal"/>
    <w:link w:val="Heading6Char"/>
    <w:unhideWhenUsed/>
    <w:qFormat/>
    <w:rsid w:val="00B47C82"/>
    <w:pPr>
      <w:keepNext/>
      <w:keepLines/>
      <w:numPr>
        <w:ilvl w:val="5"/>
        <w:numId w:val="45"/>
      </w:numPr>
      <w:spacing w:before="200" w:after="120" w:line="276" w:lineRule="auto"/>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nhideWhenUsed/>
    <w:qFormat/>
    <w:rsid w:val="00122363"/>
    <w:pPr>
      <w:keepNext/>
      <w:keepLines/>
      <w:numPr>
        <w:ilvl w:val="6"/>
        <w:numId w:val="45"/>
      </w:numPr>
      <w:spacing w:before="200" w:after="120" w:line="276" w:lineRule="auto"/>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numPr>
        <w:ilvl w:val="7"/>
        <w:numId w:val="45"/>
      </w:numPr>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numPr>
        <w:ilvl w:val="8"/>
        <w:numId w:val="45"/>
      </w:numPr>
      <w:spacing w:before="200" w:after="120" w:line="276" w:lineRule="auto"/>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4DA6"/>
    <w:rPr>
      <w:rFonts w:ascii="Fira Sans" w:hAnsi="Fira Sans"/>
      <w:b/>
      <w:color w:val="2C463B"/>
      <w:spacing w:val="-10"/>
      <w:sz w:val="62"/>
      <w:lang w:eastAsia="en-GB"/>
    </w:rPr>
  </w:style>
  <w:style w:type="character" w:customStyle="1" w:styleId="Heading2Char">
    <w:name w:val="Heading 2 Char"/>
    <w:link w:val="Heading2"/>
    <w:uiPriority w:val="9"/>
    <w:rsid w:val="004374D1"/>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rsid w:val="004374D1"/>
    <w:rPr>
      <w:rFonts w:ascii="Montserrat" w:hAnsi="Montserrat"/>
      <w:sz w:val="28"/>
      <w:lang w:eastAsia="en-GB"/>
    </w:rPr>
  </w:style>
  <w:style w:type="character" w:customStyle="1" w:styleId="Heading5Char">
    <w:name w:val="Heading 5 Char"/>
    <w:link w:val="Heading5"/>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autoRedefine/>
    <w:uiPriority w:val="39"/>
    <w:qFormat/>
    <w:rsid w:val="001B1F39"/>
    <w:pPr>
      <w:tabs>
        <w:tab w:val="right" w:pos="8080"/>
      </w:tabs>
      <w:spacing w:before="120" w:after="0"/>
      <w:ind w:left="426" w:right="567" w:hanging="426"/>
    </w:pPr>
    <w:rPr>
      <w:sz w:val="24"/>
    </w:rPr>
  </w:style>
  <w:style w:type="paragraph" w:styleId="TOC2">
    <w:name w:val="toc 2"/>
    <w:basedOn w:val="Normal"/>
    <w:next w:val="Normal"/>
    <w:autoRedefine/>
    <w:uiPriority w:val="39"/>
    <w:qFormat/>
    <w:rsid w:val="00556726"/>
    <w:pPr>
      <w:tabs>
        <w:tab w:val="left" w:pos="993"/>
        <w:tab w:val="right" w:pos="8080"/>
      </w:tabs>
      <w:spacing w:before="60" w:after="0"/>
      <w:ind w:left="993" w:right="567" w:hanging="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uiPriority w:val="99"/>
    <w:qFormat/>
    <w:rsid w:val="00EE155F"/>
    <w:pPr>
      <w:numPr>
        <w:numId w:val="1"/>
      </w:numPr>
      <w:tabs>
        <w:tab w:val="clear" w:pos="284"/>
      </w:tabs>
      <w:spacing w:before="90" w:after="90"/>
    </w:pPr>
  </w:style>
  <w:style w:type="character" w:customStyle="1" w:styleId="BulletChar">
    <w:name w:val="Bullet Char"/>
    <w:link w:val="Bullet"/>
    <w:uiPriority w:val="99"/>
    <w:locked/>
    <w:rsid w:val="00EE155F"/>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285080"/>
    <w:pPr>
      <w:spacing w:after="60" w:line="240" w:lineRule="auto"/>
      <w:ind w:left="284" w:hanging="284"/>
    </w:pPr>
    <w:rPr>
      <w:sz w:val="17"/>
    </w:rPr>
  </w:style>
  <w:style w:type="character" w:customStyle="1" w:styleId="FootnoteTextChar">
    <w:name w:val="Footnote Text Char"/>
    <w:link w:val="FootnoteText"/>
    <w:rsid w:val="00285080"/>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uiPriority w:val="99"/>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uiPriority w:val="99"/>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uiPriority w:val="99"/>
    <w:qFormat/>
    <w:rsid w:val="001C7301"/>
    <w:pPr>
      <w:spacing w:before="60" w:after="60"/>
    </w:pPr>
    <w:rPr>
      <w:sz w:val="18"/>
    </w:rPr>
  </w:style>
  <w:style w:type="paragraph" w:customStyle="1" w:styleId="TableBullet">
    <w:name w:val="TableBullet"/>
    <w:basedOn w:val="TableText"/>
    <w:qFormat/>
    <w:rsid w:val="00E06C8A"/>
    <w:pPr>
      <w:numPr>
        <w:numId w:val="4"/>
      </w:numPr>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5E7CCB"/>
    <w:pPr>
      <w:spacing w:before="60" w:after="60"/>
    </w:pPr>
    <w:rPr>
      <w:sz w:val="17"/>
    </w:rPr>
  </w:style>
  <w:style w:type="character" w:customStyle="1" w:styleId="NoteChar">
    <w:name w:val="Note Char"/>
    <w:link w:val="Note"/>
    <w:rsid w:val="005E7CCB"/>
    <w:rPr>
      <w:rFonts w:ascii="Fira Sans" w:hAnsi="Fira Sans"/>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740D45"/>
    <w:pPr>
      <w:keepLines/>
      <w:spacing w:after="120"/>
      <w:ind w:left="567" w:hanging="567"/>
    </w:pPr>
  </w:style>
  <w:style w:type="paragraph" w:customStyle="1" w:styleId="TableDash">
    <w:name w:val="TableDash"/>
    <w:basedOn w:val="TableText"/>
    <w:qFormat/>
    <w:rsid w:val="00070B01"/>
    <w:pPr>
      <w:numPr>
        <w:numId w:val="3"/>
      </w:numPr>
      <w:ind w:left="568" w:hanging="284"/>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character" w:styleId="CommentReference">
    <w:name w:val="annotation reference"/>
    <w:basedOn w:val="DefaultParagraphFont"/>
    <w:uiPriority w:val="99"/>
    <w:semiHidden/>
    <w:unhideWhenUsed/>
    <w:rsid w:val="0082081A"/>
    <w:rPr>
      <w:sz w:val="16"/>
      <w:szCs w:val="16"/>
    </w:rPr>
  </w:style>
  <w:style w:type="paragraph" w:styleId="CommentText">
    <w:name w:val="annotation text"/>
    <w:basedOn w:val="Normal"/>
    <w:link w:val="CommentTextChar"/>
    <w:uiPriority w:val="99"/>
    <w:unhideWhenUsed/>
    <w:rsid w:val="00CD6208"/>
  </w:style>
  <w:style w:type="character" w:customStyle="1" w:styleId="CommentTextChar">
    <w:name w:val="Comment Text Char"/>
    <w:basedOn w:val="DefaultParagraphFont"/>
    <w:link w:val="CommentText"/>
    <w:uiPriority w:val="99"/>
    <w:rsid w:val="00CD6208"/>
    <w:rPr>
      <w:rFonts w:ascii="Fira Sans" w:hAnsi="Fira Sans"/>
      <w:lang w:eastAsia="en-GB"/>
    </w:rPr>
  </w:style>
  <w:style w:type="paragraph" w:styleId="CommentSubject">
    <w:name w:val="annotation subject"/>
    <w:basedOn w:val="CommentText"/>
    <w:next w:val="CommentText"/>
    <w:link w:val="CommentSubjectChar"/>
    <w:uiPriority w:val="99"/>
    <w:semiHidden/>
    <w:unhideWhenUsed/>
    <w:rsid w:val="0082081A"/>
    <w:rPr>
      <w:b/>
      <w:bCs/>
    </w:rPr>
  </w:style>
  <w:style w:type="character" w:customStyle="1" w:styleId="CommentSubjectChar">
    <w:name w:val="Comment Subject Char"/>
    <w:basedOn w:val="CommentTextChar"/>
    <w:link w:val="CommentSubject"/>
    <w:uiPriority w:val="99"/>
    <w:semiHidden/>
    <w:rsid w:val="0082081A"/>
    <w:rPr>
      <w:rFonts w:ascii="Segoe UI" w:hAnsi="Segoe UI"/>
      <w:b/>
      <w:bCs/>
      <w:sz w:val="48"/>
      <w:lang w:eastAsia="en-GB"/>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191ACF"/>
    <w:pPr>
      <w:keepNext/>
      <w:keepLines/>
      <w:spacing w:before="360" w:after="120"/>
    </w:pPr>
    <w:rPr>
      <w:b/>
      <w:bCs/>
      <w:szCs w:val="18"/>
    </w:rPr>
  </w:style>
  <w:style w:type="character" w:styleId="PlaceholderText">
    <w:name w:val="Placeholder Text"/>
    <w:basedOn w:val="DefaultParagraphFont"/>
    <w:uiPriority w:val="99"/>
    <w:semiHidden/>
    <w:rsid w:val="00E323E5"/>
    <w:rPr>
      <w:color w:val="666666"/>
    </w:rPr>
  </w:style>
  <w:style w:type="paragraph" w:customStyle="1" w:styleId="Heading3Nonumbering">
    <w:name w:val="Heading 3 No numbering"/>
    <w:next w:val="Normal"/>
    <w:qFormat/>
    <w:rsid w:val="00E323E5"/>
    <w:pPr>
      <w:keepNext/>
      <w:spacing w:before="360" w:after="180" w:line="264" w:lineRule="auto"/>
      <w:outlineLvl w:val="2"/>
    </w:pPr>
    <w:rPr>
      <w:rFonts w:ascii="Montserrat" w:hAnsi="Montserrat"/>
      <w:color w:val="2C463B"/>
      <w:spacing w:val="-5"/>
      <w:sz w:val="36"/>
      <w:lang w:eastAsia="en-GB"/>
    </w:rPr>
  </w:style>
  <w:style w:type="paragraph" w:styleId="ListParagraph">
    <w:name w:val="List Paragraph"/>
    <w:basedOn w:val="Normal"/>
    <w:uiPriority w:val="34"/>
    <w:qFormat/>
    <w:rsid w:val="00397073"/>
    <w:pPr>
      <w:spacing w:after="0" w:line="240" w:lineRule="auto"/>
      <w:ind w:left="720"/>
    </w:pPr>
    <w:rPr>
      <w:rFonts w:ascii="Calibri" w:eastAsiaTheme="minorHAnsi" w:hAnsi="Calibri" w:cs="Calibri"/>
      <w:sz w:val="22"/>
      <w:szCs w:val="22"/>
      <w:lang w:eastAsia="en-US"/>
    </w:rPr>
  </w:style>
  <w:style w:type="paragraph" w:customStyle="1" w:styleId="Heading3numbered">
    <w:name w:val="Heading 3 numbered"/>
    <w:basedOn w:val="Heading3"/>
    <w:next w:val="Normal"/>
    <w:qFormat/>
    <w:rsid w:val="003E7CCC"/>
    <w:rPr>
      <w:rFonts w:eastAsia="Segoe UI"/>
      <w:sz w:val="28"/>
    </w:rPr>
  </w:style>
  <w:style w:type="paragraph" w:styleId="TOCHeading">
    <w:name w:val="TOC Heading"/>
    <w:basedOn w:val="Heading1"/>
    <w:next w:val="Normal"/>
    <w:uiPriority w:val="39"/>
    <w:unhideWhenUsed/>
    <w:qFormat/>
    <w:rsid w:val="003E7CCC"/>
    <w:pPr>
      <w:keepNext/>
      <w:keepLines/>
      <w:pageBreakBefore w:val="0"/>
      <w:spacing w:before="240" w:after="0" w:line="259" w:lineRule="auto"/>
      <w:ind w:left="-918" w:hanging="360"/>
      <w:outlineLvl w:val="9"/>
    </w:pPr>
    <w:rPr>
      <w:rFonts w:eastAsiaTheme="majorEastAsia" w:cstheme="majorBidi"/>
      <w:spacing w:val="0"/>
      <w:sz w:val="52"/>
      <w:szCs w:val="32"/>
      <w:lang w:val="en-US" w:eastAsia="en-US"/>
    </w:rPr>
  </w:style>
  <w:style w:type="character" w:customStyle="1" w:styleId="TableTextChar">
    <w:name w:val="TableText Char"/>
    <w:basedOn w:val="DefaultParagraphFont"/>
    <w:link w:val="TableText"/>
    <w:uiPriority w:val="99"/>
    <w:rsid w:val="001C7301"/>
    <w:rPr>
      <w:rFonts w:ascii="Fira Sans" w:hAnsi="Fira Sans"/>
      <w:sz w:val="18"/>
      <w:lang w:eastAsia="en-GB"/>
    </w:rPr>
  </w:style>
  <w:style w:type="paragraph" w:customStyle="1" w:styleId="EndNoteBibliography">
    <w:name w:val="EndNote Bibliography"/>
    <w:basedOn w:val="Normal"/>
    <w:link w:val="EndNoteBibliographyChar"/>
    <w:rsid w:val="003E7CCC"/>
    <w:pPr>
      <w:spacing w:line="240" w:lineRule="auto"/>
    </w:pPr>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3E7CCC"/>
    <w:rPr>
      <w:rFonts w:ascii="Calibri" w:eastAsiaTheme="minorHAnsi" w:hAnsi="Calibri" w:cs="Calibri"/>
      <w:noProof/>
      <w:sz w:val="22"/>
      <w:szCs w:val="22"/>
      <w:lang w:val="en-US" w:eastAsia="en-US"/>
    </w:rPr>
  </w:style>
  <w:style w:type="paragraph" w:styleId="TableofFigures">
    <w:name w:val="table of figures"/>
    <w:basedOn w:val="Normal"/>
    <w:next w:val="Normal"/>
    <w:uiPriority w:val="99"/>
    <w:unhideWhenUsed/>
    <w:qFormat/>
    <w:rsid w:val="00A01E25"/>
    <w:pPr>
      <w:spacing w:after="120" w:line="259" w:lineRule="auto"/>
      <w:ind w:right="567"/>
    </w:pPr>
    <w:rPr>
      <w:rFonts w:eastAsiaTheme="minorHAnsi" w:cstheme="minorBidi"/>
      <w:szCs w:val="22"/>
      <w:lang w:eastAsia="en-US"/>
    </w:rPr>
  </w:style>
  <w:style w:type="paragraph" w:customStyle="1" w:styleId="Heading1Appendix">
    <w:name w:val="Heading 1 Appendix"/>
    <w:basedOn w:val="Heading1"/>
    <w:next w:val="Normal"/>
    <w:qFormat/>
    <w:rsid w:val="003E7CCC"/>
    <w:pPr>
      <w:numPr>
        <w:numId w:val="50"/>
      </w:numPr>
    </w:pPr>
  </w:style>
  <w:style w:type="paragraph" w:customStyle="1" w:styleId="Heading2Appendix">
    <w:name w:val="Heading 2 Appendix"/>
    <w:basedOn w:val="Heading2"/>
    <w:next w:val="Normal"/>
    <w:qFormat/>
    <w:rsid w:val="003E7CCC"/>
    <w:pPr>
      <w:keepNext w:val="0"/>
    </w:pPr>
    <w:rPr>
      <w:noProof/>
      <w:sz w:val="36"/>
    </w:rPr>
  </w:style>
  <w:style w:type="paragraph" w:styleId="TOC4">
    <w:name w:val="toc 4"/>
    <w:basedOn w:val="Normal"/>
    <w:next w:val="Normal"/>
    <w:autoRedefine/>
    <w:uiPriority w:val="39"/>
    <w:semiHidden/>
    <w:unhideWhenUsed/>
    <w:rsid w:val="003E7CCC"/>
    <w:pPr>
      <w:spacing w:after="100" w:line="259" w:lineRule="auto"/>
      <w:ind w:left="660"/>
    </w:pPr>
    <w:rPr>
      <w:rFonts w:eastAsiaTheme="minorHAnsi" w:cstheme="minorBidi"/>
      <w:szCs w:val="22"/>
      <w:lang w:eastAsia="en-US"/>
    </w:rPr>
  </w:style>
  <w:style w:type="paragraph" w:styleId="TOC5">
    <w:name w:val="toc 5"/>
    <w:basedOn w:val="Normal"/>
    <w:next w:val="Normal"/>
    <w:autoRedefine/>
    <w:uiPriority w:val="39"/>
    <w:semiHidden/>
    <w:unhideWhenUsed/>
    <w:rsid w:val="003E7CCC"/>
    <w:pPr>
      <w:spacing w:after="100" w:line="259" w:lineRule="auto"/>
      <w:ind w:left="880"/>
    </w:pPr>
    <w:rPr>
      <w:rFonts w:eastAsiaTheme="minorHAnsi" w:cstheme="minorBidi"/>
      <w:szCs w:val="22"/>
      <w:lang w:eastAsia="en-US"/>
    </w:rPr>
  </w:style>
  <w:style w:type="paragraph" w:styleId="TOC6">
    <w:name w:val="toc 6"/>
    <w:basedOn w:val="Normal"/>
    <w:next w:val="Normal"/>
    <w:autoRedefine/>
    <w:uiPriority w:val="39"/>
    <w:semiHidden/>
    <w:unhideWhenUsed/>
    <w:rsid w:val="003E7CCC"/>
    <w:pPr>
      <w:spacing w:after="100" w:line="259" w:lineRule="auto"/>
      <w:ind w:left="1100"/>
    </w:pPr>
    <w:rPr>
      <w:rFonts w:eastAsiaTheme="minorHAnsi" w:cstheme="minorBidi"/>
      <w:szCs w:val="22"/>
      <w:lang w:eastAsia="en-US"/>
    </w:rPr>
  </w:style>
  <w:style w:type="paragraph" w:styleId="TOC7">
    <w:name w:val="toc 7"/>
    <w:basedOn w:val="Normal"/>
    <w:next w:val="Normal"/>
    <w:autoRedefine/>
    <w:uiPriority w:val="39"/>
    <w:semiHidden/>
    <w:unhideWhenUsed/>
    <w:rsid w:val="003E7CCC"/>
    <w:pPr>
      <w:spacing w:after="100" w:line="259" w:lineRule="auto"/>
      <w:ind w:left="1320"/>
    </w:pPr>
    <w:rPr>
      <w:rFonts w:eastAsiaTheme="minorHAnsi" w:cstheme="minorBidi"/>
      <w:szCs w:val="22"/>
      <w:lang w:eastAsia="en-US"/>
    </w:rPr>
  </w:style>
  <w:style w:type="paragraph" w:styleId="TOC8">
    <w:name w:val="toc 8"/>
    <w:basedOn w:val="Normal"/>
    <w:next w:val="Normal"/>
    <w:autoRedefine/>
    <w:uiPriority w:val="39"/>
    <w:semiHidden/>
    <w:unhideWhenUsed/>
    <w:rsid w:val="003E7CCC"/>
    <w:pPr>
      <w:spacing w:after="100" w:line="259" w:lineRule="auto"/>
      <w:ind w:left="1540"/>
    </w:pPr>
    <w:rPr>
      <w:rFonts w:eastAsiaTheme="minorHAnsi" w:cstheme="minorBidi"/>
      <w:szCs w:val="22"/>
      <w:lang w:eastAsia="en-US"/>
    </w:rPr>
  </w:style>
  <w:style w:type="paragraph" w:styleId="TOC9">
    <w:name w:val="toc 9"/>
    <w:basedOn w:val="Normal"/>
    <w:next w:val="Normal"/>
    <w:autoRedefine/>
    <w:uiPriority w:val="39"/>
    <w:semiHidden/>
    <w:unhideWhenUsed/>
    <w:rsid w:val="003E7CCC"/>
    <w:pPr>
      <w:spacing w:after="100" w:line="259" w:lineRule="auto"/>
      <w:ind w:left="1760"/>
    </w:pPr>
    <w:rPr>
      <w:rFonts w:eastAsiaTheme="minorHAnsi" w:cstheme="minorBidi"/>
      <w:szCs w:val="22"/>
      <w:lang w:eastAsia="en-US"/>
    </w:rPr>
  </w:style>
  <w:style w:type="paragraph" w:styleId="BalloonText">
    <w:name w:val="Balloon Text"/>
    <w:basedOn w:val="Normal"/>
    <w:link w:val="BalloonTextChar"/>
    <w:uiPriority w:val="99"/>
    <w:semiHidden/>
    <w:unhideWhenUsed/>
    <w:rsid w:val="003E7CCC"/>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E7CCC"/>
    <w:rPr>
      <w:rFonts w:ascii="Segoe UI" w:eastAsiaTheme="minorHAnsi" w:hAnsi="Segoe UI" w:cs="Segoe UI"/>
      <w:sz w:val="18"/>
      <w:szCs w:val="18"/>
      <w:lang w:eastAsia="en-US"/>
    </w:rPr>
  </w:style>
  <w:style w:type="character" w:styleId="UnresolvedMention">
    <w:name w:val="Unresolved Mention"/>
    <w:basedOn w:val="DefaultParagraphFont"/>
    <w:uiPriority w:val="99"/>
    <w:unhideWhenUsed/>
    <w:rsid w:val="003E7CCC"/>
    <w:rPr>
      <w:color w:val="605E5C"/>
      <w:shd w:val="clear" w:color="auto" w:fill="E1DFDD"/>
    </w:rPr>
  </w:style>
  <w:style w:type="table" w:styleId="GridTable2">
    <w:name w:val="Grid Table 2"/>
    <w:basedOn w:val="TableNormal"/>
    <w:uiPriority w:val="47"/>
    <w:rsid w:val="003E7CC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3E7CCC"/>
    <w:rPr>
      <w:color w:val="2B579A"/>
      <w:shd w:val="clear" w:color="auto" w:fill="E6E6E6"/>
    </w:rPr>
  </w:style>
  <w:style w:type="paragraph" w:customStyle="1" w:styleId="ReportBody-MOH">
    <w:name w:val="Report Body - MOH"/>
    <w:basedOn w:val="Normal"/>
    <w:link w:val="ReportBody-MOHChar"/>
    <w:qFormat/>
    <w:rsid w:val="003E7CCC"/>
    <w:pPr>
      <w:numPr>
        <w:numId w:val="49"/>
      </w:numPr>
      <w:spacing w:before="120" w:after="0" w:line="240" w:lineRule="auto"/>
      <w:ind w:right="284"/>
    </w:pPr>
    <w:rPr>
      <w:rFonts w:ascii="Segoe UI" w:hAnsi="Segoe UI" w:cs="Segoe UI"/>
      <w:kern w:val="22"/>
      <w:sz w:val="22"/>
      <w:szCs w:val="22"/>
      <w:lang w:eastAsia="en-NZ"/>
    </w:rPr>
  </w:style>
  <w:style w:type="paragraph" w:customStyle="1" w:styleId="ReportBody2-MOH">
    <w:name w:val="Report Body 2 - MOH"/>
    <w:basedOn w:val="ReportBody-MOH"/>
    <w:qFormat/>
    <w:rsid w:val="003E7CCC"/>
    <w:pPr>
      <w:numPr>
        <w:numId w:val="0"/>
      </w:numPr>
    </w:pPr>
  </w:style>
  <w:style w:type="character" w:customStyle="1" w:styleId="ReportBody-MOHChar">
    <w:name w:val="Report Body - MOH Char"/>
    <w:basedOn w:val="DefaultParagraphFont"/>
    <w:link w:val="ReportBody-MOH"/>
    <w:rsid w:val="003E7CCC"/>
    <w:rPr>
      <w:rFonts w:ascii="Segoe UI" w:hAnsi="Segoe UI" w:cs="Segoe UI"/>
      <w:kern w:val="22"/>
      <w:sz w:val="22"/>
      <w:szCs w:val="22"/>
    </w:rPr>
  </w:style>
  <w:style w:type="character" w:customStyle="1" w:styleId="eop">
    <w:name w:val="eop"/>
    <w:basedOn w:val="DefaultParagraphFont"/>
    <w:rsid w:val="003E7CCC"/>
  </w:style>
  <w:style w:type="paragraph" w:styleId="NoSpacing">
    <w:name w:val="No Spacing"/>
    <w:uiPriority w:val="1"/>
    <w:qFormat/>
    <w:rsid w:val="003E7CCC"/>
    <w:rPr>
      <w:rFonts w:ascii="Fira Sans" w:eastAsiaTheme="minorHAnsi" w:hAnsi="Fira Sans" w:cstheme="minorBidi"/>
      <w:sz w:val="22"/>
      <w:szCs w:val="22"/>
      <w:lang w:eastAsia="en-US"/>
    </w:rPr>
  </w:style>
  <w:style w:type="character" w:customStyle="1" w:styleId="ui-provider">
    <w:name w:val="ui-provider"/>
    <w:basedOn w:val="DefaultParagraphFont"/>
    <w:rsid w:val="003E7CCC"/>
  </w:style>
  <w:style w:type="character" w:styleId="Emphasis">
    <w:name w:val="Emphasis"/>
    <w:basedOn w:val="DefaultParagraphFont"/>
    <w:uiPriority w:val="20"/>
    <w:qFormat/>
    <w:rsid w:val="003E7CCC"/>
    <w:rPr>
      <w:i/>
      <w:iCs/>
    </w:rPr>
  </w:style>
  <w:style w:type="paragraph" w:customStyle="1" w:styleId="paragraph">
    <w:name w:val="paragraph"/>
    <w:basedOn w:val="Normal"/>
    <w:rsid w:val="003E7CCC"/>
    <w:pPr>
      <w:spacing w:before="100" w:beforeAutospacing="1" w:after="100" w:afterAutospacing="1" w:line="240" w:lineRule="auto"/>
    </w:pPr>
    <w:rPr>
      <w:rFonts w:ascii="Times New Roman" w:hAnsi="Times New Roman"/>
      <w:sz w:val="24"/>
      <w:szCs w:val="24"/>
      <w:lang w:eastAsia="en-NZ"/>
    </w:rPr>
  </w:style>
  <w:style w:type="character" w:customStyle="1" w:styleId="normaltextrun">
    <w:name w:val="normaltextrun"/>
    <w:basedOn w:val="DefaultParagraphFont"/>
    <w:rsid w:val="003E7CCC"/>
  </w:style>
  <w:style w:type="character" w:styleId="FollowedHyperlink">
    <w:name w:val="FollowedHyperlink"/>
    <w:basedOn w:val="DefaultParagraphFont"/>
    <w:uiPriority w:val="99"/>
    <w:semiHidden/>
    <w:unhideWhenUsed/>
    <w:rsid w:val="003E7CCC"/>
    <w:rPr>
      <w:color w:val="800080" w:themeColor="followedHyperlink"/>
      <w:u w:val="single"/>
    </w:rPr>
  </w:style>
  <w:style w:type="paragraph" w:customStyle="1" w:styleId="Style1">
    <w:name w:val="Style1"/>
    <w:basedOn w:val="Heading1"/>
    <w:link w:val="Style1Char"/>
    <w:qFormat/>
    <w:rsid w:val="003E7CCC"/>
    <w:pPr>
      <w:keepNext/>
      <w:keepLines/>
      <w:pageBreakBefore w:val="0"/>
      <w:spacing w:before="240" w:after="0" w:line="259" w:lineRule="auto"/>
      <w:ind w:left="-284"/>
    </w:pPr>
    <w:rPr>
      <w:rFonts w:eastAsiaTheme="majorEastAsia" w:cstheme="majorBidi"/>
      <w:sz w:val="52"/>
      <w:szCs w:val="32"/>
      <w:lang w:eastAsia="en-US"/>
    </w:rPr>
  </w:style>
  <w:style w:type="character" w:customStyle="1" w:styleId="Style1Char">
    <w:name w:val="Style1 Char"/>
    <w:basedOn w:val="Heading1Char"/>
    <w:link w:val="Style1"/>
    <w:rsid w:val="003E7CCC"/>
    <w:rPr>
      <w:rFonts w:ascii="Fira Sans" w:eastAsiaTheme="majorEastAsia" w:hAnsi="Fira Sans" w:cstheme="majorBidi"/>
      <w:b/>
      <w:caps w:val="0"/>
      <w:color w:val="2C463B"/>
      <w:spacing w:val="-10"/>
      <w:sz w:val="52"/>
      <w:szCs w:val="32"/>
      <w:lang w:eastAsia="en-US"/>
    </w:rPr>
  </w:style>
  <w:style w:type="character" w:customStyle="1" w:styleId="cf01">
    <w:name w:val="cf01"/>
    <w:basedOn w:val="DefaultParagraphFont"/>
    <w:rsid w:val="003E7CCC"/>
    <w:rPr>
      <w:rFonts w:ascii="Segoe UI" w:hAnsi="Segoe UI" w:cs="Segoe UI" w:hint="default"/>
      <w:sz w:val="18"/>
      <w:szCs w:val="18"/>
    </w:rPr>
  </w:style>
  <w:style w:type="paragraph" w:styleId="ListBullet">
    <w:name w:val="List Bullet"/>
    <w:basedOn w:val="Normal"/>
    <w:uiPriority w:val="99"/>
    <w:unhideWhenUsed/>
    <w:rsid w:val="003E7CCC"/>
    <w:pPr>
      <w:numPr>
        <w:numId w:val="60"/>
      </w:numPr>
      <w:spacing w:line="259" w:lineRule="auto"/>
      <w:contextualSpacing/>
    </w:pPr>
    <w:rPr>
      <w:rFonts w:eastAsiaTheme="minorHAnsi" w:cstheme="minorBidi"/>
      <w:sz w:val="22"/>
      <w:szCs w:val="22"/>
      <w:lang w:eastAsia="en-US"/>
    </w:rPr>
  </w:style>
  <w:style w:type="paragraph" w:styleId="ListNumber">
    <w:name w:val="List Number"/>
    <w:basedOn w:val="Normal"/>
    <w:unhideWhenUsed/>
    <w:rsid w:val="00C057BA"/>
    <w:pPr>
      <w:numPr>
        <w:numId w:val="61"/>
      </w:numPr>
      <w:spacing w:before="90" w:after="90"/>
      <w:ind w:left="357" w:hanging="357"/>
    </w:pPr>
  </w:style>
  <w:style w:type="paragraph" w:customStyle="1" w:styleId="Picture">
    <w:name w:val="Picture"/>
    <w:basedOn w:val="Normal"/>
    <w:qFormat/>
    <w:rsid w:val="006D2651"/>
    <w:pPr>
      <w:spacing w:after="0" w:line="240" w:lineRule="auto"/>
    </w:pPr>
    <w:rPr>
      <w:rFonts w:cs="Segoe U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5118">
      <w:bodyDiv w:val="1"/>
      <w:marLeft w:val="0"/>
      <w:marRight w:val="0"/>
      <w:marTop w:val="0"/>
      <w:marBottom w:val="0"/>
      <w:divBdr>
        <w:top w:val="none" w:sz="0" w:space="0" w:color="auto"/>
        <w:left w:val="none" w:sz="0" w:space="0" w:color="auto"/>
        <w:bottom w:val="none" w:sz="0" w:space="0" w:color="auto"/>
        <w:right w:val="none" w:sz="0" w:space="0" w:color="auto"/>
      </w:divBdr>
    </w:div>
    <w:div w:id="235747958">
      <w:bodyDiv w:val="1"/>
      <w:marLeft w:val="0"/>
      <w:marRight w:val="0"/>
      <w:marTop w:val="0"/>
      <w:marBottom w:val="0"/>
      <w:divBdr>
        <w:top w:val="none" w:sz="0" w:space="0" w:color="auto"/>
        <w:left w:val="none" w:sz="0" w:space="0" w:color="auto"/>
        <w:bottom w:val="none" w:sz="0" w:space="0" w:color="auto"/>
        <w:right w:val="none" w:sz="0" w:space="0" w:color="auto"/>
      </w:divBdr>
    </w:div>
    <w:div w:id="265043324">
      <w:bodyDiv w:val="1"/>
      <w:marLeft w:val="0"/>
      <w:marRight w:val="0"/>
      <w:marTop w:val="0"/>
      <w:marBottom w:val="0"/>
      <w:divBdr>
        <w:top w:val="none" w:sz="0" w:space="0" w:color="auto"/>
        <w:left w:val="none" w:sz="0" w:space="0" w:color="auto"/>
        <w:bottom w:val="none" w:sz="0" w:space="0" w:color="auto"/>
        <w:right w:val="none" w:sz="0" w:space="0" w:color="auto"/>
      </w:divBdr>
    </w:div>
    <w:div w:id="267349277">
      <w:bodyDiv w:val="1"/>
      <w:marLeft w:val="0"/>
      <w:marRight w:val="0"/>
      <w:marTop w:val="0"/>
      <w:marBottom w:val="0"/>
      <w:divBdr>
        <w:top w:val="none" w:sz="0" w:space="0" w:color="auto"/>
        <w:left w:val="none" w:sz="0" w:space="0" w:color="auto"/>
        <w:bottom w:val="none" w:sz="0" w:space="0" w:color="auto"/>
        <w:right w:val="none" w:sz="0" w:space="0" w:color="auto"/>
      </w:divBdr>
    </w:div>
    <w:div w:id="379090945">
      <w:bodyDiv w:val="1"/>
      <w:marLeft w:val="0"/>
      <w:marRight w:val="0"/>
      <w:marTop w:val="0"/>
      <w:marBottom w:val="0"/>
      <w:divBdr>
        <w:top w:val="none" w:sz="0" w:space="0" w:color="auto"/>
        <w:left w:val="none" w:sz="0" w:space="0" w:color="auto"/>
        <w:bottom w:val="none" w:sz="0" w:space="0" w:color="auto"/>
        <w:right w:val="none" w:sz="0" w:space="0" w:color="auto"/>
      </w:divBdr>
    </w:div>
    <w:div w:id="415521117">
      <w:bodyDiv w:val="1"/>
      <w:marLeft w:val="0"/>
      <w:marRight w:val="0"/>
      <w:marTop w:val="0"/>
      <w:marBottom w:val="0"/>
      <w:divBdr>
        <w:top w:val="none" w:sz="0" w:space="0" w:color="auto"/>
        <w:left w:val="none" w:sz="0" w:space="0" w:color="auto"/>
        <w:bottom w:val="none" w:sz="0" w:space="0" w:color="auto"/>
        <w:right w:val="none" w:sz="0" w:space="0" w:color="auto"/>
      </w:divBdr>
    </w:div>
    <w:div w:id="526060276">
      <w:bodyDiv w:val="1"/>
      <w:marLeft w:val="0"/>
      <w:marRight w:val="0"/>
      <w:marTop w:val="0"/>
      <w:marBottom w:val="0"/>
      <w:divBdr>
        <w:top w:val="none" w:sz="0" w:space="0" w:color="auto"/>
        <w:left w:val="none" w:sz="0" w:space="0" w:color="auto"/>
        <w:bottom w:val="none" w:sz="0" w:space="0" w:color="auto"/>
        <w:right w:val="none" w:sz="0" w:space="0" w:color="auto"/>
      </w:divBdr>
    </w:div>
    <w:div w:id="531579505">
      <w:bodyDiv w:val="1"/>
      <w:marLeft w:val="0"/>
      <w:marRight w:val="0"/>
      <w:marTop w:val="0"/>
      <w:marBottom w:val="0"/>
      <w:divBdr>
        <w:top w:val="none" w:sz="0" w:space="0" w:color="auto"/>
        <w:left w:val="none" w:sz="0" w:space="0" w:color="auto"/>
        <w:bottom w:val="none" w:sz="0" w:space="0" w:color="auto"/>
        <w:right w:val="none" w:sz="0" w:space="0" w:color="auto"/>
      </w:divBdr>
    </w:div>
    <w:div w:id="676814160">
      <w:bodyDiv w:val="1"/>
      <w:marLeft w:val="0"/>
      <w:marRight w:val="0"/>
      <w:marTop w:val="0"/>
      <w:marBottom w:val="0"/>
      <w:divBdr>
        <w:top w:val="none" w:sz="0" w:space="0" w:color="auto"/>
        <w:left w:val="none" w:sz="0" w:space="0" w:color="auto"/>
        <w:bottom w:val="none" w:sz="0" w:space="0" w:color="auto"/>
        <w:right w:val="none" w:sz="0" w:space="0" w:color="auto"/>
      </w:divBdr>
    </w:div>
    <w:div w:id="796486849">
      <w:bodyDiv w:val="1"/>
      <w:marLeft w:val="0"/>
      <w:marRight w:val="0"/>
      <w:marTop w:val="0"/>
      <w:marBottom w:val="0"/>
      <w:divBdr>
        <w:top w:val="none" w:sz="0" w:space="0" w:color="auto"/>
        <w:left w:val="none" w:sz="0" w:space="0" w:color="auto"/>
        <w:bottom w:val="none" w:sz="0" w:space="0" w:color="auto"/>
        <w:right w:val="none" w:sz="0" w:space="0" w:color="auto"/>
      </w:divBdr>
    </w:div>
    <w:div w:id="914053107">
      <w:bodyDiv w:val="1"/>
      <w:marLeft w:val="0"/>
      <w:marRight w:val="0"/>
      <w:marTop w:val="0"/>
      <w:marBottom w:val="0"/>
      <w:divBdr>
        <w:top w:val="none" w:sz="0" w:space="0" w:color="auto"/>
        <w:left w:val="none" w:sz="0" w:space="0" w:color="auto"/>
        <w:bottom w:val="none" w:sz="0" w:space="0" w:color="auto"/>
        <w:right w:val="none" w:sz="0" w:space="0" w:color="auto"/>
      </w:divBdr>
    </w:div>
    <w:div w:id="1105882612">
      <w:bodyDiv w:val="1"/>
      <w:marLeft w:val="0"/>
      <w:marRight w:val="0"/>
      <w:marTop w:val="0"/>
      <w:marBottom w:val="0"/>
      <w:divBdr>
        <w:top w:val="none" w:sz="0" w:space="0" w:color="auto"/>
        <w:left w:val="none" w:sz="0" w:space="0" w:color="auto"/>
        <w:bottom w:val="none" w:sz="0" w:space="0" w:color="auto"/>
        <w:right w:val="none" w:sz="0" w:space="0" w:color="auto"/>
      </w:divBdr>
    </w:div>
    <w:div w:id="1396856822">
      <w:bodyDiv w:val="1"/>
      <w:marLeft w:val="0"/>
      <w:marRight w:val="0"/>
      <w:marTop w:val="0"/>
      <w:marBottom w:val="0"/>
      <w:divBdr>
        <w:top w:val="none" w:sz="0" w:space="0" w:color="auto"/>
        <w:left w:val="none" w:sz="0" w:space="0" w:color="auto"/>
        <w:bottom w:val="none" w:sz="0" w:space="0" w:color="auto"/>
        <w:right w:val="none" w:sz="0" w:space="0" w:color="auto"/>
      </w:divBdr>
    </w:div>
    <w:div w:id="1473905852">
      <w:bodyDiv w:val="1"/>
      <w:marLeft w:val="0"/>
      <w:marRight w:val="0"/>
      <w:marTop w:val="0"/>
      <w:marBottom w:val="0"/>
      <w:divBdr>
        <w:top w:val="none" w:sz="0" w:space="0" w:color="auto"/>
        <w:left w:val="none" w:sz="0" w:space="0" w:color="auto"/>
        <w:bottom w:val="none" w:sz="0" w:space="0" w:color="auto"/>
        <w:right w:val="none" w:sz="0" w:space="0" w:color="auto"/>
      </w:divBdr>
    </w:div>
    <w:div w:id="1634209490">
      <w:bodyDiv w:val="1"/>
      <w:marLeft w:val="0"/>
      <w:marRight w:val="0"/>
      <w:marTop w:val="0"/>
      <w:marBottom w:val="0"/>
      <w:divBdr>
        <w:top w:val="none" w:sz="0" w:space="0" w:color="auto"/>
        <w:left w:val="none" w:sz="0" w:space="0" w:color="auto"/>
        <w:bottom w:val="none" w:sz="0" w:space="0" w:color="auto"/>
        <w:right w:val="none" w:sz="0" w:space="0" w:color="auto"/>
      </w:divBdr>
    </w:div>
    <w:div w:id="1650750668">
      <w:bodyDiv w:val="1"/>
      <w:marLeft w:val="0"/>
      <w:marRight w:val="0"/>
      <w:marTop w:val="0"/>
      <w:marBottom w:val="0"/>
      <w:divBdr>
        <w:top w:val="none" w:sz="0" w:space="0" w:color="auto"/>
        <w:left w:val="none" w:sz="0" w:space="0" w:color="auto"/>
        <w:bottom w:val="none" w:sz="0" w:space="0" w:color="auto"/>
        <w:right w:val="none" w:sz="0" w:space="0" w:color="auto"/>
      </w:divBdr>
    </w:div>
    <w:div w:id="1767072990">
      <w:bodyDiv w:val="1"/>
      <w:marLeft w:val="0"/>
      <w:marRight w:val="0"/>
      <w:marTop w:val="0"/>
      <w:marBottom w:val="0"/>
      <w:divBdr>
        <w:top w:val="none" w:sz="0" w:space="0" w:color="auto"/>
        <w:left w:val="none" w:sz="0" w:space="0" w:color="auto"/>
        <w:bottom w:val="none" w:sz="0" w:space="0" w:color="auto"/>
        <w:right w:val="none" w:sz="0" w:space="0" w:color="auto"/>
      </w:divBdr>
    </w:div>
    <w:div w:id="1792552022">
      <w:bodyDiv w:val="1"/>
      <w:marLeft w:val="0"/>
      <w:marRight w:val="0"/>
      <w:marTop w:val="0"/>
      <w:marBottom w:val="0"/>
      <w:divBdr>
        <w:top w:val="none" w:sz="0" w:space="0" w:color="auto"/>
        <w:left w:val="none" w:sz="0" w:space="0" w:color="auto"/>
        <w:bottom w:val="none" w:sz="0" w:space="0" w:color="auto"/>
        <w:right w:val="none" w:sz="0" w:space="0" w:color="auto"/>
      </w:divBdr>
    </w:div>
    <w:div w:id="1852601387">
      <w:bodyDiv w:val="1"/>
      <w:marLeft w:val="0"/>
      <w:marRight w:val="0"/>
      <w:marTop w:val="0"/>
      <w:marBottom w:val="0"/>
      <w:divBdr>
        <w:top w:val="none" w:sz="0" w:space="0" w:color="auto"/>
        <w:left w:val="none" w:sz="0" w:space="0" w:color="auto"/>
        <w:bottom w:val="none" w:sz="0" w:space="0" w:color="auto"/>
        <w:right w:val="none" w:sz="0" w:space="0" w:color="auto"/>
      </w:divBdr>
    </w:div>
    <w:div w:id="1991904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pubmed.ncbi.nlm.nih.gov/194659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doi.org/10.1038/nrclinonc.2016.15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hyperlink" Target="https://doi.org/10.1038/bjc.2015.52"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doi.org/10.1016/j.canep.2019.04.0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s://doi.org/10.1016/s1470-2045(22)00127-9"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ealth.govt.n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nsu.govt.nz/health-professionals/national-bowel-screening-programme/lower-starting-age-m%C4%81ori-and-pacific-peop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75D1016CF460996C417309C5DF286"/>
        <w:category>
          <w:name w:val="General"/>
          <w:gallery w:val="placeholder"/>
        </w:category>
        <w:types>
          <w:type w:val="bbPlcHdr"/>
        </w:types>
        <w:behaviors>
          <w:behavior w:val="content"/>
        </w:behaviors>
        <w:guid w:val="{6CF0553D-0581-4645-9C04-F71606DBAE38}"/>
      </w:docPartPr>
      <w:docPartBody>
        <w:p w:rsidR="00D54CDC" w:rsidRDefault="00D54CDC">
          <w:r w:rsidRPr="00447C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charset w:val="00"/>
    <w:family w:val="swiss"/>
    <w:pitch w:val="variable"/>
    <w:sig w:usb0="600002FF" w:usb1="00000001" w:usb2="00000000" w:usb3="00000000" w:csb0="0000019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Fira Sans SemiBold">
    <w:charset w:val="00"/>
    <w:family w:val="swiss"/>
    <w:pitch w:val="variable"/>
    <w:sig w:usb0="600002FF"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E9"/>
    <w:rsid w:val="0002464B"/>
    <w:rsid w:val="001511E6"/>
    <w:rsid w:val="001F75C3"/>
    <w:rsid w:val="0036536A"/>
    <w:rsid w:val="00696F81"/>
    <w:rsid w:val="00831A98"/>
    <w:rsid w:val="008634FF"/>
    <w:rsid w:val="008A2BF9"/>
    <w:rsid w:val="008F1943"/>
    <w:rsid w:val="00950515"/>
    <w:rsid w:val="009A1BEA"/>
    <w:rsid w:val="00A05D63"/>
    <w:rsid w:val="00A44459"/>
    <w:rsid w:val="00B84487"/>
    <w:rsid w:val="00C063D0"/>
    <w:rsid w:val="00CE7B03"/>
    <w:rsid w:val="00D25C5F"/>
    <w:rsid w:val="00D5130C"/>
    <w:rsid w:val="00D54CDC"/>
    <w:rsid w:val="00E713E9"/>
    <w:rsid w:val="00EC1808"/>
    <w:rsid w:val="00FE638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C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8EA7845DE874AAE0DABF6DFCC98BB" ma:contentTypeVersion="19" ma:contentTypeDescription="Create a new document." ma:contentTypeScope="" ma:versionID="a4709864b6b451276b513d2564eb4588">
  <xsd:schema xmlns:xsd="http://www.w3.org/2001/XMLSchema" xmlns:xs="http://www.w3.org/2001/XMLSchema" xmlns:p="http://schemas.microsoft.com/office/2006/metadata/properties" xmlns:ns2="c13cff72-d010-4d0b-83b3-1e5929d0fae6" xmlns:ns3="19f7cb8d-7040-4df0-8461-3f36aff6d247" xmlns:ns4="00a4df5b-51f4-4e7a-b755-8a381a6dfbc5" targetNamespace="http://schemas.microsoft.com/office/2006/metadata/properties" ma:root="true" ma:fieldsID="d0bc1ba1e9d72e7e1601a7f7f491e34e" ns2:_="" ns3:_="" ns4:_="">
    <xsd:import namespace="c13cff72-d010-4d0b-83b3-1e5929d0fae6"/>
    <xsd:import namespace="19f7cb8d-7040-4df0-8461-3f36aff6d24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ff72-d010-4d0b-83b3-1e5929d0f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7cb8d-7040-4df0-8461-3f36aff6d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c3b760-958b-4ec6-8c6f-0f3a73c02da3}" ma:internalName="TaxCatchAll" ma:showField="CatchAllData" ma:web="19f7cb8d-7040-4df0-8461-3f36aff6d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c13cff72-d010-4d0b-83b3-1e5929d0fae6">
      <Terms xmlns="http://schemas.microsoft.com/office/infopath/2007/PartnerControls"/>
    </lcf76f155ced4ddcb4097134ff3c332f>
    <SharedWithUsers xmlns="19f7cb8d-7040-4df0-8461-3f36aff6d247">
      <UserInfo>
        <DisplayName>Hazem Abd Elkader</DisplayName>
        <AccountId>73</AccountId>
        <AccountType/>
      </UserInfo>
      <UserInfo>
        <DisplayName>Rachael Neumann</DisplayName>
        <AccountId>16</AccountId>
        <AccountType/>
      </UserInfo>
      <UserInfo>
        <DisplayName>Tess Luff</DisplayName>
        <AccountId>41</AccountId>
        <AccountType/>
      </UserInfo>
      <UserInfo>
        <DisplayName>Gabrielle Nicholson</DisplayName>
        <AccountId>44</AccountId>
        <AccountType/>
      </UserInfo>
      <UserInfo>
        <DisplayName>Terence Davidson</DisplayName>
        <AccountId>158</AccountId>
        <AccountType/>
      </UserInfo>
    </SharedWithUsers>
    <MediaLengthInSeconds xmlns="c13cff72-d010-4d0b-83b3-1e5929d0fae6" xsi:nil="true"/>
  </documentManagement>
</p:properties>
</file>

<file path=customXml/itemProps1.xml><?xml version="1.0" encoding="utf-8"?>
<ds:datastoreItem xmlns:ds="http://schemas.openxmlformats.org/officeDocument/2006/customXml" ds:itemID="{71D09945-0531-4392-9BDC-2159CF42BEE5}">
  <ds:schemaRefs>
    <ds:schemaRef ds:uri="http://schemas.openxmlformats.org/officeDocument/2006/bibliography"/>
  </ds:schemaRefs>
</ds:datastoreItem>
</file>

<file path=customXml/itemProps2.xml><?xml version="1.0" encoding="utf-8"?>
<ds:datastoreItem xmlns:ds="http://schemas.openxmlformats.org/officeDocument/2006/customXml" ds:itemID="{7A34187A-2401-4B95-934F-547A81CFDD5A}">
  <ds:schemaRefs>
    <ds:schemaRef ds:uri="http://schemas.microsoft.com/sharepoint/v3/contenttype/forms"/>
  </ds:schemaRefs>
</ds:datastoreItem>
</file>

<file path=customXml/itemProps3.xml><?xml version="1.0" encoding="utf-8"?>
<ds:datastoreItem xmlns:ds="http://schemas.openxmlformats.org/officeDocument/2006/customXml" ds:itemID="{5EF254BC-4F6C-4ADA-94AD-21B2A9DD6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cff72-d010-4d0b-83b3-1e5929d0fae6"/>
    <ds:schemaRef ds:uri="19f7cb8d-7040-4df0-8461-3f36aff6d24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7965E-69F8-4620-88EE-BC45F2EE778A}">
  <ds:schemaRefs>
    <ds:schemaRef ds:uri="http://schemas.microsoft.com/office/2006/documentManagement/types"/>
    <ds:schemaRef ds:uri="http://schemas.microsoft.com/office/infopath/2007/PartnerControls"/>
    <ds:schemaRef ds:uri="http://purl.org/dc/elements/1.1/"/>
    <ds:schemaRef ds:uri="c13cff72-d010-4d0b-83b3-1e5929d0fae6"/>
    <ds:schemaRef ds:uri="http://schemas.microsoft.com/office/2006/metadata/properties"/>
    <ds:schemaRef ds:uri="http://schemas.openxmlformats.org/package/2006/metadata/core-properties"/>
    <ds:schemaRef ds:uri="00a4df5b-51f4-4e7a-b755-8a381a6dfbc5"/>
    <ds:schemaRef ds:uri="http://purl.org/dc/terms/"/>
    <ds:schemaRef ds:uri="19f7cb8d-7040-4df0-8461-3f36aff6d2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9</TotalTime>
  <Pages>18</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Quality Improvement Monitoring Report – SUMMARy</vt:lpstr>
    </vt:vector>
  </TitlesOfParts>
  <Company>Microsoft</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Monitoring Report – SUMMARY</dc:title>
  <dc:subject/>
  <dc:creator>taotk@teaho.govt.nz</dc:creator>
  <cp:keywords/>
  <dc:description/>
  <cp:lastModifiedBy>Ministry of Health</cp:lastModifiedBy>
  <cp:revision>9</cp:revision>
  <cp:lastPrinted>2024-02-02T23:40:00Z</cp:lastPrinted>
  <dcterms:created xsi:type="dcterms:W3CDTF">2024-03-01T01:21:00Z</dcterms:created>
  <dcterms:modified xsi:type="dcterms:W3CDTF">2024-03-07T02:51:00Z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0x0101002408EA7845DE874AAE0DABF6DFCC98BB</vt:lpwstr>
  </property>
  <property fmtid="{D5CDD505-2E9C-101B-9397-08002B2CF9AE}" pid="3" name="MediaServiceImageTags">
    <vt:lpwstr/>
  </property>
  <property fmtid="{D5CDD505-2E9C-101B-9397-08002B2CF9AE}" pid="4" name="Order">
    <vt:r8>1502500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